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4B69" w14:textId="77777777" w:rsidR="004F7B78" w:rsidRDefault="004F7B78" w:rsidP="004F7B78">
      <w:pPr>
        <w:spacing w:after="0" w:line="276" w:lineRule="auto"/>
        <w:jc w:val="center"/>
        <w:rPr>
          <w:b/>
          <w:sz w:val="32"/>
          <w:lang w:val="en-US"/>
        </w:rPr>
      </w:pPr>
      <w:bookmarkStart w:id="0" w:name="_GoBack"/>
      <w:bookmarkEnd w:id="0"/>
      <w:r>
        <w:rPr>
          <w:b/>
          <w:sz w:val="32"/>
        </w:rPr>
        <w:t>EMPLOYMENT RELATIONS TRIBUNAL</w:t>
      </w:r>
    </w:p>
    <w:p w14:paraId="1F17B2BE" w14:textId="77777777" w:rsidR="004F7B78" w:rsidRDefault="004F7B78" w:rsidP="004F7B78">
      <w:pPr>
        <w:spacing w:after="0" w:line="276" w:lineRule="auto"/>
        <w:jc w:val="center"/>
        <w:rPr>
          <w:b/>
          <w:sz w:val="24"/>
        </w:rPr>
      </w:pPr>
    </w:p>
    <w:p w14:paraId="6B30F451" w14:textId="24A83B20" w:rsidR="004F7B78" w:rsidRDefault="004F7B78" w:rsidP="004F7B78">
      <w:pPr>
        <w:spacing w:after="0" w:line="276" w:lineRule="auto"/>
        <w:jc w:val="center"/>
        <w:rPr>
          <w:b/>
          <w:sz w:val="32"/>
        </w:rPr>
      </w:pPr>
      <w:r>
        <w:rPr>
          <w:b/>
          <w:sz w:val="32"/>
        </w:rPr>
        <w:t>D</w:t>
      </w:r>
      <w:r w:rsidR="00F37164">
        <w:rPr>
          <w:b/>
          <w:sz w:val="32"/>
        </w:rPr>
        <w:t>ECLARATION</w:t>
      </w:r>
    </w:p>
    <w:p w14:paraId="5019CAB3" w14:textId="77777777" w:rsidR="004F7B78" w:rsidRDefault="004F7B78" w:rsidP="004F7B78">
      <w:pPr>
        <w:spacing w:after="0" w:line="276" w:lineRule="auto"/>
        <w:jc w:val="both"/>
        <w:rPr>
          <w:b/>
          <w:sz w:val="24"/>
        </w:rPr>
      </w:pPr>
    </w:p>
    <w:p w14:paraId="088217DD" w14:textId="48674BF9" w:rsidR="004F7B78" w:rsidRDefault="004F7B78" w:rsidP="004F7B78">
      <w:pPr>
        <w:spacing w:after="0" w:line="276" w:lineRule="auto"/>
        <w:jc w:val="both"/>
        <w:rPr>
          <w:b/>
          <w:i/>
          <w:sz w:val="28"/>
          <w:szCs w:val="24"/>
        </w:rPr>
      </w:pPr>
      <w:r>
        <w:rPr>
          <w:b/>
          <w:sz w:val="28"/>
          <w:szCs w:val="24"/>
        </w:rPr>
        <w:t>ERT/RN 91/2024</w:t>
      </w:r>
    </w:p>
    <w:p w14:paraId="01DA1CCE" w14:textId="77777777" w:rsidR="004F7B78" w:rsidRDefault="004F7B78" w:rsidP="004F7B78">
      <w:pPr>
        <w:spacing w:after="0" w:line="276" w:lineRule="auto"/>
        <w:jc w:val="both"/>
        <w:rPr>
          <w:b/>
          <w:iCs/>
          <w:sz w:val="24"/>
        </w:rPr>
      </w:pPr>
    </w:p>
    <w:p w14:paraId="278FC20F" w14:textId="77777777" w:rsidR="004F7B78" w:rsidRDefault="004F7B78" w:rsidP="004F7B78">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51148E45" w14:textId="5E27F295" w:rsidR="004F7B78" w:rsidRDefault="004F7B78" w:rsidP="004F7B78">
      <w:pPr>
        <w:spacing w:after="0" w:line="360" w:lineRule="auto"/>
        <w:ind w:left="1440" w:firstLine="720"/>
        <w:jc w:val="both"/>
        <w:rPr>
          <w:b/>
          <w:sz w:val="28"/>
          <w:szCs w:val="24"/>
        </w:rPr>
      </w:pPr>
      <w:r>
        <w:rPr>
          <w:b/>
          <w:sz w:val="28"/>
          <w:szCs w:val="24"/>
        </w:rPr>
        <w:t>Shameer Janhangeer</w:t>
      </w:r>
      <w:r>
        <w:rPr>
          <w:b/>
          <w:sz w:val="28"/>
          <w:szCs w:val="24"/>
        </w:rPr>
        <w:tab/>
      </w:r>
      <w:r>
        <w:rPr>
          <w:b/>
          <w:sz w:val="28"/>
          <w:szCs w:val="24"/>
        </w:rPr>
        <w:tab/>
      </w:r>
      <w:r w:rsidR="00F37164">
        <w:rPr>
          <w:b/>
          <w:sz w:val="28"/>
          <w:szCs w:val="24"/>
        </w:rPr>
        <w:tab/>
      </w:r>
      <w:r>
        <w:rPr>
          <w:b/>
          <w:sz w:val="28"/>
          <w:szCs w:val="24"/>
        </w:rPr>
        <w:t xml:space="preserve">- </w:t>
      </w:r>
      <w:r>
        <w:rPr>
          <w:b/>
          <w:sz w:val="28"/>
          <w:szCs w:val="24"/>
        </w:rPr>
        <w:tab/>
        <w:t>Vice-President</w:t>
      </w:r>
    </w:p>
    <w:p w14:paraId="2CF49599" w14:textId="568032A3" w:rsidR="004F7B78" w:rsidRDefault="00F37164" w:rsidP="004F7B78">
      <w:pPr>
        <w:spacing w:after="0" w:line="360" w:lineRule="auto"/>
        <w:ind w:left="1440" w:firstLine="720"/>
        <w:jc w:val="both"/>
        <w:rPr>
          <w:b/>
          <w:sz w:val="28"/>
          <w:szCs w:val="24"/>
        </w:rPr>
      </w:pPr>
      <w:r>
        <w:rPr>
          <w:b/>
          <w:sz w:val="28"/>
          <w:szCs w:val="24"/>
        </w:rPr>
        <w:t>Greetanand Beelatoo</w:t>
      </w:r>
      <w:r w:rsidR="004F7B78">
        <w:rPr>
          <w:b/>
          <w:sz w:val="28"/>
          <w:szCs w:val="24"/>
        </w:rPr>
        <w:tab/>
      </w:r>
      <w:r w:rsidR="004F7B78">
        <w:rPr>
          <w:b/>
          <w:sz w:val="28"/>
          <w:szCs w:val="24"/>
        </w:rPr>
        <w:tab/>
      </w:r>
      <w:r>
        <w:rPr>
          <w:b/>
          <w:sz w:val="28"/>
          <w:szCs w:val="24"/>
        </w:rPr>
        <w:tab/>
      </w:r>
      <w:r w:rsidR="004F7B78">
        <w:rPr>
          <w:b/>
          <w:sz w:val="28"/>
          <w:szCs w:val="24"/>
        </w:rPr>
        <w:t xml:space="preserve">- </w:t>
      </w:r>
      <w:r w:rsidR="004F7B78">
        <w:rPr>
          <w:b/>
          <w:sz w:val="28"/>
          <w:szCs w:val="24"/>
        </w:rPr>
        <w:tab/>
        <w:t>Member</w:t>
      </w:r>
      <w:r w:rsidR="004F7B78">
        <w:rPr>
          <w:b/>
          <w:sz w:val="28"/>
          <w:szCs w:val="24"/>
        </w:rPr>
        <w:tab/>
      </w:r>
    </w:p>
    <w:p w14:paraId="3E1BEAE5" w14:textId="0F23740E" w:rsidR="004F7B78" w:rsidRDefault="00F37164" w:rsidP="004F7B78">
      <w:pPr>
        <w:spacing w:after="0" w:line="360" w:lineRule="auto"/>
        <w:ind w:left="1440" w:firstLine="720"/>
        <w:jc w:val="both"/>
        <w:rPr>
          <w:b/>
          <w:sz w:val="28"/>
          <w:szCs w:val="24"/>
        </w:rPr>
      </w:pPr>
      <w:r>
        <w:rPr>
          <w:b/>
          <w:sz w:val="28"/>
          <w:szCs w:val="24"/>
        </w:rPr>
        <w:t>Venusha Autar Hemrazsing (Mrs)</w:t>
      </w:r>
      <w:r w:rsidR="004F7B78">
        <w:rPr>
          <w:b/>
          <w:sz w:val="28"/>
          <w:szCs w:val="24"/>
        </w:rPr>
        <w:tab/>
        <w:t>-</w:t>
      </w:r>
      <w:r w:rsidR="004F7B78">
        <w:rPr>
          <w:b/>
          <w:sz w:val="28"/>
          <w:szCs w:val="24"/>
        </w:rPr>
        <w:tab/>
        <w:t>Member</w:t>
      </w:r>
    </w:p>
    <w:p w14:paraId="500F24A3" w14:textId="77777777" w:rsidR="004F7B78" w:rsidRDefault="004F7B78" w:rsidP="004F7B78">
      <w:pPr>
        <w:spacing w:after="0" w:line="276" w:lineRule="auto"/>
        <w:jc w:val="both"/>
        <w:rPr>
          <w:b/>
          <w:sz w:val="24"/>
        </w:rPr>
      </w:pPr>
    </w:p>
    <w:p w14:paraId="6FFD6C0F" w14:textId="77777777" w:rsidR="004F7B78" w:rsidRDefault="004F7B78" w:rsidP="004F7B78">
      <w:pPr>
        <w:spacing w:after="0" w:line="276" w:lineRule="auto"/>
        <w:ind w:firstLine="720"/>
        <w:jc w:val="both"/>
        <w:rPr>
          <w:b/>
          <w:i/>
          <w:sz w:val="24"/>
        </w:rPr>
      </w:pPr>
      <w:r>
        <w:rPr>
          <w:b/>
          <w:i/>
          <w:sz w:val="24"/>
        </w:rPr>
        <w:t>In the matter of: -</w:t>
      </w:r>
    </w:p>
    <w:p w14:paraId="3E2BCD2A" w14:textId="77777777" w:rsidR="004F7B78" w:rsidRDefault="004F7B78" w:rsidP="004F7B78">
      <w:pPr>
        <w:spacing w:after="0" w:line="276" w:lineRule="auto"/>
        <w:jc w:val="center"/>
        <w:rPr>
          <w:b/>
          <w:sz w:val="28"/>
          <w:szCs w:val="28"/>
        </w:rPr>
      </w:pPr>
    </w:p>
    <w:p w14:paraId="167AF0C6" w14:textId="704433C8" w:rsidR="004F7B78" w:rsidRPr="004F7B78" w:rsidRDefault="004F7B78" w:rsidP="004F7B78">
      <w:pPr>
        <w:spacing w:after="0" w:line="276" w:lineRule="auto"/>
        <w:jc w:val="center"/>
        <w:rPr>
          <w:b/>
          <w:sz w:val="28"/>
          <w:szCs w:val="28"/>
        </w:rPr>
      </w:pPr>
      <w:r w:rsidRPr="004F7B78">
        <w:rPr>
          <w:b/>
          <w:sz w:val="28"/>
          <w:szCs w:val="28"/>
        </w:rPr>
        <w:t>Mrs Asha BHAGIRUTTY</w:t>
      </w:r>
    </w:p>
    <w:p w14:paraId="0573A9C9" w14:textId="77777777" w:rsidR="004F7B78" w:rsidRDefault="004F7B78" w:rsidP="004F7B78">
      <w:pPr>
        <w:spacing w:after="0" w:line="276" w:lineRule="auto"/>
        <w:jc w:val="right"/>
        <w:rPr>
          <w:sz w:val="24"/>
        </w:rPr>
      </w:pPr>
      <w:r>
        <w:rPr>
          <w:i/>
          <w:sz w:val="24"/>
        </w:rPr>
        <w:t>Disputant</w:t>
      </w:r>
    </w:p>
    <w:p w14:paraId="41452CEE" w14:textId="77777777" w:rsidR="004F7B78" w:rsidRDefault="004F7B78" w:rsidP="004F7B78">
      <w:pPr>
        <w:spacing w:after="0" w:line="276" w:lineRule="auto"/>
        <w:jc w:val="center"/>
        <w:rPr>
          <w:b/>
          <w:bCs/>
          <w:sz w:val="24"/>
        </w:rPr>
      </w:pPr>
      <w:r>
        <w:rPr>
          <w:b/>
          <w:bCs/>
          <w:sz w:val="24"/>
        </w:rPr>
        <w:t>and</w:t>
      </w:r>
    </w:p>
    <w:p w14:paraId="15D9870C" w14:textId="77777777" w:rsidR="004F7B78" w:rsidRDefault="004F7B78" w:rsidP="004F7B78">
      <w:pPr>
        <w:spacing w:after="0" w:line="276" w:lineRule="auto"/>
        <w:jc w:val="both"/>
        <w:rPr>
          <w:b/>
          <w:sz w:val="24"/>
        </w:rPr>
      </w:pPr>
    </w:p>
    <w:p w14:paraId="551E9001" w14:textId="77777777" w:rsidR="004F7B78" w:rsidRDefault="004F7B78" w:rsidP="004F7B78">
      <w:pPr>
        <w:spacing w:after="0" w:line="276" w:lineRule="auto"/>
        <w:jc w:val="center"/>
        <w:rPr>
          <w:b/>
          <w:sz w:val="28"/>
        </w:rPr>
      </w:pPr>
      <w:r>
        <w:rPr>
          <w:b/>
          <w:sz w:val="28"/>
        </w:rPr>
        <w:t>DEVELOPMENT BANK OF MAURITIUS LTD</w:t>
      </w:r>
    </w:p>
    <w:p w14:paraId="10875C7E" w14:textId="77777777" w:rsidR="004F7B78" w:rsidRDefault="004F7B78" w:rsidP="004F7B78">
      <w:pPr>
        <w:spacing w:after="0" w:line="276" w:lineRule="auto"/>
        <w:jc w:val="right"/>
        <w:rPr>
          <w:sz w:val="24"/>
        </w:rPr>
      </w:pPr>
      <w:r>
        <w:rPr>
          <w:i/>
          <w:sz w:val="24"/>
        </w:rPr>
        <w:t>Respondent</w:t>
      </w:r>
    </w:p>
    <w:p w14:paraId="32B66DBE" w14:textId="77777777" w:rsidR="00B36191" w:rsidRDefault="00B36191" w:rsidP="00B36191">
      <w:pPr>
        <w:spacing w:after="0" w:line="276" w:lineRule="auto"/>
        <w:jc w:val="both"/>
        <w:rPr>
          <w:b/>
          <w:sz w:val="24"/>
          <w:szCs w:val="24"/>
          <w:lang w:val="en-US"/>
        </w:rPr>
      </w:pPr>
    </w:p>
    <w:p w14:paraId="6340F5D2" w14:textId="77777777" w:rsidR="00B36191" w:rsidRPr="003A1782" w:rsidRDefault="00B36191" w:rsidP="00B36191">
      <w:pPr>
        <w:spacing w:after="0" w:line="276" w:lineRule="auto"/>
        <w:jc w:val="both"/>
        <w:rPr>
          <w:b/>
          <w:sz w:val="24"/>
          <w:szCs w:val="24"/>
        </w:rPr>
      </w:pPr>
    </w:p>
    <w:p w14:paraId="1C38F6BD" w14:textId="00468097" w:rsidR="00497FB3" w:rsidRDefault="00B36191" w:rsidP="00B36191">
      <w:pPr>
        <w:spacing w:after="0" w:line="276" w:lineRule="auto"/>
        <w:ind w:firstLine="720"/>
        <w:jc w:val="both"/>
        <w:rPr>
          <w:sz w:val="24"/>
          <w:szCs w:val="24"/>
        </w:rPr>
      </w:pPr>
      <w:r w:rsidRPr="00B36191">
        <w:rPr>
          <w:bCs/>
          <w:sz w:val="24"/>
          <w:szCs w:val="24"/>
        </w:rPr>
        <w:t xml:space="preserve">The </w:t>
      </w:r>
      <w:r>
        <w:rPr>
          <w:bCs/>
          <w:sz w:val="24"/>
          <w:szCs w:val="24"/>
        </w:rPr>
        <w:t xml:space="preserve">present matter is an </w:t>
      </w:r>
      <w:r>
        <w:rPr>
          <w:sz w:val="24"/>
          <w:szCs w:val="24"/>
        </w:rPr>
        <w:t>a</w:t>
      </w:r>
      <w:r w:rsidRPr="003A1782">
        <w:rPr>
          <w:sz w:val="24"/>
          <w:szCs w:val="24"/>
        </w:rPr>
        <w:t xml:space="preserve">pplication </w:t>
      </w:r>
      <w:r>
        <w:rPr>
          <w:sz w:val="24"/>
          <w:szCs w:val="24"/>
        </w:rPr>
        <w:t>u</w:t>
      </w:r>
      <w:r w:rsidRPr="003A1782">
        <w:rPr>
          <w:sz w:val="24"/>
          <w:szCs w:val="24"/>
        </w:rPr>
        <w:t xml:space="preserve">nder </w:t>
      </w:r>
      <w:r w:rsidRPr="003A1782">
        <w:rPr>
          <w:i/>
          <w:sz w:val="24"/>
          <w:szCs w:val="24"/>
        </w:rPr>
        <w:t xml:space="preserve">section </w:t>
      </w:r>
      <w:r>
        <w:rPr>
          <w:i/>
          <w:sz w:val="24"/>
          <w:szCs w:val="24"/>
        </w:rPr>
        <w:t>62</w:t>
      </w:r>
      <w:r w:rsidRPr="003A1782">
        <w:rPr>
          <w:i/>
          <w:sz w:val="24"/>
          <w:szCs w:val="24"/>
        </w:rPr>
        <w:t xml:space="preserve"> (</w:t>
      </w:r>
      <w:r>
        <w:rPr>
          <w:i/>
          <w:sz w:val="24"/>
          <w:szCs w:val="24"/>
        </w:rPr>
        <w:t>2</w:t>
      </w:r>
      <w:r w:rsidRPr="003A1782">
        <w:rPr>
          <w:i/>
          <w:sz w:val="24"/>
          <w:szCs w:val="24"/>
        </w:rPr>
        <w:t>)</w:t>
      </w:r>
      <w:r w:rsidRPr="003A1782">
        <w:rPr>
          <w:sz w:val="24"/>
          <w:szCs w:val="24"/>
        </w:rPr>
        <w:t xml:space="preserve"> of the </w:t>
      </w:r>
      <w:r w:rsidR="00BB6009">
        <w:rPr>
          <w:i/>
          <w:sz w:val="24"/>
          <w:szCs w:val="24"/>
        </w:rPr>
        <w:t xml:space="preserve">Employment Relations Act </w:t>
      </w:r>
      <w:r w:rsidR="00BB6009">
        <w:rPr>
          <w:iCs/>
          <w:sz w:val="24"/>
          <w:szCs w:val="24"/>
        </w:rPr>
        <w:t>(the “</w:t>
      </w:r>
      <w:r w:rsidR="00BB6009" w:rsidRPr="00BB6009">
        <w:rPr>
          <w:i/>
          <w:sz w:val="24"/>
          <w:szCs w:val="24"/>
        </w:rPr>
        <w:t>Act</w:t>
      </w:r>
      <w:r w:rsidR="00BB6009">
        <w:rPr>
          <w:iCs/>
          <w:sz w:val="24"/>
          <w:szCs w:val="24"/>
        </w:rPr>
        <w:t>”)</w:t>
      </w:r>
      <w:r w:rsidRPr="003A1782">
        <w:rPr>
          <w:sz w:val="24"/>
          <w:szCs w:val="24"/>
        </w:rPr>
        <w:t xml:space="preserve"> </w:t>
      </w:r>
      <w:r>
        <w:rPr>
          <w:sz w:val="24"/>
          <w:szCs w:val="24"/>
        </w:rPr>
        <w:t>for a declaration on the interpretation of section 4.1 (ii) of the Collective Agreement signed on 31 August 2023</w:t>
      </w:r>
      <w:r w:rsidR="00497FB3">
        <w:rPr>
          <w:sz w:val="24"/>
          <w:szCs w:val="24"/>
        </w:rPr>
        <w:t xml:space="preserve"> between the </w:t>
      </w:r>
      <w:r w:rsidR="00943304">
        <w:rPr>
          <w:sz w:val="24"/>
          <w:szCs w:val="24"/>
        </w:rPr>
        <w:t>Development Bank of Mauritius (“DBM”) Ltd</w:t>
      </w:r>
      <w:r w:rsidR="00497FB3">
        <w:rPr>
          <w:sz w:val="24"/>
          <w:szCs w:val="24"/>
        </w:rPr>
        <w:t xml:space="preserve"> and the DBM Ltd Staff Association</w:t>
      </w:r>
      <w:r w:rsidR="007E0D04">
        <w:rPr>
          <w:sz w:val="24"/>
          <w:szCs w:val="24"/>
        </w:rPr>
        <w:t xml:space="preserve"> (“DBMSA”)</w:t>
      </w:r>
      <w:r>
        <w:rPr>
          <w:sz w:val="24"/>
          <w:szCs w:val="24"/>
        </w:rPr>
        <w:t xml:space="preserve">. </w:t>
      </w:r>
      <w:r w:rsidR="00497FB3">
        <w:rPr>
          <w:sz w:val="24"/>
          <w:szCs w:val="24"/>
        </w:rPr>
        <w:t>The question of interpretation has been formulated as follows:</w:t>
      </w:r>
    </w:p>
    <w:p w14:paraId="547013A1" w14:textId="77777777" w:rsidR="00497FB3" w:rsidRDefault="00497FB3" w:rsidP="002E0DDA">
      <w:pPr>
        <w:spacing w:after="0" w:line="276" w:lineRule="auto"/>
        <w:ind w:right="996" w:firstLine="720"/>
        <w:jc w:val="both"/>
        <w:rPr>
          <w:sz w:val="24"/>
          <w:szCs w:val="24"/>
        </w:rPr>
      </w:pPr>
    </w:p>
    <w:p w14:paraId="6AADF422" w14:textId="75199029" w:rsidR="00497FB3" w:rsidRPr="00F739CA" w:rsidRDefault="00497FB3" w:rsidP="002E0DDA">
      <w:pPr>
        <w:spacing w:after="0" w:line="276" w:lineRule="auto"/>
        <w:ind w:left="720" w:right="996"/>
        <w:jc w:val="both"/>
        <w:rPr>
          <w:i/>
          <w:iCs/>
          <w:sz w:val="24"/>
          <w:szCs w:val="24"/>
        </w:rPr>
      </w:pPr>
      <w:r w:rsidRPr="00F739CA">
        <w:rPr>
          <w:i/>
          <w:iCs/>
          <w:sz w:val="24"/>
          <w:szCs w:val="24"/>
        </w:rPr>
        <w:t xml:space="preserve">Whether, in relation to an application for the payment of the one-off cash grant equivalent to duty remission on the purchase of a hybrid/electric car as mentioned in the said section 4.1 (ii), there is a requirement for the applicant to provide the quantum of duty element for an equivalent vehicle run by petrol. </w:t>
      </w:r>
    </w:p>
    <w:p w14:paraId="70BC6F53" w14:textId="0807BBDE" w:rsidR="00497FB3" w:rsidRDefault="00497FB3" w:rsidP="00497FB3">
      <w:pPr>
        <w:spacing w:after="0" w:line="276" w:lineRule="auto"/>
        <w:jc w:val="both"/>
        <w:rPr>
          <w:sz w:val="24"/>
          <w:szCs w:val="24"/>
        </w:rPr>
      </w:pPr>
    </w:p>
    <w:p w14:paraId="2BBED8BD" w14:textId="4832450A" w:rsidR="00497FB3" w:rsidRDefault="00497FB3" w:rsidP="00497FB3">
      <w:pPr>
        <w:spacing w:after="0" w:line="276" w:lineRule="auto"/>
        <w:jc w:val="both"/>
        <w:rPr>
          <w:sz w:val="24"/>
          <w:szCs w:val="24"/>
        </w:rPr>
      </w:pPr>
    </w:p>
    <w:p w14:paraId="4B8F6B12" w14:textId="5A70745F" w:rsidR="00503E29" w:rsidRDefault="00503E29" w:rsidP="00497FB3">
      <w:pPr>
        <w:spacing w:after="0" w:line="276" w:lineRule="auto"/>
        <w:jc w:val="both"/>
        <w:rPr>
          <w:sz w:val="24"/>
          <w:szCs w:val="24"/>
        </w:rPr>
      </w:pPr>
      <w:r>
        <w:rPr>
          <w:sz w:val="24"/>
          <w:szCs w:val="24"/>
        </w:rPr>
        <w:lastRenderedPageBreak/>
        <w:tab/>
        <w:t>Both parties were assisted by Counsel</w:t>
      </w:r>
      <w:r w:rsidR="00855F76">
        <w:rPr>
          <w:sz w:val="24"/>
          <w:szCs w:val="24"/>
        </w:rPr>
        <w:t>. Mr G. Bhanji Soni appeared for the Applicant, whereas Mr M. Ajodah appeared for the Respondent instructed by Mr R. Bucktowonsing, Senior Attorney.</w:t>
      </w:r>
      <w:r>
        <w:rPr>
          <w:sz w:val="24"/>
          <w:szCs w:val="24"/>
        </w:rPr>
        <w:t xml:space="preserve"> </w:t>
      </w:r>
      <w:r w:rsidR="00855F76">
        <w:rPr>
          <w:sz w:val="24"/>
          <w:szCs w:val="24"/>
        </w:rPr>
        <w:t>B</w:t>
      </w:r>
      <w:r>
        <w:rPr>
          <w:sz w:val="24"/>
          <w:szCs w:val="24"/>
        </w:rPr>
        <w:t xml:space="preserve">oth parties have put in their respective Statement of Case in the matter. </w:t>
      </w:r>
    </w:p>
    <w:p w14:paraId="4A84CA01" w14:textId="59EBD00A" w:rsidR="00503E29" w:rsidRDefault="00503E29" w:rsidP="00497FB3">
      <w:pPr>
        <w:spacing w:after="0" w:line="276" w:lineRule="auto"/>
        <w:jc w:val="both"/>
        <w:rPr>
          <w:sz w:val="24"/>
          <w:szCs w:val="24"/>
        </w:rPr>
      </w:pPr>
    </w:p>
    <w:p w14:paraId="4698FD07" w14:textId="0CE1C8B9" w:rsidR="00503E29" w:rsidRDefault="00503E29" w:rsidP="00497FB3">
      <w:pPr>
        <w:spacing w:after="0" w:line="276" w:lineRule="auto"/>
        <w:jc w:val="both"/>
        <w:rPr>
          <w:sz w:val="24"/>
          <w:szCs w:val="24"/>
        </w:rPr>
      </w:pPr>
    </w:p>
    <w:p w14:paraId="4CDE17FB" w14:textId="10FF4EAC" w:rsidR="00BF2DD2" w:rsidRDefault="00BF2DD2" w:rsidP="00497FB3">
      <w:pPr>
        <w:spacing w:after="0" w:line="276" w:lineRule="auto"/>
        <w:jc w:val="both"/>
        <w:rPr>
          <w:sz w:val="24"/>
          <w:szCs w:val="24"/>
        </w:rPr>
      </w:pPr>
      <w:r>
        <w:rPr>
          <w:sz w:val="24"/>
          <w:szCs w:val="24"/>
        </w:rPr>
        <w:tab/>
        <w:t>Counsel for the Applicant called Mr Ganesh Singh Hardowar, Chief Operating Officer at Leal &amp; Co Ltd, out of turn. The witness notably stated that the X1 sDrive 18i is an internal combustion engine 1500cc and the X1 sDrive 20i is a 2 litres petrol engine coupled with an electric motor, it is a mild hybrid. He produced a table of duty applicable (Document A)</w:t>
      </w:r>
      <w:r w:rsidR="001F0928">
        <w:rPr>
          <w:sz w:val="24"/>
          <w:szCs w:val="24"/>
        </w:rPr>
        <w:t xml:space="preserve"> and</w:t>
      </w:r>
      <w:r>
        <w:rPr>
          <w:sz w:val="24"/>
          <w:szCs w:val="24"/>
        </w:rPr>
        <w:t xml:space="preserve"> a table of the technical specifications of the two vehicles (Document B). </w:t>
      </w:r>
      <w:r w:rsidR="00E67C86">
        <w:rPr>
          <w:sz w:val="24"/>
          <w:szCs w:val="24"/>
        </w:rPr>
        <w:t>T</w:t>
      </w:r>
      <w:r>
        <w:rPr>
          <w:sz w:val="24"/>
          <w:szCs w:val="24"/>
        </w:rPr>
        <w:t>he mi</w:t>
      </w:r>
      <w:r w:rsidR="00E67C86">
        <w:rPr>
          <w:sz w:val="24"/>
          <w:szCs w:val="24"/>
        </w:rPr>
        <w:t>l</w:t>
      </w:r>
      <w:r>
        <w:rPr>
          <w:sz w:val="24"/>
          <w:szCs w:val="24"/>
        </w:rPr>
        <w:t>d hybrid has a petrol engine of 1500 cc. The close</w:t>
      </w:r>
      <w:r w:rsidR="001B1B58">
        <w:rPr>
          <w:sz w:val="24"/>
          <w:szCs w:val="24"/>
        </w:rPr>
        <w:t>st</w:t>
      </w:r>
      <w:r>
        <w:rPr>
          <w:sz w:val="24"/>
          <w:szCs w:val="24"/>
        </w:rPr>
        <w:t xml:space="preserve"> to the 20i is a 1.8 referring to Document B. There is no equivalent for that. The duty payable on the X1 18i is Rs 453,109 at the time the Applicant obtained her vehicle on 18 July 2024.</w:t>
      </w:r>
      <w:r w:rsidR="00E67C86">
        <w:rPr>
          <w:sz w:val="24"/>
          <w:szCs w:val="24"/>
        </w:rPr>
        <w:t xml:space="preserve"> The two vehicles have the same engine capacity, 1500 cc. They are the closest and the 20i has an additional booster of 48 volts.</w:t>
      </w:r>
      <w:r w:rsidR="006470BC">
        <w:rPr>
          <w:sz w:val="24"/>
          <w:szCs w:val="24"/>
        </w:rPr>
        <w:t xml:space="preserve"> The witness was not cross-examined</w:t>
      </w:r>
      <w:r w:rsidR="00F442C3">
        <w:rPr>
          <w:sz w:val="24"/>
          <w:szCs w:val="24"/>
        </w:rPr>
        <w:t xml:space="preserve"> by Counsel for the Respondent</w:t>
      </w:r>
      <w:r w:rsidR="006470BC">
        <w:rPr>
          <w:sz w:val="24"/>
          <w:szCs w:val="24"/>
        </w:rPr>
        <w:t xml:space="preserve">. </w:t>
      </w:r>
      <w:r w:rsidR="00E67C86">
        <w:rPr>
          <w:sz w:val="24"/>
          <w:szCs w:val="24"/>
        </w:rPr>
        <w:t xml:space="preserve"> </w:t>
      </w:r>
      <w:r>
        <w:rPr>
          <w:sz w:val="24"/>
          <w:szCs w:val="24"/>
        </w:rPr>
        <w:t xml:space="preserve">      </w:t>
      </w:r>
    </w:p>
    <w:p w14:paraId="0C72C24E" w14:textId="77777777" w:rsidR="00BF2DD2" w:rsidRDefault="00BF2DD2" w:rsidP="00497FB3">
      <w:pPr>
        <w:spacing w:after="0" w:line="276" w:lineRule="auto"/>
        <w:jc w:val="both"/>
        <w:rPr>
          <w:sz w:val="24"/>
          <w:szCs w:val="24"/>
        </w:rPr>
      </w:pPr>
    </w:p>
    <w:p w14:paraId="73233076" w14:textId="77777777" w:rsidR="00BF2DD2" w:rsidRDefault="00BF2DD2" w:rsidP="00497FB3">
      <w:pPr>
        <w:spacing w:after="0" w:line="276" w:lineRule="auto"/>
        <w:jc w:val="both"/>
        <w:rPr>
          <w:sz w:val="24"/>
          <w:szCs w:val="24"/>
        </w:rPr>
      </w:pPr>
    </w:p>
    <w:p w14:paraId="3A37C6DA" w14:textId="342DF6D4" w:rsidR="001E06CB" w:rsidRDefault="00497FB3" w:rsidP="00497FB3">
      <w:pPr>
        <w:spacing w:after="0" w:line="276" w:lineRule="auto"/>
        <w:jc w:val="both"/>
        <w:rPr>
          <w:sz w:val="24"/>
          <w:szCs w:val="24"/>
        </w:rPr>
      </w:pPr>
      <w:r>
        <w:rPr>
          <w:sz w:val="24"/>
          <w:szCs w:val="24"/>
        </w:rPr>
        <w:tab/>
      </w:r>
      <w:r w:rsidR="00503E29">
        <w:rPr>
          <w:sz w:val="24"/>
          <w:szCs w:val="24"/>
        </w:rPr>
        <w:t>The Applicant</w:t>
      </w:r>
      <w:r w:rsidR="00F20BAB">
        <w:rPr>
          <w:sz w:val="24"/>
          <w:szCs w:val="24"/>
        </w:rPr>
        <w:t>,</w:t>
      </w:r>
      <w:r w:rsidR="00503E29">
        <w:rPr>
          <w:sz w:val="24"/>
          <w:szCs w:val="24"/>
        </w:rPr>
        <w:t xml:space="preserve"> Mrs Asha B</w:t>
      </w:r>
      <w:r w:rsidR="00406FCF">
        <w:rPr>
          <w:sz w:val="24"/>
          <w:szCs w:val="24"/>
        </w:rPr>
        <w:t>h</w:t>
      </w:r>
      <w:r w:rsidR="00503E29">
        <w:rPr>
          <w:sz w:val="24"/>
          <w:szCs w:val="24"/>
        </w:rPr>
        <w:t>agirutty was</w:t>
      </w:r>
      <w:r w:rsidR="00BF2DD2">
        <w:rPr>
          <w:sz w:val="24"/>
          <w:szCs w:val="24"/>
        </w:rPr>
        <w:t xml:space="preserve"> then</w:t>
      </w:r>
      <w:r w:rsidR="00503E29">
        <w:rPr>
          <w:sz w:val="24"/>
          <w:szCs w:val="24"/>
        </w:rPr>
        <w:t xml:space="preserve"> called to depone and she solemnly affirmed as to the correctness of her Statement of Case. </w:t>
      </w:r>
      <w:r w:rsidR="00F739CA">
        <w:rPr>
          <w:sz w:val="24"/>
          <w:szCs w:val="24"/>
        </w:rPr>
        <w:t>Upon questions from Counsel for the Respondent, the Applicant notably stated that she has not signed the Collective Agreement</w:t>
      </w:r>
      <w:r w:rsidR="002E0DDA">
        <w:rPr>
          <w:sz w:val="24"/>
          <w:szCs w:val="24"/>
        </w:rPr>
        <w:t>,</w:t>
      </w:r>
      <w:r w:rsidR="00F739CA">
        <w:rPr>
          <w:sz w:val="24"/>
          <w:szCs w:val="24"/>
        </w:rPr>
        <w:t xml:space="preserve"> which has been signed by the DBM Ltd and the DBM</w:t>
      </w:r>
      <w:r w:rsidR="007E0D04">
        <w:rPr>
          <w:sz w:val="24"/>
          <w:szCs w:val="24"/>
        </w:rPr>
        <w:t>SA</w:t>
      </w:r>
      <w:r w:rsidR="002E0DDA">
        <w:rPr>
          <w:sz w:val="24"/>
          <w:szCs w:val="24"/>
        </w:rPr>
        <w:t>.</w:t>
      </w:r>
      <w:r w:rsidR="00F739CA">
        <w:rPr>
          <w:sz w:val="24"/>
          <w:szCs w:val="24"/>
        </w:rPr>
        <w:t xml:space="preserve"> </w:t>
      </w:r>
      <w:r w:rsidR="00F20BAB">
        <w:rPr>
          <w:sz w:val="24"/>
          <w:szCs w:val="24"/>
        </w:rPr>
        <w:t xml:space="preserve">As per paragraph o. of her Statement of Case, the car she has purchased has no equivalent run by petrol. Paragraph 4.1 (ii) of the Collective Agreement refers to paragraph 4.93 (B) of the Report “Review of Pay and Grading Structures and Conditions of Employment of the Development Bank of Mauritius Ltd (July 2021)”. The maximum she would be entitled to as duty remission is Rs 450,000. </w:t>
      </w:r>
      <w:r w:rsidR="00C372B9">
        <w:rPr>
          <w:sz w:val="24"/>
          <w:szCs w:val="24"/>
        </w:rPr>
        <w:t>She agreed that there is not a fixed quantum payable under paragraph 4.1 (ii) of the Collective Agreement. In the Collective Agreement, no mention has been made that for implementation they need to submit an equivalent</w:t>
      </w:r>
      <w:r w:rsidR="006E5CA2">
        <w:rPr>
          <w:sz w:val="24"/>
          <w:szCs w:val="24"/>
        </w:rPr>
        <w:t xml:space="preserve"> document</w:t>
      </w:r>
      <w:r w:rsidR="00C372B9">
        <w:rPr>
          <w:sz w:val="24"/>
          <w:szCs w:val="24"/>
        </w:rPr>
        <w:t>.</w:t>
      </w:r>
      <w:r w:rsidR="002C6AF5">
        <w:rPr>
          <w:sz w:val="24"/>
          <w:szCs w:val="24"/>
        </w:rPr>
        <w:t xml:space="preserve"> The Rs 453,000 stated by Leal </w:t>
      </w:r>
      <w:r w:rsidR="002E0DDA">
        <w:rPr>
          <w:sz w:val="24"/>
          <w:szCs w:val="24"/>
        </w:rPr>
        <w:t xml:space="preserve">as duty </w:t>
      </w:r>
      <w:r w:rsidR="002C6AF5">
        <w:rPr>
          <w:sz w:val="24"/>
          <w:szCs w:val="24"/>
        </w:rPr>
        <w:t xml:space="preserve">is not from an equivalent vehicle but from the closest one. </w:t>
      </w:r>
    </w:p>
    <w:p w14:paraId="56E6CD9E" w14:textId="77777777" w:rsidR="001E06CB" w:rsidRDefault="001E06CB" w:rsidP="00497FB3">
      <w:pPr>
        <w:spacing w:after="0" w:line="276" w:lineRule="auto"/>
        <w:jc w:val="both"/>
        <w:rPr>
          <w:sz w:val="24"/>
          <w:szCs w:val="24"/>
        </w:rPr>
      </w:pPr>
    </w:p>
    <w:p w14:paraId="76D27762" w14:textId="77777777" w:rsidR="001E06CB" w:rsidRDefault="001E06CB" w:rsidP="00497FB3">
      <w:pPr>
        <w:spacing w:after="0" w:line="276" w:lineRule="auto"/>
        <w:jc w:val="both"/>
        <w:rPr>
          <w:sz w:val="24"/>
          <w:szCs w:val="24"/>
        </w:rPr>
      </w:pPr>
    </w:p>
    <w:p w14:paraId="611C21A9" w14:textId="160ED1B1" w:rsidR="00D431BB" w:rsidRDefault="001E06CB" w:rsidP="00497FB3">
      <w:pPr>
        <w:spacing w:after="0" w:line="276" w:lineRule="auto"/>
        <w:jc w:val="both"/>
        <w:rPr>
          <w:sz w:val="24"/>
          <w:szCs w:val="24"/>
        </w:rPr>
      </w:pPr>
      <w:r>
        <w:rPr>
          <w:sz w:val="24"/>
          <w:szCs w:val="24"/>
        </w:rPr>
        <w:tab/>
        <w:t xml:space="preserve">Mrs Maya Mooneesawmy, Ag. Assistant Head of DBM Ltd, deposed on behalf of the Respondent. </w:t>
      </w:r>
      <w:r w:rsidR="008700D6">
        <w:rPr>
          <w:sz w:val="24"/>
          <w:szCs w:val="24"/>
        </w:rPr>
        <w:t xml:space="preserve">She solemnly affirmed as to the contents of the Respondent’s Statement of Case. </w:t>
      </w:r>
      <w:r w:rsidR="002E0DDA">
        <w:rPr>
          <w:sz w:val="24"/>
          <w:szCs w:val="24"/>
        </w:rPr>
        <w:t>S</w:t>
      </w:r>
      <w:r w:rsidR="00956E76">
        <w:rPr>
          <w:sz w:val="24"/>
          <w:szCs w:val="24"/>
        </w:rPr>
        <w:t xml:space="preserve">he notably stated that the cash grant has been given to staff as an </w:t>
      </w:r>
      <w:r w:rsidR="00276EFE">
        <w:rPr>
          <w:sz w:val="24"/>
          <w:szCs w:val="24"/>
        </w:rPr>
        <w:t>inducement</w:t>
      </w:r>
      <w:r w:rsidR="00956E76">
        <w:rPr>
          <w:sz w:val="24"/>
          <w:szCs w:val="24"/>
        </w:rPr>
        <w:t xml:space="preserve"> to purchase</w:t>
      </w:r>
      <w:r w:rsidR="002E0DDA">
        <w:rPr>
          <w:sz w:val="24"/>
          <w:szCs w:val="24"/>
        </w:rPr>
        <w:t xml:space="preserve"> an</w:t>
      </w:r>
      <w:r w:rsidR="00956E76">
        <w:rPr>
          <w:sz w:val="24"/>
          <w:szCs w:val="24"/>
        </w:rPr>
        <w:t xml:space="preserve"> electric or hybrid vehicle, being equivalent to the duty remission on a vehicle run by petrol and for the Applicant, it is a maximum of Rs 450,000. This has to be calculated depending on the model and duty on the car. Th</w:t>
      </w:r>
      <w:r w:rsidR="002E0DDA">
        <w:rPr>
          <w:sz w:val="24"/>
          <w:szCs w:val="24"/>
        </w:rPr>
        <w:t>is i</w:t>
      </w:r>
      <w:r w:rsidR="00956E76">
        <w:rPr>
          <w:sz w:val="24"/>
          <w:szCs w:val="24"/>
        </w:rPr>
        <w:t xml:space="preserve">s why they asked for its implementation and asked for duty on </w:t>
      </w:r>
      <w:r w:rsidR="00406FCF">
        <w:rPr>
          <w:sz w:val="24"/>
          <w:szCs w:val="24"/>
        </w:rPr>
        <w:t>an</w:t>
      </w:r>
      <w:r w:rsidR="00956E76">
        <w:rPr>
          <w:sz w:val="24"/>
          <w:szCs w:val="24"/>
        </w:rPr>
        <w:t xml:space="preserve"> equivalent vehicle run by petrol and the calculation would be done by this figure. </w:t>
      </w:r>
      <w:r w:rsidR="00EF3F8A">
        <w:rPr>
          <w:sz w:val="24"/>
          <w:szCs w:val="24"/>
        </w:rPr>
        <w:t xml:space="preserve">In the </w:t>
      </w:r>
      <w:r w:rsidR="00EF3F8A">
        <w:rPr>
          <w:sz w:val="24"/>
          <w:szCs w:val="24"/>
        </w:rPr>
        <w:lastRenderedPageBreak/>
        <w:t xml:space="preserve">absence of an equivalent vehicle running on petrol, the DBM is not in a position to implement paragraph 4.1 (ii). </w:t>
      </w:r>
    </w:p>
    <w:p w14:paraId="4978FEE7" w14:textId="77777777" w:rsidR="00D431BB" w:rsidRDefault="00D431BB" w:rsidP="00497FB3">
      <w:pPr>
        <w:spacing w:after="0" w:line="276" w:lineRule="auto"/>
        <w:jc w:val="both"/>
        <w:rPr>
          <w:sz w:val="24"/>
          <w:szCs w:val="24"/>
        </w:rPr>
      </w:pPr>
    </w:p>
    <w:p w14:paraId="0C836E0F" w14:textId="77777777" w:rsidR="00D431BB" w:rsidRDefault="00D431BB" w:rsidP="00497FB3">
      <w:pPr>
        <w:spacing w:after="0" w:line="276" w:lineRule="auto"/>
        <w:jc w:val="both"/>
        <w:rPr>
          <w:sz w:val="24"/>
          <w:szCs w:val="24"/>
        </w:rPr>
      </w:pPr>
    </w:p>
    <w:p w14:paraId="1B5EF160" w14:textId="77777777" w:rsidR="0080158F" w:rsidRDefault="00D431BB" w:rsidP="00497FB3">
      <w:pPr>
        <w:spacing w:after="0" w:line="276" w:lineRule="auto"/>
        <w:jc w:val="both"/>
        <w:rPr>
          <w:sz w:val="24"/>
          <w:szCs w:val="24"/>
        </w:rPr>
      </w:pPr>
      <w:r>
        <w:rPr>
          <w:sz w:val="24"/>
          <w:szCs w:val="24"/>
        </w:rPr>
        <w:tab/>
        <w:t xml:space="preserve">When questioned by Counsel for the Applicant, </w:t>
      </w:r>
      <w:r w:rsidR="00406FCF">
        <w:rPr>
          <w:sz w:val="24"/>
          <w:szCs w:val="24"/>
        </w:rPr>
        <w:t>the Respondent’s representative</w:t>
      </w:r>
      <w:r>
        <w:rPr>
          <w:sz w:val="24"/>
          <w:szCs w:val="24"/>
        </w:rPr>
        <w:t xml:space="preserve"> notably stated that </w:t>
      </w:r>
      <w:r w:rsidR="00746A37">
        <w:rPr>
          <w:sz w:val="24"/>
          <w:szCs w:val="24"/>
        </w:rPr>
        <w:t>the implementation was a Board decision. There is no such condition in paragraph 4.1 (ii) requesting the individual employee to submit an equivalent for a car run by petrol, but as the amount to be paid was subject to a maximum of Rs 450,000, how can they pay the concerned persons. She cannot vouch if there was any consultation by the Board before the decision was imposed, she is not aware. The car purchased by the Applicant is not equivalent, it is the closest. If it was equivalent, the bank would pay.</w:t>
      </w:r>
      <w:r w:rsidR="00377286">
        <w:rPr>
          <w:sz w:val="24"/>
          <w:szCs w:val="24"/>
        </w:rPr>
        <w:t xml:space="preserve"> </w:t>
      </w:r>
    </w:p>
    <w:p w14:paraId="61621AB0" w14:textId="77777777" w:rsidR="0080158F" w:rsidRDefault="0080158F" w:rsidP="00497FB3">
      <w:pPr>
        <w:spacing w:after="0" w:line="276" w:lineRule="auto"/>
        <w:jc w:val="both"/>
        <w:rPr>
          <w:sz w:val="24"/>
          <w:szCs w:val="24"/>
        </w:rPr>
      </w:pPr>
    </w:p>
    <w:p w14:paraId="17321F46" w14:textId="77777777" w:rsidR="0080158F" w:rsidRDefault="0080158F" w:rsidP="00497FB3">
      <w:pPr>
        <w:spacing w:after="0" w:line="276" w:lineRule="auto"/>
        <w:jc w:val="both"/>
        <w:rPr>
          <w:sz w:val="24"/>
          <w:szCs w:val="24"/>
        </w:rPr>
      </w:pPr>
    </w:p>
    <w:p w14:paraId="79EE9509" w14:textId="6C9B0019" w:rsidR="00BB6009" w:rsidRDefault="0080158F" w:rsidP="00497FB3">
      <w:pPr>
        <w:spacing w:after="0" w:line="276" w:lineRule="auto"/>
        <w:jc w:val="both"/>
        <w:rPr>
          <w:sz w:val="24"/>
          <w:szCs w:val="24"/>
        </w:rPr>
      </w:pPr>
      <w:r>
        <w:rPr>
          <w:sz w:val="24"/>
          <w:szCs w:val="24"/>
        </w:rPr>
        <w:tab/>
        <w:t xml:space="preserve">In submissions, Learned Counsel for the Applicant notably stated that </w:t>
      </w:r>
      <w:r w:rsidR="00A450C2">
        <w:rPr>
          <w:sz w:val="24"/>
          <w:szCs w:val="24"/>
        </w:rPr>
        <w:t>th</w:t>
      </w:r>
      <w:r w:rsidR="00A175AA">
        <w:rPr>
          <w:sz w:val="24"/>
          <w:szCs w:val="24"/>
        </w:rPr>
        <w:t>e</w:t>
      </w:r>
      <w:r w:rsidR="00A450C2">
        <w:rPr>
          <w:sz w:val="24"/>
          <w:szCs w:val="24"/>
        </w:rPr>
        <w:t xml:space="preserve"> matter is one of interpretation of paragraph 4.1 (ii), whether the employer can through the backdoor impose an impossible condition on staff that has already acquired a vehicle. The Boa</w:t>
      </w:r>
      <w:r w:rsidR="00BA7A5D">
        <w:rPr>
          <w:sz w:val="24"/>
          <w:szCs w:val="24"/>
        </w:rPr>
        <w:t>r</w:t>
      </w:r>
      <w:r w:rsidR="00A450C2">
        <w:rPr>
          <w:sz w:val="24"/>
          <w:szCs w:val="24"/>
        </w:rPr>
        <w:t xml:space="preserve">d cannot impose a condition which is not available in the particular market for the vehicle, it can be available for other vehicles. </w:t>
      </w:r>
      <w:r w:rsidR="0069728B">
        <w:rPr>
          <w:sz w:val="24"/>
          <w:szCs w:val="24"/>
        </w:rPr>
        <w:t>There is this condition that staff should submit an equivalent run by petrol. The matter of interpretation</w:t>
      </w:r>
      <w:r w:rsidR="001E404D">
        <w:rPr>
          <w:sz w:val="24"/>
          <w:szCs w:val="24"/>
        </w:rPr>
        <w:t xml:space="preserve"> </w:t>
      </w:r>
      <w:r w:rsidR="0069728B">
        <w:rPr>
          <w:sz w:val="24"/>
          <w:szCs w:val="24"/>
        </w:rPr>
        <w:t>is whether</w:t>
      </w:r>
      <w:r w:rsidR="001E404D">
        <w:rPr>
          <w:sz w:val="24"/>
          <w:szCs w:val="24"/>
        </w:rPr>
        <w:t>, in paragraph 4.1 (ii),</w:t>
      </w:r>
      <w:r w:rsidR="0069728B">
        <w:rPr>
          <w:sz w:val="24"/>
          <w:szCs w:val="24"/>
        </w:rPr>
        <w:t xml:space="preserve"> the</w:t>
      </w:r>
      <w:r w:rsidR="001E404D">
        <w:rPr>
          <w:sz w:val="24"/>
          <w:szCs w:val="24"/>
        </w:rPr>
        <w:t>re</w:t>
      </w:r>
      <w:r w:rsidR="0069728B">
        <w:rPr>
          <w:sz w:val="24"/>
          <w:szCs w:val="24"/>
        </w:rPr>
        <w:t xml:space="preserve"> is need to obtain that particular condition to show that there is an equivalent vehicle run by petrol. </w:t>
      </w:r>
      <w:r w:rsidR="00A450C2">
        <w:rPr>
          <w:sz w:val="24"/>
          <w:szCs w:val="24"/>
        </w:rPr>
        <w:t xml:space="preserve">  </w:t>
      </w:r>
    </w:p>
    <w:p w14:paraId="1B04CF89" w14:textId="77777777" w:rsidR="00BB6009" w:rsidRDefault="00BB6009" w:rsidP="00497FB3">
      <w:pPr>
        <w:spacing w:after="0" w:line="276" w:lineRule="auto"/>
        <w:jc w:val="both"/>
        <w:rPr>
          <w:sz w:val="24"/>
          <w:szCs w:val="24"/>
        </w:rPr>
      </w:pPr>
    </w:p>
    <w:p w14:paraId="1B6FC272" w14:textId="77777777" w:rsidR="00BB6009" w:rsidRDefault="00BB6009" w:rsidP="00497FB3">
      <w:pPr>
        <w:spacing w:after="0" w:line="276" w:lineRule="auto"/>
        <w:jc w:val="both"/>
        <w:rPr>
          <w:sz w:val="24"/>
          <w:szCs w:val="24"/>
        </w:rPr>
      </w:pPr>
    </w:p>
    <w:p w14:paraId="7E58E259" w14:textId="77777777" w:rsidR="00AA50AC" w:rsidRDefault="00BB6009" w:rsidP="00497FB3">
      <w:pPr>
        <w:spacing w:after="0" w:line="276" w:lineRule="auto"/>
        <w:jc w:val="both"/>
        <w:rPr>
          <w:sz w:val="24"/>
          <w:szCs w:val="24"/>
        </w:rPr>
      </w:pPr>
      <w:r>
        <w:rPr>
          <w:sz w:val="24"/>
          <w:szCs w:val="24"/>
        </w:rPr>
        <w:tab/>
        <w:t xml:space="preserve">On the other hand, Learned Counsel for the Respondent has submitted mainly on the preliminary objection raised in the Respondent’s Statement of Defence to the effect that the Disputant does not have the required </w:t>
      </w:r>
      <w:r w:rsidRPr="00BB6009">
        <w:rPr>
          <w:i/>
          <w:iCs/>
          <w:sz w:val="24"/>
          <w:szCs w:val="24"/>
        </w:rPr>
        <w:t>locus standi</w:t>
      </w:r>
      <w:r>
        <w:rPr>
          <w:sz w:val="24"/>
          <w:szCs w:val="24"/>
        </w:rPr>
        <w:t xml:space="preserve"> to apply to the Tribunal to interpret the Collective Agreement under </w:t>
      </w:r>
      <w:r w:rsidRPr="00BB6009">
        <w:rPr>
          <w:i/>
          <w:iCs/>
          <w:sz w:val="24"/>
          <w:szCs w:val="24"/>
        </w:rPr>
        <w:t>section 62 (2)</w:t>
      </w:r>
      <w:r>
        <w:rPr>
          <w:sz w:val="24"/>
          <w:szCs w:val="24"/>
        </w:rPr>
        <w:t xml:space="preserve"> of the </w:t>
      </w:r>
      <w:r w:rsidRPr="00BB6009">
        <w:rPr>
          <w:i/>
          <w:iCs/>
          <w:sz w:val="24"/>
          <w:szCs w:val="24"/>
        </w:rPr>
        <w:t>Act</w:t>
      </w:r>
      <w:r>
        <w:rPr>
          <w:sz w:val="24"/>
          <w:szCs w:val="24"/>
        </w:rPr>
        <w:t>.</w:t>
      </w:r>
      <w:r w:rsidR="0023452F">
        <w:rPr>
          <w:sz w:val="24"/>
          <w:szCs w:val="24"/>
        </w:rPr>
        <w:t xml:space="preserve"> Counsel notably referred to the definition of collective agreement under </w:t>
      </w:r>
      <w:r w:rsidR="0023452F" w:rsidRPr="0023452F">
        <w:rPr>
          <w:i/>
          <w:iCs/>
          <w:sz w:val="24"/>
          <w:szCs w:val="24"/>
        </w:rPr>
        <w:t>section 2</w:t>
      </w:r>
      <w:r w:rsidR="0023452F">
        <w:rPr>
          <w:sz w:val="24"/>
          <w:szCs w:val="24"/>
        </w:rPr>
        <w:t xml:space="preserve"> of the </w:t>
      </w:r>
      <w:r w:rsidR="0023452F" w:rsidRPr="0023452F">
        <w:rPr>
          <w:i/>
          <w:iCs/>
          <w:sz w:val="24"/>
          <w:szCs w:val="24"/>
        </w:rPr>
        <w:t>Act</w:t>
      </w:r>
      <w:r w:rsidR="0023452F">
        <w:rPr>
          <w:sz w:val="24"/>
          <w:szCs w:val="24"/>
        </w:rPr>
        <w:t xml:space="preserve"> as being made between a union or a group of unions</w:t>
      </w:r>
      <w:r>
        <w:rPr>
          <w:sz w:val="24"/>
          <w:szCs w:val="24"/>
        </w:rPr>
        <w:t xml:space="preserve"> </w:t>
      </w:r>
      <w:r w:rsidR="0023452F">
        <w:rPr>
          <w:sz w:val="24"/>
          <w:szCs w:val="24"/>
        </w:rPr>
        <w:t xml:space="preserve"> and an employer or a group of employers. As per </w:t>
      </w:r>
      <w:r w:rsidR="0023452F" w:rsidRPr="0023452F">
        <w:rPr>
          <w:i/>
          <w:iCs/>
          <w:sz w:val="24"/>
          <w:szCs w:val="24"/>
        </w:rPr>
        <w:t>section 55 (1)</w:t>
      </w:r>
      <w:r w:rsidR="0023452F">
        <w:rPr>
          <w:sz w:val="24"/>
          <w:szCs w:val="24"/>
        </w:rPr>
        <w:t xml:space="preserve"> of the </w:t>
      </w:r>
      <w:r w:rsidR="0023452F" w:rsidRPr="0023452F">
        <w:rPr>
          <w:i/>
          <w:iCs/>
          <w:sz w:val="24"/>
          <w:szCs w:val="24"/>
        </w:rPr>
        <w:t>Act</w:t>
      </w:r>
      <w:r w:rsidR="0023452F">
        <w:rPr>
          <w:sz w:val="24"/>
          <w:szCs w:val="24"/>
        </w:rPr>
        <w:t xml:space="preserve">, an agreement is reached between the union and the employer and employees are not party to the agreement. As per </w:t>
      </w:r>
      <w:r w:rsidR="0023452F" w:rsidRPr="0023452F">
        <w:rPr>
          <w:i/>
          <w:iCs/>
          <w:sz w:val="24"/>
          <w:szCs w:val="24"/>
        </w:rPr>
        <w:t>section 56</w:t>
      </w:r>
      <w:r w:rsidR="0023452F">
        <w:rPr>
          <w:sz w:val="24"/>
          <w:szCs w:val="24"/>
        </w:rPr>
        <w:t xml:space="preserve"> of the </w:t>
      </w:r>
      <w:r w:rsidR="0023452F" w:rsidRPr="0023452F">
        <w:rPr>
          <w:i/>
          <w:iCs/>
          <w:sz w:val="24"/>
          <w:szCs w:val="24"/>
        </w:rPr>
        <w:t>Act</w:t>
      </w:r>
      <w:r w:rsidR="0023452F">
        <w:rPr>
          <w:sz w:val="24"/>
          <w:szCs w:val="24"/>
        </w:rPr>
        <w:t xml:space="preserve">, a collective agreement shall bind the parties to the agreement and all the workers in the bargaining unit to which the agreement applies. Therefore, workers are not parties. </w:t>
      </w:r>
    </w:p>
    <w:p w14:paraId="4C735104" w14:textId="77777777" w:rsidR="00AA50AC" w:rsidRDefault="00AA50AC" w:rsidP="00497FB3">
      <w:pPr>
        <w:spacing w:after="0" w:line="276" w:lineRule="auto"/>
        <w:jc w:val="both"/>
        <w:rPr>
          <w:sz w:val="24"/>
          <w:szCs w:val="24"/>
        </w:rPr>
      </w:pPr>
    </w:p>
    <w:p w14:paraId="08B1B469" w14:textId="77777777" w:rsidR="00AA50AC" w:rsidRDefault="00AA50AC" w:rsidP="00497FB3">
      <w:pPr>
        <w:spacing w:after="0" w:line="276" w:lineRule="auto"/>
        <w:jc w:val="both"/>
        <w:rPr>
          <w:sz w:val="24"/>
          <w:szCs w:val="24"/>
        </w:rPr>
      </w:pPr>
    </w:p>
    <w:p w14:paraId="135BD686" w14:textId="22F52EFC" w:rsidR="00AA50AC" w:rsidRDefault="00AA50AC" w:rsidP="00AA50AC">
      <w:pPr>
        <w:spacing w:after="0" w:line="276" w:lineRule="auto"/>
        <w:ind w:firstLine="720"/>
        <w:jc w:val="both"/>
        <w:rPr>
          <w:sz w:val="24"/>
          <w:szCs w:val="24"/>
        </w:rPr>
      </w:pPr>
      <w:r>
        <w:rPr>
          <w:sz w:val="24"/>
          <w:szCs w:val="24"/>
        </w:rPr>
        <w:t>Counsel for the Respondent further submitted that s</w:t>
      </w:r>
      <w:r w:rsidR="0023452F" w:rsidRPr="0065242A">
        <w:rPr>
          <w:i/>
          <w:iCs/>
          <w:sz w:val="24"/>
          <w:szCs w:val="24"/>
        </w:rPr>
        <w:t>ection 56 (3)</w:t>
      </w:r>
      <w:r w:rsidR="0023452F">
        <w:rPr>
          <w:sz w:val="24"/>
          <w:szCs w:val="24"/>
        </w:rPr>
        <w:t xml:space="preserve"> of </w:t>
      </w:r>
      <w:r w:rsidR="0023452F" w:rsidRPr="0065242A">
        <w:rPr>
          <w:i/>
          <w:iCs/>
          <w:sz w:val="24"/>
          <w:szCs w:val="24"/>
        </w:rPr>
        <w:t xml:space="preserve">Act </w:t>
      </w:r>
      <w:r w:rsidR="0023452F">
        <w:rPr>
          <w:sz w:val="24"/>
          <w:szCs w:val="24"/>
        </w:rPr>
        <w:t xml:space="preserve">makes a difference between the trade union, employer and the workers. </w:t>
      </w:r>
      <w:r w:rsidR="0065242A">
        <w:rPr>
          <w:sz w:val="24"/>
          <w:szCs w:val="24"/>
        </w:rPr>
        <w:t xml:space="preserve">As per </w:t>
      </w:r>
      <w:r w:rsidR="0065242A" w:rsidRPr="0065242A">
        <w:rPr>
          <w:i/>
          <w:iCs/>
          <w:sz w:val="24"/>
          <w:szCs w:val="24"/>
        </w:rPr>
        <w:t>section 56 (4)</w:t>
      </w:r>
      <w:r w:rsidR="0065242A">
        <w:rPr>
          <w:sz w:val="24"/>
          <w:szCs w:val="24"/>
        </w:rPr>
        <w:t xml:space="preserve"> of the </w:t>
      </w:r>
      <w:r w:rsidR="0065242A" w:rsidRPr="0065242A">
        <w:rPr>
          <w:i/>
          <w:iCs/>
          <w:sz w:val="24"/>
          <w:szCs w:val="24"/>
        </w:rPr>
        <w:t>Act</w:t>
      </w:r>
      <w:r w:rsidR="0065242A">
        <w:rPr>
          <w:sz w:val="24"/>
          <w:szCs w:val="24"/>
        </w:rPr>
        <w:t xml:space="preserve">, the parties are the trade union and the employer, not the workers. The legislator has taken the pain to specify, as per </w:t>
      </w:r>
      <w:r w:rsidR="0065242A" w:rsidRPr="0065242A">
        <w:rPr>
          <w:i/>
          <w:iCs/>
          <w:sz w:val="24"/>
          <w:szCs w:val="24"/>
        </w:rPr>
        <w:t>section 56 (7)</w:t>
      </w:r>
      <w:r w:rsidR="0065242A">
        <w:rPr>
          <w:sz w:val="24"/>
          <w:szCs w:val="24"/>
        </w:rPr>
        <w:t xml:space="preserve">, that the agreement will also apply to the workers. Referring </w:t>
      </w:r>
      <w:r w:rsidR="0065242A">
        <w:rPr>
          <w:sz w:val="24"/>
          <w:szCs w:val="24"/>
        </w:rPr>
        <w:lastRenderedPageBreak/>
        <w:t xml:space="preserve">to </w:t>
      </w:r>
      <w:r w:rsidR="0065242A" w:rsidRPr="0065242A">
        <w:rPr>
          <w:i/>
          <w:iCs/>
          <w:sz w:val="24"/>
          <w:szCs w:val="24"/>
        </w:rPr>
        <w:t>section 58</w:t>
      </w:r>
      <w:r w:rsidR="0065242A">
        <w:rPr>
          <w:sz w:val="24"/>
          <w:szCs w:val="24"/>
        </w:rPr>
        <w:t xml:space="preserve"> of the </w:t>
      </w:r>
      <w:r w:rsidR="0065242A" w:rsidRPr="0065242A">
        <w:rPr>
          <w:i/>
          <w:iCs/>
          <w:sz w:val="24"/>
          <w:szCs w:val="24"/>
        </w:rPr>
        <w:t>Act</w:t>
      </w:r>
      <w:r w:rsidR="0065242A">
        <w:rPr>
          <w:sz w:val="24"/>
          <w:szCs w:val="24"/>
        </w:rPr>
        <w:t xml:space="preserve">, the parties being referred to is the employer or the trade union. Reference has also been made to </w:t>
      </w:r>
      <w:r w:rsidR="0065242A" w:rsidRPr="0065242A">
        <w:rPr>
          <w:i/>
          <w:iCs/>
          <w:sz w:val="24"/>
          <w:szCs w:val="24"/>
        </w:rPr>
        <w:t>section 59</w:t>
      </w:r>
      <w:r w:rsidR="0065242A">
        <w:rPr>
          <w:sz w:val="24"/>
          <w:szCs w:val="24"/>
        </w:rPr>
        <w:t xml:space="preserve"> of the </w:t>
      </w:r>
      <w:r w:rsidR="0065242A" w:rsidRPr="0065242A">
        <w:rPr>
          <w:i/>
          <w:iCs/>
          <w:sz w:val="24"/>
          <w:szCs w:val="24"/>
        </w:rPr>
        <w:t>Act</w:t>
      </w:r>
      <w:r w:rsidR="0065242A">
        <w:rPr>
          <w:sz w:val="24"/>
          <w:szCs w:val="24"/>
        </w:rPr>
        <w:t xml:space="preserve">. </w:t>
      </w:r>
      <w:r>
        <w:rPr>
          <w:sz w:val="24"/>
          <w:szCs w:val="24"/>
        </w:rPr>
        <w:t xml:space="preserve">Coming to </w:t>
      </w:r>
      <w:r w:rsidRPr="00AA50AC">
        <w:rPr>
          <w:i/>
          <w:iCs/>
          <w:sz w:val="24"/>
          <w:szCs w:val="24"/>
        </w:rPr>
        <w:t>section 62 (2)</w:t>
      </w:r>
      <w:r>
        <w:rPr>
          <w:sz w:val="24"/>
          <w:szCs w:val="24"/>
        </w:rPr>
        <w:t xml:space="preserve"> of the </w:t>
      </w:r>
      <w:r w:rsidRPr="00AA50AC">
        <w:rPr>
          <w:i/>
          <w:iCs/>
          <w:sz w:val="24"/>
          <w:szCs w:val="24"/>
        </w:rPr>
        <w:t>Act</w:t>
      </w:r>
      <w:r>
        <w:rPr>
          <w:sz w:val="24"/>
          <w:szCs w:val="24"/>
        </w:rPr>
        <w:t xml:space="preserve">, in application of the aforementioned provisions, it is clear that reference made to </w:t>
      </w:r>
      <w:r w:rsidR="009D11E4">
        <w:rPr>
          <w:sz w:val="24"/>
          <w:szCs w:val="24"/>
        </w:rPr>
        <w:t>‘</w:t>
      </w:r>
      <w:r w:rsidRPr="002F5491">
        <w:rPr>
          <w:i/>
          <w:iCs/>
          <w:sz w:val="24"/>
          <w:szCs w:val="24"/>
        </w:rPr>
        <w:t>party</w:t>
      </w:r>
      <w:r w:rsidR="009D11E4">
        <w:rPr>
          <w:sz w:val="24"/>
          <w:szCs w:val="24"/>
        </w:rPr>
        <w:t>’</w:t>
      </w:r>
      <w:r>
        <w:rPr>
          <w:sz w:val="24"/>
          <w:szCs w:val="24"/>
        </w:rPr>
        <w:t xml:space="preserve"> can only mean the employer and the trade union, group of trade unions or joint negotiating panel. </w:t>
      </w:r>
    </w:p>
    <w:p w14:paraId="58DFB620" w14:textId="77777777" w:rsidR="00AA50AC" w:rsidRDefault="00AA50AC" w:rsidP="00AA50AC">
      <w:pPr>
        <w:spacing w:after="0" w:line="276" w:lineRule="auto"/>
        <w:jc w:val="both"/>
        <w:rPr>
          <w:sz w:val="24"/>
          <w:szCs w:val="24"/>
        </w:rPr>
      </w:pPr>
    </w:p>
    <w:p w14:paraId="4A121D84" w14:textId="77777777" w:rsidR="00AA50AC" w:rsidRDefault="00AA50AC" w:rsidP="00AA50AC">
      <w:pPr>
        <w:spacing w:after="0" w:line="276" w:lineRule="auto"/>
        <w:jc w:val="both"/>
        <w:rPr>
          <w:sz w:val="24"/>
          <w:szCs w:val="24"/>
        </w:rPr>
      </w:pPr>
    </w:p>
    <w:p w14:paraId="53D9F2B9" w14:textId="4A36B9E5" w:rsidR="000730BF" w:rsidRDefault="00AA50AC" w:rsidP="00AA50AC">
      <w:pPr>
        <w:spacing w:after="0" w:line="276" w:lineRule="auto"/>
        <w:jc w:val="both"/>
        <w:rPr>
          <w:sz w:val="24"/>
          <w:szCs w:val="24"/>
        </w:rPr>
      </w:pPr>
      <w:r>
        <w:rPr>
          <w:sz w:val="24"/>
          <w:szCs w:val="24"/>
        </w:rPr>
        <w:tab/>
        <w:t>It was notably submitted</w:t>
      </w:r>
      <w:r w:rsidR="00075057">
        <w:rPr>
          <w:sz w:val="24"/>
          <w:szCs w:val="24"/>
        </w:rPr>
        <w:t xml:space="preserve"> by Counsel</w:t>
      </w:r>
      <w:r>
        <w:rPr>
          <w:sz w:val="24"/>
          <w:szCs w:val="24"/>
        </w:rPr>
        <w:t xml:space="preserve"> that there has to be consistency when we read an Act of Parliament and consistency in reading this </w:t>
      </w:r>
      <w:r w:rsidRPr="00050046">
        <w:rPr>
          <w:i/>
          <w:iCs/>
          <w:sz w:val="24"/>
          <w:szCs w:val="24"/>
        </w:rPr>
        <w:t>Act</w:t>
      </w:r>
      <w:r>
        <w:rPr>
          <w:sz w:val="24"/>
          <w:szCs w:val="24"/>
        </w:rPr>
        <w:t xml:space="preserve"> can only means that </w:t>
      </w:r>
      <w:r w:rsidR="00050046">
        <w:rPr>
          <w:sz w:val="24"/>
          <w:szCs w:val="24"/>
        </w:rPr>
        <w:t>‘</w:t>
      </w:r>
      <w:r w:rsidRPr="002F5491">
        <w:rPr>
          <w:i/>
          <w:iCs/>
          <w:sz w:val="24"/>
          <w:szCs w:val="24"/>
        </w:rPr>
        <w:t>party</w:t>
      </w:r>
      <w:r w:rsidR="00050046">
        <w:rPr>
          <w:sz w:val="24"/>
          <w:szCs w:val="24"/>
        </w:rPr>
        <w:t>’</w:t>
      </w:r>
      <w:r>
        <w:rPr>
          <w:sz w:val="24"/>
          <w:szCs w:val="24"/>
        </w:rPr>
        <w:t xml:space="preserve"> referred to in </w:t>
      </w:r>
      <w:r w:rsidRPr="00050046">
        <w:rPr>
          <w:i/>
          <w:iCs/>
          <w:sz w:val="24"/>
          <w:szCs w:val="24"/>
        </w:rPr>
        <w:t>section 62</w:t>
      </w:r>
      <w:r>
        <w:rPr>
          <w:sz w:val="24"/>
          <w:szCs w:val="24"/>
        </w:rPr>
        <w:t xml:space="preserve"> cannot include a worker and therefore cannot include the Applicant. Regarding the merits of the matter, Counsel</w:t>
      </w:r>
      <w:r w:rsidR="00050046">
        <w:rPr>
          <w:sz w:val="24"/>
          <w:szCs w:val="24"/>
        </w:rPr>
        <w:t xml:space="preserve"> for the Respondent</w:t>
      </w:r>
      <w:r>
        <w:rPr>
          <w:sz w:val="24"/>
          <w:szCs w:val="24"/>
        </w:rPr>
        <w:t xml:space="preserve"> stated that he leaves the matter in the hands of the Tribunal save for the </w:t>
      </w:r>
      <w:r w:rsidR="009D14AD">
        <w:rPr>
          <w:sz w:val="24"/>
          <w:szCs w:val="24"/>
        </w:rPr>
        <w:t>Tribunal</w:t>
      </w:r>
      <w:r>
        <w:rPr>
          <w:sz w:val="24"/>
          <w:szCs w:val="24"/>
        </w:rPr>
        <w:t xml:space="preserve"> not to restrict itself to what is found in </w:t>
      </w:r>
      <w:r w:rsidR="009D14AD">
        <w:rPr>
          <w:sz w:val="24"/>
          <w:szCs w:val="24"/>
        </w:rPr>
        <w:t>paragraph 4.1 (ii) of the Collective Agreement but whether it is possible to implement the paragraph without requesting for documentation required.</w:t>
      </w:r>
      <w:r w:rsidR="00050046">
        <w:rPr>
          <w:sz w:val="24"/>
          <w:szCs w:val="24"/>
        </w:rPr>
        <w:t xml:space="preserve"> </w:t>
      </w:r>
      <w:r w:rsidR="009D14AD">
        <w:rPr>
          <w:sz w:val="24"/>
          <w:szCs w:val="24"/>
        </w:rPr>
        <w:t xml:space="preserve"> </w:t>
      </w:r>
    </w:p>
    <w:p w14:paraId="167DC969" w14:textId="77777777" w:rsidR="000730BF" w:rsidRDefault="000730BF" w:rsidP="00AA50AC">
      <w:pPr>
        <w:spacing w:after="0" w:line="276" w:lineRule="auto"/>
        <w:jc w:val="both"/>
        <w:rPr>
          <w:sz w:val="24"/>
          <w:szCs w:val="24"/>
        </w:rPr>
      </w:pPr>
    </w:p>
    <w:p w14:paraId="29689174" w14:textId="77777777" w:rsidR="000730BF" w:rsidRDefault="000730BF" w:rsidP="00AA50AC">
      <w:pPr>
        <w:spacing w:after="0" w:line="276" w:lineRule="auto"/>
        <w:jc w:val="both"/>
        <w:rPr>
          <w:sz w:val="24"/>
          <w:szCs w:val="24"/>
        </w:rPr>
      </w:pPr>
    </w:p>
    <w:p w14:paraId="1913FED0" w14:textId="6155D471" w:rsidR="000730BF" w:rsidRDefault="004061B7" w:rsidP="004061B7">
      <w:pPr>
        <w:spacing w:after="0" w:line="276" w:lineRule="auto"/>
        <w:ind w:firstLine="720"/>
        <w:jc w:val="both"/>
        <w:rPr>
          <w:sz w:val="24"/>
          <w:szCs w:val="24"/>
        </w:rPr>
      </w:pPr>
      <w:r>
        <w:rPr>
          <w:sz w:val="24"/>
          <w:szCs w:val="24"/>
        </w:rPr>
        <w:t>In reply to the Respondent’s submissions, C</w:t>
      </w:r>
      <w:r w:rsidR="000730BF">
        <w:rPr>
          <w:sz w:val="24"/>
          <w:szCs w:val="24"/>
        </w:rPr>
        <w:t>ounsel for the Applicant</w:t>
      </w:r>
      <w:r>
        <w:rPr>
          <w:sz w:val="24"/>
          <w:szCs w:val="24"/>
        </w:rPr>
        <w:t xml:space="preserve"> has notably submitted that as per </w:t>
      </w:r>
      <w:r w:rsidRPr="004061B7">
        <w:rPr>
          <w:i/>
          <w:iCs/>
          <w:sz w:val="24"/>
          <w:szCs w:val="24"/>
        </w:rPr>
        <w:t>section 56</w:t>
      </w:r>
      <w:r>
        <w:rPr>
          <w:sz w:val="24"/>
          <w:szCs w:val="24"/>
        </w:rPr>
        <w:t xml:space="preserve"> of the </w:t>
      </w:r>
      <w:r w:rsidRPr="004061B7">
        <w:rPr>
          <w:i/>
          <w:iCs/>
          <w:sz w:val="24"/>
          <w:szCs w:val="24"/>
        </w:rPr>
        <w:t>Act</w:t>
      </w:r>
      <w:r>
        <w:rPr>
          <w:sz w:val="24"/>
          <w:szCs w:val="24"/>
        </w:rPr>
        <w:t xml:space="preserve">, the workers are bound by the collective agreement. </w:t>
      </w:r>
      <w:r w:rsidRPr="004061B7">
        <w:rPr>
          <w:i/>
          <w:iCs/>
          <w:sz w:val="24"/>
          <w:szCs w:val="24"/>
        </w:rPr>
        <w:t>Section 58</w:t>
      </w:r>
      <w:r>
        <w:rPr>
          <w:sz w:val="24"/>
          <w:szCs w:val="24"/>
        </w:rPr>
        <w:t xml:space="preserve"> refers to any party to the agreement. </w:t>
      </w:r>
      <w:r w:rsidRPr="004061B7">
        <w:rPr>
          <w:i/>
          <w:iCs/>
          <w:sz w:val="24"/>
          <w:szCs w:val="24"/>
        </w:rPr>
        <w:t xml:space="preserve">Section 62 </w:t>
      </w:r>
      <w:r>
        <w:rPr>
          <w:sz w:val="24"/>
          <w:szCs w:val="24"/>
        </w:rPr>
        <w:t xml:space="preserve">of the </w:t>
      </w:r>
      <w:r w:rsidRPr="004061B7">
        <w:rPr>
          <w:i/>
          <w:iCs/>
          <w:sz w:val="24"/>
          <w:szCs w:val="24"/>
        </w:rPr>
        <w:t>Act</w:t>
      </w:r>
      <w:r>
        <w:rPr>
          <w:sz w:val="24"/>
          <w:szCs w:val="24"/>
        </w:rPr>
        <w:t xml:space="preserve"> states that any party may apply. He stated that one cannot exclude someone from a particular avenue set out clearly in the law. But if it is the other way, the union will have to enter the case on the same issue. It is clear that the employee, as an individual, can ask for interpretation.  </w:t>
      </w:r>
    </w:p>
    <w:p w14:paraId="76BBDF69" w14:textId="77777777" w:rsidR="000730BF" w:rsidRDefault="000730BF" w:rsidP="00AA50AC">
      <w:pPr>
        <w:spacing w:after="0" w:line="276" w:lineRule="auto"/>
        <w:jc w:val="both"/>
        <w:rPr>
          <w:sz w:val="24"/>
          <w:szCs w:val="24"/>
        </w:rPr>
      </w:pPr>
    </w:p>
    <w:p w14:paraId="07D80CB3" w14:textId="77777777" w:rsidR="000730BF" w:rsidRDefault="000730BF" w:rsidP="00AA50AC">
      <w:pPr>
        <w:spacing w:after="0" w:line="276" w:lineRule="auto"/>
        <w:jc w:val="both"/>
        <w:rPr>
          <w:sz w:val="24"/>
          <w:szCs w:val="24"/>
        </w:rPr>
      </w:pPr>
    </w:p>
    <w:p w14:paraId="14B971C9" w14:textId="0C9B9E28" w:rsidR="000730BF" w:rsidRDefault="000730BF" w:rsidP="00AA50AC">
      <w:pPr>
        <w:spacing w:after="0" w:line="276" w:lineRule="auto"/>
        <w:jc w:val="both"/>
        <w:rPr>
          <w:sz w:val="24"/>
          <w:szCs w:val="24"/>
        </w:rPr>
      </w:pPr>
      <w:r>
        <w:rPr>
          <w:sz w:val="24"/>
          <w:szCs w:val="24"/>
        </w:rPr>
        <w:tab/>
        <w:t xml:space="preserve">Having taken note that the Respondent has raised a preliminary objection, the Tribunal shall first ascertain whether the Applicant </w:t>
      </w:r>
      <w:r w:rsidR="002B6B2B">
        <w:rPr>
          <w:sz w:val="24"/>
          <w:szCs w:val="24"/>
        </w:rPr>
        <w:t xml:space="preserve">has properly </w:t>
      </w:r>
      <w:r w:rsidR="00747995">
        <w:rPr>
          <w:sz w:val="24"/>
          <w:szCs w:val="24"/>
        </w:rPr>
        <w:t xml:space="preserve">made </w:t>
      </w:r>
      <w:r w:rsidR="002B6B2B">
        <w:rPr>
          <w:sz w:val="24"/>
          <w:szCs w:val="24"/>
        </w:rPr>
        <w:t xml:space="preserve">the present application </w:t>
      </w:r>
      <w:r>
        <w:rPr>
          <w:sz w:val="24"/>
          <w:szCs w:val="24"/>
        </w:rPr>
        <w:t xml:space="preserve">in asking for a declaration pursuant to </w:t>
      </w:r>
      <w:r w:rsidRPr="000730BF">
        <w:rPr>
          <w:i/>
          <w:iCs/>
          <w:sz w:val="24"/>
          <w:szCs w:val="24"/>
        </w:rPr>
        <w:t xml:space="preserve">section 62 (2) </w:t>
      </w:r>
      <w:r>
        <w:rPr>
          <w:sz w:val="24"/>
          <w:szCs w:val="24"/>
        </w:rPr>
        <w:t xml:space="preserve">of the </w:t>
      </w:r>
      <w:r w:rsidRPr="000730BF">
        <w:rPr>
          <w:i/>
          <w:iCs/>
          <w:sz w:val="24"/>
          <w:szCs w:val="24"/>
        </w:rPr>
        <w:t>Act</w:t>
      </w:r>
      <w:r>
        <w:rPr>
          <w:sz w:val="24"/>
          <w:szCs w:val="24"/>
        </w:rPr>
        <w:t xml:space="preserve">. </w:t>
      </w:r>
      <w:r w:rsidR="002B6B2B">
        <w:rPr>
          <w:sz w:val="24"/>
          <w:szCs w:val="24"/>
        </w:rPr>
        <w:t xml:space="preserve">It is therefore apposite to consider the </w:t>
      </w:r>
      <w:r>
        <w:rPr>
          <w:sz w:val="24"/>
          <w:szCs w:val="24"/>
        </w:rPr>
        <w:t xml:space="preserve">relevant provisions of </w:t>
      </w:r>
      <w:r w:rsidRPr="000730BF">
        <w:rPr>
          <w:i/>
          <w:iCs/>
          <w:sz w:val="24"/>
          <w:szCs w:val="24"/>
        </w:rPr>
        <w:t>section 62</w:t>
      </w:r>
      <w:r>
        <w:rPr>
          <w:sz w:val="24"/>
          <w:szCs w:val="24"/>
        </w:rPr>
        <w:t xml:space="preserve"> of the </w:t>
      </w:r>
      <w:r w:rsidRPr="000730BF">
        <w:rPr>
          <w:i/>
          <w:iCs/>
          <w:sz w:val="24"/>
          <w:szCs w:val="24"/>
        </w:rPr>
        <w:t>Act</w:t>
      </w:r>
      <w:r>
        <w:rPr>
          <w:sz w:val="24"/>
          <w:szCs w:val="24"/>
        </w:rPr>
        <w:t>:</w:t>
      </w:r>
    </w:p>
    <w:p w14:paraId="0D9B6543" w14:textId="77866397" w:rsidR="000730BF" w:rsidRPr="00CF312C" w:rsidRDefault="000730BF" w:rsidP="000730BF">
      <w:pPr>
        <w:spacing w:after="0" w:line="276" w:lineRule="auto"/>
        <w:ind w:right="996"/>
        <w:jc w:val="both"/>
      </w:pPr>
    </w:p>
    <w:p w14:paraId="5683764D" w14:textId="704F277C" w:rsidR="000730BF" w:rsidRPr="00257CFE" w:rsidRDefault="000730BF" w:rsidP="000730BF">
      <w:pPr>
        <w:pStyle w:val="Default"/>
        <w:ind w:right="996" w:firstLine="720"/>
        <w:jc w:val="both"/>
        <w:rPr>
          <w:rFonts w:asciiTheme="minorHAnsi" w:hAnsiTheme="minorHAnsi" w:cstheme="minorHAnsi"/>
          <w:i/>
          <w:iCs/>
          <w:sz w:val="22"/>
          <w:szCs w:val="22"/>
        </w:rPr>
      </w:pPr>
      <w:r w:rsidRPr="00257CFE">
        <w:rPr>
          <w:rFonts w:asciiTheme="minorHAnsi" w:hAnsiTheme="minorHAnsi" w:cstheme="minorHAnsi"/>
          <w:b/>
          <w:bCs/>
          <w:i/>
          <w:iCs/>
          <w:sz w:val="22"/>
          <w:szCs w:val="22"/>
        </w:rPr>
        <w:t xml:space="preserve">62. </w:t>
      </w:r>
      <w:r w:rsidRPr="00257CFE">
        <w:rPr>
          <w:rFonts w:asciiTheme="minorHAnsi" w:hAnsiTheme="minorHAnsi" w:cstheme="minorHAnsi"/>
          <w:b/>
          <w:bCs/>
          <w:i/>
          <w:iCs/>
          <w:sz w:val="22"/>
          <w:szCs w:val="22"/>
        </w:rPr>
        <w:tab/>
        <w:t xml:space="preserve">Procedure for interpretation of collective agreement </w:t>
      </w:r>
    </w:p>
    <w:p w14:paraId="0C5E4DE1" w14:textId="77777777" w:rsidR="000730BF" w:rsidRPr="00257CFE" w:rsidRDefault="000730BF" w:rsidP="000730BF">
      <w:pPr>
        <w:pStyle w:val="Default"/>
        <w:ind w:right="996" w:firstLine="720"/>
        <w:jc w:val="both"/>
        <w:rPr>
          <w:rFonts w:asciiTheme="minorHAnsi" w:hAnsiTheme="minorHAnsi" w:cstheme="minorHAnsi"/>
          <w:i/>
          <w:iCs/>
          <w:sz w:val="22"/>
          <w:szCs w:val="22"/>
        </w:rPr>
      </w:pPr>
    </w:p>
    <w:p w14:paraId="18DE656A" w14:textId="77777777" w:rsidR="000730BF" w:rsidRPr="00257CFE" w:rsidRDefault="000730BF" w:rsidP="000730BF">
      <w:pPr>
        <w:pStyle w:val="Default"/>
        <w:ind w:left="720" w:right="996" w:firstLine="720"/>
        <w:jc w:val="both"/>
        <w:rPr>
          <w:rFonts w:asciiTheme="minorHAnsi" w:hAnsiTheme="minorHAnsi" w:cstheme="minorHAnsi"/>
          <w:i/>
          <w:iCs/>
          <w:sz w:val="22"/>
          <w:szCs w:val="22"/>
        </w:rPr>
      </w:pPr>
      <w:r w:rsidRPr="00257CFE">
        <w:rPr>
          <w:rFonts w:asciiTheme="minorHAnsi" w:hAnsiTheme="minorHAnsi" w:cstheme="minorHAnsi"/>
          <w:i/>
          <w:iCs/>
          <w:sz w:val="22"/>
          <w:szCs w:val="22"/>
        </w:rPr>
        <w:t xml:space="preserve">(1) </w:t>
      </w:r>
      <w:r w:rsidRPr="00257CFE">
        <w:rPr>
          <w:rFonts w:asciiTheme="minorHAnsi" w:hAnsiTheme="minorHAnsi" w:cstheme="minorHAnsi"/>
          <w:i/>
          <w:iCs/>
          <w:sz w:val="22"/>
          <w:szCs w:val="22"/>
        </w:rPr>
        <w:tab/>
        <w:t xml:space="preserve">Every collective agreement shall provide for procedures to resolve any dispute which relates to the interpretation of any provision of the collective agreement. </w:t>
      </w:r>
    </w:p>
    <w:p w14:paraId="26E56196" w14:textId="77777777" w:rsidR="000730BF" w:rsidRPr="00257CFE" w:rsidRDefault="000730BF" w:rsidP="000730BF">
      <w:pPr>
        <w:pStyle w:val="Default"/>
        <w:ind w:right="996" w:firstLine="720"/>
        <w:jc w:val="both"/>
        <w:rPr>
          <w:rFonts w:asciiTheme="minorHAnsi" w:hAnsiTheme="minorHAnsi" w:cstheme="minorHAnsi"/>
          <w:i/>
          <w:iCs/>
          <w:sz w:val="22"/>
          <w:szCs w:val="22"/>
        </w:rPr>
      </w:pPr>
    </w:p>
    <w:p w14:paraId="48DD754F" w14:textId="77777777" w:rsidR="000730BF" w:rsidRPr="00257CFE" w:rsidRDefault="000730BF" w:rsidP="000730BF">
      <w:pPr>
        <w:pStyle w:val="Default"/>
        <w:ind w:left="720" w:right="996" w:firstLine="720"/>
        <w:jc w:val="both"/>
        <w:rPr>
          <w:rFonts w:asciiTheme="minorHAnsi" w:hAnsiTheme="minorHAnsi" w:cstheme="minorHAnsi"/>
          <w:i/>
          <w:iCs/>
          <w:sz w:val="22"/>
          <w:szCs w:val="22"/>
        </w:rPr>
      </w:pPr>
      <w:r w:rsidRPr="00257CFE">
        <w:rPr>
          <w:rFonts w:asciiTheme="minorHAnsi" w:hAnsiTheme="minorHAnsi" w:cstheme="minorHAnsi"/>
          <w:i/>
          <w:iCs/>
          <w:sz w:val="22"/>
          <w:szCs w:val="22"/>
        </w:rPr>
        <w:t xml:space="preserve">(2) </w:t>
      </w:r>
      <w:r w:rsidRPr="00257CFE">
        <w:rPr>
          <w:rFonts w:asciiTheme="minorHAnsi" w:hAnsiTheme="minorHAnsi" w:cstheme="minorHAnsi"/>
          <w:i/>
          <w:iCs/>
          <w:sz w:val="22"/>
          <w:szCs w:val="22"/>
        </w:rPr>
        <w:tab/>
        <w:t xml:space="preserve">Where a matter relating to the interpretation of a collective agreement is unresolved by the procedures provided for in the collective agreement, any party may apply to the Tribunal for a declaration on the matter and the Tribunal shall, on hearing the parties, make such declaration as it thinks fit. </w:t>
      </w:r>
    </w:p>
    <w:p w14:paraId="79A77D88" w14:textId="0D9D6377" w:rsidR="000730BF" w:rsidRDefault="000730BF" w:rsidP="00AA50AC">
      <w:pPr>
        <w:spacing w:after="0" w:line="276" w:lineRule="auto"/>
        <w:jc w:val="both"/>
        <w:rPr>
          <w:sz w:val="24"/>
          <w:szCs w:val="24"/>
        </w:rPr>
      </w:pPr>
    </w:p>
    <w:p w14:paraId="69FD8639" w14:textId="3E13292D" w:rsidR="000730BF" w:rsidRDefault="000730BF" w:rsidP="00AA50AC">
      <w:pPr>
        <w:spacing w:after="0" w:line="276" w:lineRule="auto"/>
        <w:jc w:val="both"/>
        <w:rPr>
          <w:sz w:val="24"/>
          <w:szCs w:val="24"/>
        </w:rPr>
      </w:pPr>
    </w:p>
    <w:p w14:paraId="1DC94FB1" w14:textId="00C18D1E" w:rsidR="003F65D4" w:rsidRDefault="000730BF" w:rsidP="00AA50AC">
      <w:pPr>
        <w:spacing w:after="0" w:line="276" w:lineRule="auto"/>
        <w:jc w:val="both"/>
        <w:rPr>
          <w:sz w:val="24"/>
          <w:szCs w:val="24"/>
        </w:rPr>
      </w:pPr>
      <w:r>
        <w:rPr>
          <w:sz w:val="24"/>
          <w:szCs w:val="24"/>
        </w:rPr>
        <w:lastRenderedPageBreak/>
        <w:tab/>
        <w:t xml:space="preserve">In considering the ambit of </w:t>
      </w:r>
      <w:r w:rsidRPr="000730BF">
        <w:rPr>
          <w:i/>
          <w:iCs/>
          <w:sz w:val="24"/>
          <w:szCs w:val="24"/>
        </w:rPr>
        <w:t>section 62</w:t>
      </w:r>
      <w:r>
        <w:rPr>
          <w:sz w:val="24"/>
          <w:szCs w:val="24"/>
        </w:rPr>
        <w:t xml:space="preserve"> of the </w:t>
      </w:r>
      <w:r w:rsidRPr="000730BF">
        <w:rPr>
          <w:i/>
          <w:iCs/>
          <w:sz w:val="24"/>
          <w:szCs w:val="24"/>
        </w:rPr>
        <w:t>Act</w:t>
      </w:r>
      <w:r>
        <w:rPr>
          <w:sz w:val="24"/>
          <w:szCs w:val="24"/>
        </w:rPr>
        <w:t xml:space="preserve">, </w:t>
      </w:r>
      <w:r w:rsidR="003F65D4">
        <w:rPr>
          <w:sz w:val="24"/>
          <w:szCs w:val="24"/>
        </w:rPr>
        <w:t xml:space="preserve">it must be noted that </w:t>
      </w:r>
      <w:r w:rsidR="0064776F">
        <w:rPr>
          <w:sz w:val="24"/>
          <w:szCs w:val="24"/>
        </w:rPr>
        <w:t xml:space="preserve">it is mandatory for a collective agreement to provide for procedures to resolve any dispute relating the interpretation of any provision of the collective agreement. It is only where the matter of interpretation of the collective agreement has remained unresolved by the procedures provided for in the collective agreement that a </w:t>
      </w:r>
      <w:r w:rsidR="003F65D4">
        <w:rPr>
          <w:sz w:val="24"/>
          <w:szCs w:val="24"/>
        </w:rPr>
        <w:t xml:space="preserve">party may apply to the Tribunal for a declaration on the matter. </w:t>
      </w:r>
    </w:p>
    <w:p w14:paraId="3F30F53B" w14:textId="77777777" w:rsidR="003F65D4" w:rsidRDefault="003F65D4" w:rsidP="00AA50AC">
      <w:pPr>
        <w:spacing w:after="0" w:line="276" w:lineRule="auto"/>
        <w:jc w:val="both"/>
        <w:rPr>
          <w:sz w:val="24"/>
          <w:szCs w:val="24"/>
        </w:rPr>
      </w:pPr>
    </w:p>
    <w:p w14:paraId="37FA5451" w14:textId="77777777" w:rsidR="003F65D4" w:rsidRDefault="003F65D4" w:rsidP="00AA50AC">
      <w:pPr>
        <w:spacing w:after="0" w:line="276" w:lineRule="auto"/>
        <w:jc w:val="both"/>
        <w:rPr>
          <w:sz w:val="24"/>
          <w:szCs w:val="24"/>
        </w:rPr>
      </w:pPr>
    </w:p>
    <w:p w14:paraId="12C02B34" w14:textId="2F147D74" w:rsidR="003F65D4" w:rsidRDefault="003F65D4" w:rsidP="00AA50AC">
      <w:pPr>
        <w:spacing w:after="0" w:line="276" w:lineRule="auto"/>
        <w:jc w:val="both"/>
        <w:rPr>
          <w:sz w:val="24"/>
          <w:szCs w:val="24"/>
        </w:rPr>
      </w:pPr>
      <w:r>
        <w:rPr>
          <w:sz w:val="24"/>
          <w:szCs w:val="24"/>
        </w:rPr>
        <w:tab/>
        <w:t xml:space="preserve">In the present matter, there has been no evidence adduced as to whether the parties have availed themselves of the procedures that ought to be present in a collective agreement to resolve </w:t>
      </w:r>
      <w:r w:rsidR="002F5491">
        <w:rPr>
          <w:sz w:val="24"/>
          <w:szCs w:val="24"/>
        </w:rPr>
        <w:t>the</w:t>
      </w:r>
      <w:r>
        <w:rPr>
          <w:sz w:val="24"/>
          <w:szCs w:val="24"/>
        </w:rPr>
        <w:t xml:space="preserve"> dispute relating to the interpretation of </w:t>
      </w:r>
      <w:r w:rsidR="002F5491">
        <w:rPr>
          <w:sz w:val="24"/>
          <w:szCs w:val="24"/>
        </w:rPr>
        <w:t>paragraph 4.1 (ii)</w:t>
      </w:r>
      <w:r>
        <w:rPr>
          <w:sz w:val="24"/>
          <w:szCs w:val="24"/>
        </w:rPr>
        <w:t xml:space="preserve"> of the </w:t>
      </w:r>
      <w:r w:rsidR="002F5491">
        <w:rPr>
          <w:sz w:val="24"/>
          <w:szCs w:val="24"/>
        </w:rPr>
        <w:t>C</w:t>
      </w:r>
      <w:r>
        <w:rPr>
          <w:sz w:val="24"/>
          <w:szCs w:val="24"/>
        </w:rPr>
        <w:t xml:space="preserve">ollective </w:t>
      </w:r>
      <w:r w:rsidR="002F5491">
        <w:rPr>
          <w:sz w:val="24"/>
          <w:szCs w:val="24"/>
        </w:rPr>
        <w:t>A</w:t>
      </w:r>
      <w:r>
        <w:rPr>
          <w:sz w:val="24"/>
          <w:szCs w:val="24"/>
        </w:rPr>
        <w:t xml:space="preserve">greement. It has not been disputed that the </w:t>
      </w:r>
      <w:r w:rsidR="002F5491">
        <w:rPr>
          <w:sz w:val="24"/>
          <w:szCs w:val="24"/>
        </w:rPr>
        <w:t>C</w:t>
      </w:r>
      <w:r>
        <w:rPr>
          <w:sz w:val="24"/>
          <w:szCs w:val="24"/>
        </w:rPr>
        <w:t xml:space="preserve">ollective </w:t>
      </w:r>
      <w:r w:rsidR="002F5491">
        <w:rPr>
          <w:sz w:val="24"/>
          <w:szCs w:val="24"/>
        </w:rPr>
        <w:t>A</w:t>
      </w:r>
      <w:r>
        <w:rPr>
          <w:sz w:val="24"/>
          <w:szCs w:val="24"/>
        </w:rPr>
        <w:t>greement in question is the one signed on 31 August 2023 between the Respondent and the DBM</w:t>
      </w:r>
      <w:r w:rsidR="002F5491">
        <w:rPr>
          <w:sz w:val="24"/>
          <w:szCs w:val="24"/>
        </w:rPr>
        <w:t>SA</w:t>
      </w:r>
      <w:r>
        <w:rPr>
          <w:sz w:val="24"/>
          <w:szCs w:val="24"/>
        </w:rPr>
        <w:t xml:space="preserve">. Nor has any evidence been adduced as to whether the matter of interpretation has not been resolved by the procedures provided for in the </w:t>
      </w:r>
      <w:r w:rsidR="002F5491">
        <w:rPr>
          <w:sz w:val="24"/>
          <w:szCs w:val="24"/>
        </w:rPr>
        <w:t>C</w:t>
      </w:r>
      <w:r>
        <w:rPr>
          <w:sz w:val="24"/>
          <w:szCs w:val="24"/>
        </w:rPr>
        <w:t xml:space="preserve">ollective </w:t>
      </w:r>
      <w:r w:rsidR="002F5491">
        <w:rPr>
          <w:sz w:val="24"/>
          <w:szCs w:val="24"/>
        </w:rPr>
        <w:t>A</w:t>
      </w:r>
      <w:r>
        <w:rPr>
          <w:sz w:val="24"/>
          <w:szCs w:val="24"/>
        </w:rPr>
        <w:t xml:space="preserve">greement. </w:t>
      </w:r>
      <w:r w:rsidR="00104750">
        <w:rPr>
          <w:sz w:val="24"/>
          <w:szCs w:val="24"/>
        </w:rPr>
        <w:t xml:space="preserve">Bearing in mind that the burden rests of the Applicant to prove its case, it can </w:t>
      </w:r>
      <w:r w:rsidR="002F5491">
        <w:rPr>
          <w:sz w:val="24"/>
          <w:szCs w:val="24"/>
        </w:rPr>
        <w:t xml:space="preserve">also </w:t>
      </w:r>
      <w:r w:rsidR="00104750">
        <w:rPr>
          <w:sz w:val="24"/>
          <w:szCs w:val="24"/>
        </w:rPr>
        <w:t xml:space="preserve">be noted that the Applicant’s Statement of Case is silent on this issue.  </w:t>
      </w:r>
    </w:p>
    <w:p w14:paraId="2C3755EC" w14:textId="77777777" w:rsidR="003F65D4" w:rsidRDefault="003F65D4" w:rsidP="00AA50AC">
      <w:pPr>
        <w:spacing w:after="0" w:line="276" w:lineRule="auto"/>
        <w:jc w:val="both"/>
        <w:rPr>
          <w:sz w:val="24"/>
          <w:szCs w:val="24"/>
        </w:rPr>
      </w:pPr>
    </w:p>
    <w:p w14:paraId="1DFE285B" w14:textId="77777777" w:rsidR="003F65D4" w:rsidRDefault="003F65D4" w:rsidP="00AA50AC">
      <w:pPr>
        <w:spacing w:after="0" w:line="276" w:lineRule="auto"/>
        <w:jc w:val="both"/>
        <w:rPr>
          <w:sz w:val="24"/>
          <w:szCs w:val="24"/>
        </w:rPr>
      </w:pPr>
    </w:p>
    <w:p w14:paraId="261A7775" w14:textId="0CE59E7A" w:rsidR="00043A0C" w:rsidRDefault="003F65D4" w:rsidP="003F65D4">
      <w:pPr>
        <w:spacing w:after="0" w:line="276" w:lineRule="auto"/>
        <w:ind w:firstLine="720"/>
        <w:jc w:val="both"/>
        <w:rPr>
          <w:sz w:val="24"/>
          <w:szCs w:val="24"/>
        </w:rPr>
      </w:pPr>
      <w:r>
        <w:rPr>
          <w:sz w:val="24"/>
          <w:szCs w:val="24"/>
        </w:rPr>
        <w:t>Thus, it cannot be said that the present application has been properly</w:t>
      </w:r>
      <w:r w:rsidR="00520D95">
        <w:rPr>
          <w:sz w:val="24"/>
          <w:szCs w:val="24"/>
        </w:rPr>
        <w:t xml:space="preserve"> made </w:t>
      </w:r>
      <w:r>
        <w:rPr>
          <w:sz w:val="24"/>
          <w:szCs w:val="24"/>
        </w:rPr>
        <w:t>as an application can only be made to the Tribunal</w:t>
      </w:r>
      <w:r w:rsidR="00520D95">
        <w:rPr>
          <w:sz w:val="24"/>
          <w:szCs w:val="24"/>
        </w:rPr>
        <w:t xml:space="preserve"> by a party</w:t>
      </w:r>
      <w:r>
        <w:rPr>
          <w:sz w:val="24"/>
          <w:szCs w:val="24"/>
        </w:rPr>
        <w:t xml:space="preserve"> whe</w:t>
      </w:r>
      <w:r w:rsidR="00120D19">
        <w:rPr>
          <w:sz w:val="24"/>
          <w:szCs w:val="24"/>
        </w:rPr>
        <w:t>re</w:t>
      </w:r>
      <w:r>
        <w:rPr>
          <w:sz w:val="24"/>
          <w:szCs w:val="24"/>
        </w:rPr>
        <w:t xml:space="preserve"> the matter relating to the interpretation of the collective agreement is unresolved by the procedures provided for in the collective agreement</w:t>
      </w:r>
      <w:r w:rsidR="00520D95">
        <w:rPr>
          <w:sz w:val="24"/>
          <w:szCs w:val="24"/>
        </w:rPr>
        <w:t xml:space="preserve"> as per </w:t>
      </w:r>
      <w:r w:rsidR="00520D95" w:rsidRPr="00520D95">
        <w:rPr>
          <w:i/>
          <w:iCs/>
          <w:sz w:val="24"/>
          <w:szCs w:val="24"/>
        </w:rPr>
        <w:t>section 62 (2)</w:t>
      </w:r>
      <w:r w:rsidR="00520D95">
        <w:rPr>
          <w:sz w:val="24"/>
          <w:szCs w:val="24"/>
        </w:rPr>
        <w:t xml:space="preserve"> of the </w:t>
      </w:r>
      <w:r w:rsidR="00520D95" w:rsidRPr="00520D95">
        <w:rPr>
          <w:i/>
          <w:iCs/>
          <w:sz w:val="24"/>
          <w:szCs w:val="24"/>
        </w:rPr>
        <w:t>Act</w:t>
      </w:r>
      <w:r w:rsidR="00520D95">
        <w:rPr>
          <w:sz w:val="24"/>
          <w:szCs w:val="24"/>
        </w:rPr>
        <w:t>.</w:t>
      </w:r>
      <w:r w:rsidR="00484664">
        <w:rPr>
          <w:sz w:val="24"/>
          <w:szCs w:val="24"/>
        </w:rPr>
        <w:t xml:space="preserve"> The Tribunal cannot therefore consider that it has been properly seized by the Applicant in the present matter. In the circumstances, </w:t>
      </w:r>
      <w:r w:rsidR="002F5491">
        <w:rPr>
          <w:sz w:val="24"/>
          <w:szCs w:val="24"/>
        </w:rPr>
        <w:t xml:space="preserve">it is not necessary for </w:t>
      </w:r>
      <w:r w:rsidR="00484664">
        <w:rPr>
          <w:sz w:val="24"/>
          <w:szCs w:val="24"/>
        </w:rPr>
        <w:t xml:space="preserve">the Tribunal </w:t>
      </w:r>
      <w:r w:rsidR="002F5491">
        <w:rPr>
          <w:sz w:val="24"/>
          <w:szCs w:val="24"/>
        </w:rPr>
        <w:t>to</w:t>
      </w:r>
      <w:r w:rsidR="00484664">
        <w:rPr>
          <w:sz w:val="24"/>
          <w:szCs w:val="24"/>
        </w:rPr>
        <w:t xml:space="preserve"> consider the preliminary objection raised by the Respondent.</w:t>
      </w:r>
      <w:r w:rsidR="002F5491">
        <w:rPr>
          <w:sz w:val="24"/>
          <w:szCs w:val="24"/>
        </w:rPr>
        <w:t xml:space="preserve"> </w:t>
      </w:r>
      <w:r w:rsidR="00484664">
        <w:rPr>
          <w:sz w:val="24"/>
          <w:szCs w:val="24"/>
        </w:rPr>
        <w:t xml:space="preserve"> </w:t>
      </w:r>
    </w:p>
    <w:p w14:paraId="6DA097F0" w14:textId="77777777" w:rsidR="00043A0C" w:rsidRDefault="00043A0C" w:rsidP="00043A0C">
      <w:pPr>
        <w:spacing w:after="0" w:line="276" w:lineRule="auto"/>
        <w:jc w:val="both"/>
        <w:rPr>
          <w:sz w:val="24"/>
          <w:szCs w:val="24"/>
        </w:rPr>
      </w:pPr>
    </w:p>
    <w:p w14:paraId="0A9FE968" w14:textId="77777777" w:rsidR="00043A0C" w:rsidRDefault="00043A0C" w:rsidP="00043A0C">
      <w:pPr>
        <w:spacing w:after="0" w:line="276" w:lineRule="auto"/>
        <w:jc w:val="both"/>
        <w:rPr>
          <w:sz w:val="24"/>
          <w:szCs w:val="24"/>
        </w:rPr>
      </w:pPr>
    </w:p>
    <w:p w14:paraId="7A8ACFF5" w14:textId="77777777" w:rsidR="002C6EBA" w:rsidRDefault="00043A0C" w:rsidP="00043A0C">
      <w:pPr>
        <w:spacing w:after="0" w:line="276" w:lineRule="auto"/>
        <w:jc w:val="both"/>
        <w:rPr>
          <w:sz w:val="24"/>
          <w:szCs w:val="24"/>
        </w:rPr>
      </w:pPr>
      <w:r>
        <w:rPr>
          <w:sz w:val="24"/>
          <w:szCs w:val="24"/>
        </w:rPr>
        <w:tab/>
        <w:t xml:space="preserve">The matter is therefore set aside. </w:t>
      </w:r>
    </w:p>
    <w:p w14:paraId="7C49912C" w14:textId="1DD4F8E2" w:rsidR="002C6EBA" w:rsidRDefault="002C6EBA" w:rsidP="00043A0C">
      <w:pPr>
        <w:spacing w:after="0" w:line="276" w:lineRule="auto"/>
        <w:jc w:val="both"/>
        <w:rPr>
          <w:sz w:val="24"/>
          <w:szCs w:val="24"/>
        </w:rPr>
      </w:pPr>
    </w:p>
    <w:p w14:paraId="0E5CA5C2" w14:textId="134FCB09" w:rsidR="00862EF5" w:rsidRDefault="00862EF5" w:rsidP="00043A0C">
      <w:pPr>
        <w:spacing w:after="0" w:line="276" w:lineRule="auto"/>
        <w:jc w:val="both"/>
        <w:rPr>
          <w:sz w:val="24"/>
          <w:szCs w:val="24"/>
        </w:rPr>
      </w:pPr>
    </w:p>
    <w:p w14:paraId="772CDDA6" w14:textId="0F403127" w:rsidR="00862EF5" w:rsidRDefault="00862EF5" w:rsidP="00043A0C">
      <w:pPr>
        <w:spacing w:after="0" w:line="276" w:lineRule="auto"/>
        <w:jc w:val="both"/>
        <w:rPr>
          <w:sz w:val="24"/>
          <w:szCs w:val="24"/>
        </w:rPr>
      </w:pPr>
    </w:p>
    <w:p w14:paraId="2CAA64C9" w14:textId="1FE92EAA" w:rsidR="00862EF5" w:rsidRDefault="00862EF5" w:rsidP="00043A0C">
      <w:pPr>
        <w:spacing w:after="0" w:line="276" w:lineRule="auto"/>
        <w:jc w:val="both"/>
        <w:rPr>
          <w:sz w:val="24"/>
          <w:szCs w:val="24"/>
        </w:rPr>
      </w:pPr>
    </w:p>
    <w:p w14:paraId="4FAFF9B6" w14:textId="2D0B9FAC" w:rsidR="00862EF5" w:rsidRDefault="00862EF5" w:rsidP="00043A0C">
      <w:pPr>
        <w:spacing w:after="0" w:line="276" w:lineRule="auto"/>
        <w:jc w:val="both"/>
        <w:rPr>
          <w:sz w:val="24"/>
          <w:szCs w:val="24"/>
        </w:rPr>
      </w:pPr>
    </w:p>
    <w:p w14:paraId="31F95A2F" w14:textId="4605889A" w:rsidR="00862EF5" w:rsidRDefault="00862EF5" w:rsidP="00043A0C">
      <w:pPr>
        <w:spacing w:after="0" w:line="276" w:lineRule="auto"/>
        <w:jc w:val="both"/>
        <w:rPr>
          <w:sz w:val="24"/>
          <w:szCs w:val="24"/>
        </w:rPr>
      </w:pPr>
    </w:p>
    <w:p w14:paraId="5D565961" w14:textId="54AFCB7C" w:rsidR="00862EF5" w:rsidRDefault="00862EF5" w:rsidP="00043A0C">
      <w:pPr>
        <w:spacing w:after="0" w:line="276" w:lineRule="auto"/>
        <w:jc w:val="both"/>
        <w:rPr>
          <w:sz w:val="24"/>
          <w:szCs w:val="24"/>
        </w:rPr>
      </w:pPr>
    </w:p>
    <w:p w14:paraId="771E2770" w14:textId="5ADBFA42" w:rsidR="00862EF5" w:rsidRDefault="00862EF5" w:rsidP="00043A0C">
      <w:pPr>
        <w:spacing w:after="0" w:line="276" w:lineRule="auto"/>
        <w:jc w:val="both"/>
        <w:rPr>
          <w:sz w:val="24"/>
          <w:szCs w:val="24"/>
        </w:rPr>
      </w:pPr>
    </w:p>
    <w:p w14:paraId="441C9882" w14:textId="18138799" w:rsidR="00862EF5" w:rsidRDefault="00862EF5" w:rsidP="00043A0C">
      <w:pPr>
        <w:spacing w:after="0" w:line="276" w:lineRule="auto"/>
        <w:jc w:val="both"/>
        <w:rPr>
          <w:sz w:val="24"/>
          <w:szCs w:val="24"/>
        </w:rPr>
      </w:pPr>
    </w:p>
    <w:p w14:paraId="4045C04A" w14:textId="4EEEAA34" w:rsidR="00862EF5" w:rsidRDefault="00862EF5" w:rsidP="00043A0C">
      <w:pPr>
        <w:spacing w:after="0" w:line="276" w:lineRule="auto"/>
        <w:jc w:val="both"/>
        <w:rPr>
          <w:sz w:val="24"/>
          <w:szCs w:val="24"/>
        </w:rPr>
      </w:pPr>
    </w:p>
    <w:p w14:paraId="35046622" w14:textId="04CEE6A5" w:rsidR="00862EF5" w:rsidRDefault="00862EF5" w:rsidP="00043A0C">
      <w:pPr>
        <w:spacing w:after="0" w:line="276" w:lineRule="auto"/>
        <w:jc w:val="both"/>
        <w:rPr>
          <w:sz w:val="24"/>
          <w:szCs w:val="24"/>
        </w:rPr>
      </w:pPr>
    </w:p>
    <w:p w14:paraId="0702E85D" w14:textId="77777777" w:rsidR="00862EF5" w:rsidRPr="008F44BF" w:rsidRDefault="00862EF5" w:rsidP="00862EF5">
      <w:pPr>
        <w:spacing w:after="0" w:line="276" w:lineRule="auto"/>
        <w:jc w:val="both"/>
        <w:rPr>
          <w:sz w:val="24"/>
          <w:szCs w:val="24"/>
        </w:rPr>
      </w:pPr>
    </w:p>
    <w:p w14:paraId="1598F9A6" w14:textId="77777777" w:rsidR="00862EF5" w:rsidRPr="008F44BF" w:rsidRDefault="00862EF5" w:rsidP="00862EF5">
      <w:pPr>
        <w:spacing w:after="0" w:line="276" w:lineRule="auto"/>
        <w:jc w:val="both"/>
        <w:rPr>
          <w:sz w:val="24"/>
          <w:szCs w:val="24"/>
        </w:rPr>
      </w:pPr>
    </w:p>
    <w:p w14:paraId="28AE222F" w14:textId="77777777" w:rsidR="00862EF5" w:rsidRPr="00E748BA" w:rsidRDefault="00862EF5" w:rsidP="00862EF5">
      <w:pPr>
        <w:spacing w:after="0"/>
        <w:ind w:right="26"/>
        <w:jc w:val="both"/>
        <w:rPr>
          <w:rFonts w:eastAsia="Calibri" w:cstheme="minorHAnsi"/>
          <w:sz w:val="24"/>
          <w:szCs w:val="24"/>
        </w:rPr>
      </w:pPr>
    </w:p>
    <w:p w14:paraId="3B62267D" w14:textId="77777777" w:rsidR="00862EF5" w:rsidRPr="00E748BA" w:rsidRDefault="00862EF5" w:rsidP="00862EF5">
      <w:pPr>
        <w:spacing w:after="0"/>
        <w:ind w:right="26"/>
        <w:jc w:val="both"/>
        <w:rPr>
          <w:rFonts w:eastAsia="Calibri" w:cstheme="minorHAnsi"/>
          <w:sz w:val="24"/>
          <w:szCs w:val="24"/>
        </w:rPr>
      </w:pPr>
    </w:p>
    <w:p w14:paraId="3F6B52D7" w14:textId="77777777" w:rsidR="00862EF5" w:rsidRPr="008F44BF" w:rsidRDefault="00862EF5" w:rsidP="00862EF5">
      <w:pPr>
        <w:spacing w:after="0"/>
        <w:ind w:right="26"/>
        <w:jc w:val="both"/>
        <w:rPr>
          <w:rFonts w:eastAsia="Calibri" w:cstheme="minorHAnsi"/>
          <w:b/>
          <w:bCs/>
          <w:sz w:val="24"/>
          <w:szCs w:val="24"/>
        </w:rPr>
      </w:pPr>
      <w:r w:rsidRPr="008F44BF">
        <w:rPr>
          <w:rFonts w:eastAsia="Calibri" w:cstheme="minorHAnsi"/>
          <w:b/>
          <w:bCs/>
          <w:sz w:val="24"/>
          <w:szCs w:val="24"/>
        </w:rPr>
        <w:t>..........................................</w:t>
      </w:r>
    </w:p>
    <w:p w14:paraId="1355DC3F" w14:textId="05E383BD" w:rsidR="00862EF5" w:rsidRPr="008F44BF" w:rsidRDefault="00245131" w:rsidP="00862EF5">
      <w:pPr>
        <w:spacing w:after="0"/>
        <w:ind w:right="831"/>
        <w:rPr>
          <w:rFonts w:cstheme="minorHAnsi"/>
          <w:b/>
          <w:bCs/>
          <w:sz w:val="24"/>
          <w:szCs w:val="24"/>
        </w:rPr>
      </w:pPr>
      <w:r>
        <w:rPr>
          <w:rFonts w:cstheme="minorHAnsi"/>
          <w:b/>
          <w:bCs/>
          <w:sz w:val="24"/>
          <w:szCs w:val="24"/>
        </w:rPr>
        <w:t xml:space="preserve">(SD) </w:t>
      </w:r>
      <w:r w:rsidR="00862EF5" w:rsidRPr="008F44BF">
        <w:rPr>
          <w:rFonts w:cstheme="minorHAnsi"/>
          <w:b/>
          <w:bCs/>
          <w:sz w:val="24"/>
          <w:szCs w:val="24"/>
        </w:rPr>
        <w:t>Shameer Janhangeer</w:t>
      </w:r>
    </w:p>
    <w:p w14:paraId="5FEF2411" w14:textId="77777777" w:rsidR="00862EF5" w:rsidRPr="008F44BF" w:rsidRDefault="00862EF5" w:rsidP="00862EF5">
      <w:pPr>
        <w:spacing w:after="0"/>
        <w:ind w:right="831"/>
        <w:rPr>
          <w:rFonts w:cstheme="minorHAnsi"/>
          <w:b/>
          <w:bCs/>
          <w:sz w:val="24"/>
          <w:szCs w:val="24"/>
        </w:rPr>
      </w:pPr>
      <w:r w:rsidRPr="008F44BF">
        <w:rPr>
          <w:rFonts w:cstheme="minorHAnsi"/>
          <w:b/>
          <w:bCs/>
          <w:sz w:val="24"/>
          <w:szCs w:val="24"/>
        </w:rPr>
        <w:t>(Vice-President)</w:t>
      </w:r>
    </w:p>
    <w:p w14:paraId="74478F71" w14:textId="77777777" w:rsidR="00862EF5" w:rsidRPr="00D874D4" w:rsidRDefault="00862EF5" w:rsidP="00862EF5">
      <w:pPr>
        <w:spacing w:after="0"/>
        <w:ind w:right="831"/>
        <w:rPr>
          <w:rFonts w:cstheme="minorHAnsi"/>
          <w:sz w:val="24"/>
          <w:szCs w:val="24"/>
        </w:rPr>
      </w:pPr>
    </w:p>
    <w:p w14:paraId="7856D822" w14:textId="77777777" w:rsidR="00862EF5" w:rsidRPr="00D874D4" w:rsidRDefault="00862EF5" w:rsidP="00862EF5">
      <w:pPr>
        <w:spacing w:after="0"/>
        <w:ind w:right="831"/>
        <w:rPr>
          <w:rFonts w:cstheme="minorHAnsi"/>
          <w:sz w:val="24"/>
          <w:szCs w:val="24"/>
        </w:rPr>
      </w:pPr>
    </w:p>
    <w:p w14:paraId="36AE9ABF" w14:textId="77777777" w:rsidR="00862EF5" w:rsidRPr="00D874D4" w:rsidRDefault="00862EF5" w:rsidP="00862EF5">
      <w:pPr>
        <w:spacing w:after="0"/>
        <w:ind w:right="831"/>
        <w:rPr>
          <w:rFonts w:cstheme="minorHAnsi"/>
          <w:sz w:val="24"/>
          <w:szCs w:val="24"/>
        </w:rPr>
      </w:pPr>
    </w:p>
    <w:p w14:paraId="637357BE" w14:textId="77777777" w:rsidR="00862EF5" w:rsidRPr="008F44BF" w:rsidRDefault="00862EF5" w:rsidP="00862EF5">
      <w:pPr>
        <w:spacing w:after="0"/>
        <w:ind w:right="831"/>
        <w:rPr>
          <w:rFonts w:cstheme="minorHAnsi"/>
          <w:b/>
          <w:bCs/>
          <w:sz w:val="24"/>
          <w:szCs w:val="24"/>
        </w:rPr>
      </w:pPr>
      <w:r w:rsidRPr="008F44BF">
        <w:rPr>
          <w:rFonts w:cstheme="minorHAnsi"/>
          <w:b/>
          <w:bCs/>
          <w:sz w:val="24"/>
          <w:szCs w:val="24"/>
        </w:rPr>
        <w:t>..........................................</w:t>
      </w:r>
    </w:p>
    <w:p w14:paraId="0875F8EC" w14:textId="5456E76D" w:rsidR="00862EF5" w:rsidRPr="00862EF5" w:rsidRDefault="00245131" w:rsidP="00862EF5">
      <w:pPr>
        <w:spacing w:after="0"/>
        <w:ind w:right="831"/>
        <w:rPr>
          <w:rFonts w:cstheme="minorHAnsi"/>
          <w:b/>
          <w:bCs/>
        </w:rPr>
      </w:pPr>
      <w:r>
        <w:rPr>
          <w:b/>
          <w:sz w:val="24"/>
        </w:rPr>
        <w:t xml:space="preserve">(SD) </w:t>
      </w:r>
      <w:r w:rsidR="00862EF5" w:rsidRPr="00862EF5">
        <w:rPr>
          <w:b/>
          <w:sz w:val="24"/>
        </w:rPr>
        <w:t>Greetanand Beelatoo</w:t>
      </w:r>
      <w:r w:rsidR="00862EF5" w:rsidRPr="00862EF5">
        <w:rPr>
          <w:rFonts w:cstheme="minorHAnsi"/>
          <w:b/>
          <w:bCs/>
        </w:rPr>
        <w:t xml:space="preserve"> </w:t>
      </w:r>
    </w:p>
    <w:p w14:paraId="446003D7" w14:textId="479DB6AD" w:rsidR="00862EF5" w:rsidRPr="008F44BF" w:rsidRDefault="00862EF5" w:rsidP="00862EF5">
      <w:pPr>
        <w:spacing w:after="0"/>
        <w:ind w:right="831"/>
        <w:rPr>
          <w:rFonts w:cstheme="minorHAnsi"/>
          <w:b/>
          <w:bCs/>
          <w:sz w:val="24"/>
          <w:szCs w:val="24"/>
        </w:rPr>
      </w:pPr>
      <w:r w:rsidRPr="008F44BF">
        <w:rPr>
          <w:rFonts w:cstheme="minorHAnsi"/>
          <w:b/>
          <w:bCs/>
          <w:sz w:val="24"/>
          <w:szCs w:val="24"/>
        </w:rPr>
        <w:t>(Member)</w:t>
      </w:r>
    </w:p>
    <w:p w14:paraId="32802F04" w14:textId="77777777" w:rsidR="00862EF5" w:rsidRPr="00D874D4" w:rsidRDefault="00862EF5" w:rsidP="00862EF5">
      <w:pPr>
        <w:spacing w:after="0"/>
        <w:ind w:right="831"/>
        <w:rPr>
          <w:rFonts w:cstheme="minorHAnsi"/>
          <w:sz w:val="24"/>
          <w:szCs w:val="24"/>
        </w:rPr>
      </w:pPr>
    </w:p>
    <w:p w14:paraId="7A98731B" w14:textId="77777777" w:rsidR="00862EF5" w:rsidRPr="00D874D4" w:rsidRDefault="00862EF5" w:rsidP="00862EF5">
      <w:pPr>
        <w:spacing w:after="0"/>
        <w:ind w:right="831"/>
        <w:rPr>
          <w:rFonts w:cstheme="minorHAnsi"/>
          <w:sz w:val="24"/>
          <w:szCs w:val="24"/>
        </w:rPr>
      </w:pPr>
    </w:p>
    <w:p w14:paraId="4584DE06" w14:textId="77777777" w:rsidR="00862EF5" w:rsidRPr="00D874D4" w:rsidRDefault="00862EF5" w:rsidP="00862EF5">
      <w:pPr>
        <w:spacing w:after="0"/>
        <w:ind w:right="831"/>
        <w:rPr>
          <w:rFonts w:cstheme="minorHAnsi"/>
          <w:sz w:val="24"/>
          <w:szCs w:val="24"/>
        </w:rPr>
      </w:pPr>
    </w:p>
    <w:p w14:paraId="154678E7" w14:textId="77777777" w:rsidR="00862EF5" w:rsidRPr="008F44BF" w:rsidRDefault="00862EF5" w:rsidP="00862EF5">
      <w:pPr>
        <w:spacing w:after="0"/>
        <w:ind w:right="831"/>
        <w:rPr>
          <w:rFonts w:cstheme="minorHAnsi"/>
          <w:b/>
          <w:bCs/>
          <w:sz w:val="24"/>
          <w:szCs w:val="24"/>
        </w:rPr>
      </w:pPr>
      <w:r w:rsidRPr="008F44BF">
        <w:rPr>
          <w:rFonts w:cstheme="minorHAnsi"/>
          <w:b/>
          <w:bCs/>
          <w:sz w:val="24"/>
          <w:szCs w:val="24"/>
        </w:rPr>
        <w:t>..........................................</w:t>
      </w:r>
    </w:p>
    <w:p w14:paraId="54395767" w14:textId="46258FFA" w:rsidR="005E644B" w:rsidRPr="005E644B" w:rsidRDefault="00245131" w:rsidP="00862EF5">
      <w:pPr>
        <w:spacing w:after="0"/>
        <w:ind w:right="831"/>
        <w:rPr>
          <w:rFonts w:cstheme="minorHAnsi"/>
          <w:b/>
          <w:bCs/>
        </w:rPr>
      </w:pPr>
      <w:r>
        <w:rPr>
          <w:b/>
          <w:sz w:val="24"/>
        </w:rPr>
        <w:t xml:space="preserve">(SD) </w:t>
      </w:r>
      <w:r w:rsidR="005E644B" w:rsidRPr="005E644B">
        <w:rPr>
          <w:b/>
          <w:sz w:val="24"/>
        </w:rPr>
        <w:t>Venusha Autar Hemrazsing (Mrs)</w:t>
      </w:r>
      <w:r w:rsidR="005E644B" w:rsidRPr="005E644B">
        <w:rPr>
          <w:rFonts w:cstheme="minorHAnsi"/>
          <w:b/>
          <w:bCs/>
        </w:rPr>
        <w:t xml:space="preserve"> </w:t>
      </w:r>
    </w:p>
    <w:p w14:paraId="4777943F" w14:textId="213A4A19" w:rsidR="00862EF5" w:rsidRPr="008F44BF" w:rsidRDefault="00862EF5" w:rsidP="00862EF5">
      <w:pPr>
        <w:spacing w:after="0"/>
        <w:ind w:right="831"/>
        <w:rPr>
          <w:rFonts w:cstheme="minorHAnsi"/>
          <w:b/>
          <w:bCs/>
          <w:sz w:val="24"/>
          <w:szCs w:val="24"/>
        </w:rPr>
      </w:pPr>
      <w:r w:rsidRPr="008F44BF">
        <w:rPr>
          <w:rFonts w:cstheme="minorHAnsi"/>
          <w:b/>
          <w:bCs/>
          <w:sz w:val="24"/>
          <w:szCs w:val="24"/>
        </w:rPr>
        <w:t>(Member)</w:t>
      </w:r>
    </w:p>
    <w:p w14:paraId="517F14CB" w14:textId="77777777" w:rsidR="00862EF5" w:rsidRDefault="00862EF5" w:rsidP="00862EF5">
      <w:pPr>
        <w:spacing w:after="0" w:line="276" w:lineRule="auto"/>
        <w:jc w:val="both"/>
        <w:rPr>
          <w:rFonts w:cstheme="minorHAnsi"/>
          <w:sz w:val="24"/>
          <w:szCs w:val="24"/>
        </w:rPr>
      </w:pPr>
    </w:p>
    <w:p w14:paraId="134D9CC5" w14:textId="77777777" w:rsidR="00862EF5" w:rsidRDefault="00862EF5" w:rsidP="00862EF5">
      <w:pPr>
        <w:spacing w:after="0" w:line="276" w:lineRule="auto"/>
        <w:jc w:val="both"/>
        <w:rPr>
          <w:rFonts w:cstheme="minorHAnsi"/>
          <w:sz w:val="24"/>
          <w:szCs w:val="24"/>
        </w:rPr>
      </w:pPr>
    </w:p>
    <w:p w14:paraId="2383F00F" w14:textId="49477381" w:rsidR="00862EF5" w:rsidRPr="008F44BF" w:rsidRDefault="00862EF5" w:rsidP="00862EF5">
      <w:pPr>
        <w:spacing w:after="0" w:line="276" w:lineRule="auto"/>
        <w:jc w:val="both"/>
        <w:rPr>
          <w:rFonts w:cstheme="minorHAnsi"/>
          <w:b/>
          <w:bCs/>
          <w:sz w:val="24"/>
          <w:szCs w:val="24"/>
        </w:rPr>
      </w:pPr>
      <w:r w:rsidRPr="008F44BF">
        <w:rPr>
          <w:rFonts w:cstheme="minorHAnsi"/>
          <w:b/>
          <w:bCs/>
          <w:sz w:val="24"/>
          <w:szCs w:val="24"/>
        </w:rPr>
        <w:t>Date:</w:t>
      </w:r>
      <w:r w:rsidRPr="008F44BF">
        <w:rPr>
          <w:rFonts w:cstheme="minorHAnsi"/>
          <w:b/>
          <w:bCs/>
          <w:sz w:val="24"/>
          <w:szCs w:val="24"/>
        </w:rPr>
        <w:tab/>
      </w:r>
      <w:r>
        <w:rPr>
          <w:rFonts w:cstheme="minorHAnsi"/>
          <w:b/>
          <w:bCs/>
          <w:sz w:val="24"/>
          <w:szCs w:val="24"/>
        </w:rPr>
        <w:t>18</w:t>
      </w:r>
      <w:r w:rsidRPr="008F44BF">
        <w:rPr>
          <w:rFonts w:cstheme="minorHAnsi"/>
          <w:b/>
          <w:bCs/>
          <w:sz w:val="24"/>
          <w:szCs w:val="24"/>
          <w:vertAlign w:val="superscript"/>
        </w:rPr>
        <w:t>th</w:t>
      </w:r>
      <w:r w:rsidRPr="008F44BF">
        <w:rPr>
          <w:rFonts w:cstheme="minorHAnsi"/>
          <w:b/>
          <w:bCs/>
          <w:sz w:val="24"/>
          <w:szCs w:val="24"/>
        </w:rPr>
        <w:t xml:space="preserve"> </w:t>
      </w:r>
      <w:r>
        <w:rPr>
          <w:rFonts w:cstheme="minorHAnsi"/>
          <w:b/>
          <w:bCs/>
          <w:sz w:val="24"/>
          <w:szCs w:val="24"/>
        </w:rPr>
        <w:t>Nov</w:t>
      </w:r>
      <w:r w:rsidRPr="008F44BF">
        <w:rPr>
          <w:rFonts w:cstheme="minorHAnsi"/>
          <w:b/>
          <w:bCs/>
          <w:sz w:val="24"/>
          <w:szCs w:val="24"/>
        </w:rPr>
        <w:t xml:space="preserve">ember 2024 </w:t>
      </w:r>
    </w:p>
    <w:p w14:paraId="7739FF45" w14:textId="77777777" w:rsidR="00862EF5" w:rsidRDefault="00862EF5" w:rsidP="00043A0C">
      <w:pPr>
        <w:spacing w:after="0" w:line="276" w:lineRule="auto"/>
        <w:jc w:val="both"/>
        <w:rPr>
          <w:sz w:val="24"/>
          <w:szCs w:val="24"/>
        </w:rPr>
      </w:pPr>
    </w:p>
    <w:p w14:paraId="6E78356C" w14:textId="77777777" w:rsidR="002C6EBA" w:rsidRDefault="002C6EBA" w:rsidP="00043A0C">
      <w:pPr>
        <w:spacing w:after="0" w:line="276" w:lineRule="auto"/>
        <w:jc w:val="both"/>
        <w:rPr>
          <w:sz w:val="24"/>
          <w:szCs w:val="24"/>
        </w:rPr>
      </w:pPr>
    </w:p>
    <w:p w14:paraId="4C4917A5" w14:textId="77777777" w:rsidR="002C6EBA" w:rsidRDefault="002C6EBA" w:rsidP="00043A0C">
      <w:pPr>
        <w:spacing w:after="0" w:line="276" w:lineRule="auto"/>
        <w:jc w:val="both"/>
        <w:rPr>
          <w:sz w:val="24"/>
          <w:szCs w:val="24"/>
        </w:rPr>
      </w:pPr>
    </w:p>
    <w:p w14:paraId="0F186ACF" w14:textId="77777777" w:rsidR="002C6EBA" w:rsidRDefault="002C6EBA" w:rsidP="00043A0C">
      <w:pPr>
        <w:spacing w:after="0" w:line="276" w:lineRule="auto"/>
        <w:jc w:val="both"/>
        <w:rPr>
          <w:sz w:val="24"/>
          <w:szCs w:val="24"/>
        </w:rPr>
      </w:pPr>
    </w:p>
    <w:p w14:paraId="6BFCC514" w14:textId="77777777" w:rsidR="002C6EBA" w:rsidRDefault="002C6EBA" w:rsidP="00043A0C">
      <w:pPr>
        <w:spacing w:after="0" w:line="276" w:lineRule="auto"/>
        <w:jc w:val="both"/>
        <w:rPr>
          <w:sz w:val="24"/>
          <w:szCs w:val="24"/>
        </w:rPr>
      </w:pPr>
    </w:p>
    <w:p w14:paraId="3214B8E4" w14:textId="77777777" w:rsidR="002C6EBA" w:rsidRDefault="002C6EBA" w:rsidP="00043A0C">
      <w:pPr>
        <w:spacing w:after="0" w:line="276" w:lineRule="auto"/>
        <w:jc w:val="both"/>
        <w:rPr>
          <w:sz w:val="24"/>
          <w:szCs w:val="24"/>
        </w:rPr>
      </w:pPr>
    </w:p>
    <w:p w14:paraId="599698D2" w14:textId="77777777" w:rsidR="002C6EBA" w:rsidRDefault="002C6EBA" w:rsidP="00043A0C">
      <w:pPr>
        <w:spacing w:after="0" w:line="276" w:lineRule="auto"/>
        <w:jc w:val="both"/>
        <w:rPr>
          <w:sz w:val="24"/>
          <w:szCs w:val="24"/>
        </w:rPr>
      </w:pPr>
    </w:p>
    <w:p w14:paraId="7E53A88F" w14:textId="77777777" w:rsidR="002C6EBA" w:rsidRDefault="002C6EBA" w:rsidP="00043A0C">
      <w:pPr>
        <w:spacing w:after="0" w:line="276" w:lineRule="auto"/>
        <w:jc w:val="both"/>
        <w:rPr>
          <w:sz w:val="24"/>
          <w:szCs w:val="24"/>
        </w:rPr>
      </w:pPr>
    </w:p>
    <w:p w14:paraId="5C943F68" w14:textId="77777777" w:rsidR="002C6EBA" w:rsidRDefault="002C6EBA" w:rsidP="00043A0C">
      <w:pPr>
        <w:spacing w:after="0" w:line="276" w:lineRule="auto"/>
        <w:jc w:val="both"/>
        <w:rPr>
          <w:sz w:val="24"/>
          <w:szCs w:val="24"/>
        </w:rPr>
      </w:pPr>
    </w:p>
    <w:p w14:paraId="509392AB" w14:textId="77777777" w:rsidR="002C6EBA" w:rsidRDefault="002C6EBA" w:rsidP="00043A0C">
      <w:pPr>
        <w:spacing w:after="0" w:line="276" w:lineRule="auto"/>
        <w:jc w:val="both"/>
        <w:rPr>
          <w:sz w:val="24"/>
          <w:szCs w:val="24"/>
        </w:rPr>
      </w:pPr>
    </w:p>
    <w:p w14:paraId="50E93BA3" w14:textId="77777777" w:rsidR="002C6EBA" w:rsidRDefault="002C6EBA" w:rsidP="00043A0C">
      <w:pPr>
        <w:spacing w:after="0" w:line="276" w:lineRule="auto"/>
        <w:jc w:val="both"/>
        <w:rPr>
          <w:sz w:val="24"/>
          <w:szCs w:val="24"/>
        </w:rPr>
      </w:pPr>
    </w:p>
    <w:p w14:paraId="001F6F7B" w14:textId="486E7772" w:rsidR="000730BF" w:rsidRDefault="00484664" w:rsidP="00043A0C">
      <w:pPr>
        <w:spacing w:after="0" w:line="276" w:lineRule="auto"/>
        <w:jc w:val="both"/>
        <w:rPr>
          <w:sz w:val="24"/>
          <w:szCs w:val="24"/>
        </w:rPr>
      </w:pPr>
      <w:r>
        <w:rPr>
          <w:sz w:val="24"/>
          <w:szCs w:val="24"/>
        </w:rPr>
        <w:t xml:space="preserve"> </w:t>
      </w:r>
      <w:r w:rsidR="00520D95">
        <w:rPr>
          <w:sz w:val="24"/>
          <w:szCs w:val="24"/>
        </w:rPr>
        <w:t xml:space="preserve">   </w:t>
      </w:r>
    </w:p>
    <w:p w14:paraId="556A5412" w14:textId="77777777" w:rsidR="000730BF" w:rsidRDefault="000730BF" w:rsidP="00AA50AC">
      <w:pPr>
        <w:spacing w:after="0" w:line="276" w:lineRule="auto"/>
        <w:jc w:val="both"/>
        <w:rPr>
          <w:sz w:val="24"/>
          <w:szCs w:val="24"/>
        </w:rPr>
      </w:pPr>
    </w:p>
    <w:p w14:paraId="7B6B39FD" w14:textId="6B281625" w:rsidR="00497FB3" w:rsidRDefault="000730BF" w:rsidP="00AA50AC">
      <w:pPr>
        <w:spacing w:after="0" w:line="276" w:lineRule="auto"/>
        <w:jc w:val="both"/>
        <w:rPr>
          <w:sz w:val="24"/>
          <w:szCs w:val="24"/>
        </w:rPr>
      </w:pPr>
      <w:r>
        <w:rPr>
          <w:sz w:val="24"/>
          <w:szCs w:val="24"/>
        </w:rPr>
        <w:tab/>
        <w:t xml:space="preserve"> </w:t>
      </w:r>
      <w:r w:rsidR="009D14AD">
        <w:rPr>
          <w:sz w:val="24"/>
          <w:szCs w:val="24"/>
        </w:rPr>
        <w:t xml:space="preserve"> </w:t>
      </w:r>
      <w:r w:rsidR="00AA50AC">
        <w:rPr>
          <w:sz w:val="24"/>
          <w:szCs w:val="24"/>
        </w:rPr>
        <w:t xml:space="preserve">   </w:t>
      </w:r>
      <w:r w:rsidR="0065242A">
        <w:rPr>
          <w:sz w:val="24"/>
          <w:szCs w:val="24"/>
        </w:rPr>
        <w:t xml:space="preserve"> </w:t>
      </w:r>
      <w:r w:rsidR="0023452F">
        <w:rPr>
          <w:sz w:val="24"/>
          <w:szCs w:val="24"/>
        </w:rPr>
        <w:t xml:space="preserve"> </w:t>
      </w:r>
      <w:r w:rsidR="00BB6009">
        <w:rPr>
          <w:sz w:val="24"/>
          <w:szCs w:val="24"/>
        </w:rPr>
        <w:t xml:space="preserve">  </w:t>
      </w:r>
      <w:r w:rsidR="00746A37">
        <w:rPr>
          <w:sz w:val="24"/>
          <w:szCs w:val="24"/>
        </w:rPr>
        <w:t xml:space="preserve">  </w:t>
      </w:r>
      <w:r w:rsidR="00956E76">
        <w:rPr>
          <w:sz w:val="24"/>
          <w:szCs w:val="24"/>
        </w:rPr>
        <w:t xml:space="preserve">  </w:t>
      </w:r>
      <w:r w:rsidR="008700D6">
        <w:rPr>
          <w:sz w:val="24"/>
          <w:szCs w:val="24"/>
        </w:rPr>
        <w:t xml:space="preserve"> </w:t>
      </w:r>
      <w:r w:rsidR="001E06CB">
        <w:rPr>
          <w:sz w:val="24"/>
          <w:szCs w:val="24"/>
        </w:rPr>
        <w:t xml:space="preserve"> </w:t>
      </w:r>
      <w:r w:rsidR="002C6AF5">
        <w:rPr>
          <w:sz w:val="24"/>
          <w:szCs w:val="24"/>
        </w:rPr>
        <w:t xml:space="preserve"> </w:t>
      </w:r>
      <w:r w:rsidR="00C372B9">
        <w:rPr>
          <w:sz w:val="24"/>
          <w:szCs w:val="24"/>
        </w:rPr>
        <w:t xml:space="preserve">  </w:t>
      </w:r>
      <w:r w:rsidR="00F20BAB">
        <w:rPr>
          <w:sz w:val="24"/>
          <w:szCs w:val="24"/>
        </w:rPr>
        <w:t xml:space="preserve">   </w:t>
      </w:r>
      <w:r w:rsidR="00503E29">
        <w:rPr>
          <w:sz w:val="24"/>
          <w:szCs w:val="24"/>
        </w:rPr>
        <w:t xml:space="preserve"> </w:t>
      </w:r>
    </w:p>
    <w:p w14:paraId="4E2359CC" w14:textId="505E8062" w:rsidR="00B36191" w:rsidRPr="003A1782" w:rsidRDefault="00B36191" w:rsidP="00B36191">
      <w:pPr>
        <w:spacing w:after="0" w:line="276" w:lineRule="auto"/>
        <w:ind w:firstLine="720"/>
        <w:jc w:val="both"/>
        <w:rPr>
          <w:sz w:val="24"/>
          <w:szCs w:val="24"/>
        </w:rPr>
      </w:pPr>
      <w:r w:rsidRPr="003A1782">
        <w:rPr>
          <w:sz w:val="24"/>
          <w:szCs w:val="24"/>
        </w:rPr>
        <w:t xml:space="preserve">  </w:t>
      </w:r>
    </w:p>
    <w:p w14:paraId="79C5EDDC" w14:textId="77777777" w:rsidR="0013261E" w:rsidRPr="00B36191" w:rsidRDefault="0013261E" w:rsidP="00B36191">
      <w:pPr>
        <w:spacing w:after="0" w:line="276" w:lineRule="auto"/>
        <w:jc w:val="both"/>
        <w:rPr>
          <w:sz w:val="24"/>
          <w:szCs w:val="24"/>
        </w:rPr>
      </w:pPr>
    </w:p>
    <w:sectPr w:rsidR="0013261E" w:rsidRPr="00B36191">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31DFE" w14:textId="77777777" w:rsidR="00D75F27" w:rsidRDefault="00D75F27" w:rsidP="009D6E53">
      <w:pPr>
        <w:spacing w:after="0" w:line="240" w:lineRule="auto"/>
      </w:pPr>
      <w:r>
        <w:separator/>
      </w:r>
    </w:p>
  </w:endnote>
  <w:endnote w:type="continuationSeparator" w:id="0">
    <w:p w14:paraId="169C199E" w14:textId="77777777" w:rsidR="00D75F27" w:rsidRDefault="00D75F27" w:rsidP="009D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20574"/>
      <w:docPartObj>
        <w:docPartGallery w:val="Page Numbers (Bottom of Page)"/>
        <w:docPartUnique/>
      </w:docPartObj>
    </w:sdtPr>
    <w:sdtEndPr>
      <w:rPr>
        <w:noProof/>
      </w:rPr>
    </w:sdtEndPr>
    <w:sdtContent>
      <w:p w14:paraId="5B3C9500" w14:textId="20D734CD" w:rsidR="003519FE" w:rsidRDefault="003519FE">
        <w:pPr>
          <w:pStyle w:val="Footer"/>
          <w:jc w:val="right"/>
        </w:pPr>
        <w:r>
          <w:fldChar w:fldCharType="begin"/>
        </w:r>
        <w:r>
          <w:instrText xml:space="preserve"> PAGE   \* MERGEFORMAT </w:instrText>
        </w:r>
        <w:r>
          <w:fldChar w:fldCharType="separate"/>
        </w:r>
        <w:r w:rsidR="002A5C3A">
          <w:rPr>
            <w:noProof/>
          </w:rPr>
          <w:t>1</w:t>
        </w:r>
        <w:r>
          <w:rPr>
            <w:noProof/>
          </w:rPr>
          <w:fldChar w:fldCharType="end"/>
        </w:r>
      </w:p>
    </w:sdtContent>
  </w:sdt>
  <w:p w14:paraId="3DA12A99" w14:textId="77777777" w:rsidR="003519FE" w:rsidRDefault="00351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A2F63" w14:textId="77777777" w:rsidR="00D75F27" w:rsidRDefault="00D75F27" w:rsidP="009D6E53">
      <w:pPr>
        <w:spacing w:after="0" w:line="240" w:lineRule="auto"/>
      </w:pPr>
      <w:r>
        <w:separator/>
      </w:r>
    </w:p>
  </w:footnote>
  <w:footnote w:type="continuationSeparator" w:id="0">
    <w:p w14:paraId="3305FABF" w14:textId="77777777" w:rsidR="00D75F27" w:rsidRDefault="00D75F27" w:rsidP="009D6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F092" w14:textId="72CB136D" w:rsidR="009D6E53" w:rsidRPr="009D6E53" w:rsidRDefault="009D6E53" w:rsidP="009D6E53">
    <w:pPr>
      <w:pStyle w:val="Header"/>
      <w:jc w:val="right"/>
      <w:rPr>
        <w:color w:val="4472C4" w:themeColor="accen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91"/>
    <w:rsid w:val="00043A0C"/>
    <w:rsid w:val="00050046"/>
    <w:rsid w:val="00062CA7"/>
    <w:rsid w:val="000730BF"/>
    <w:rsid w:val="00075057"/>
    <w:rsid w:val="00104750"/>
    <w:rsid w:val="00120D19"/>
    <w:rsid w:val="0013261E"/>
    <w:rsid w:val="00160F1D"/>
    <w:rsid w:val="00163BD1"/>
    <w:rsid w:val="00194F82"/>
    <w:rsid w:val="001B1B58"/>
    <w:rsid w:val="001D1C8B"/>
    <w:rsid w:val="001E06CB"/>
    <w:rsid w:val="001E404D"/>
    <w:rsid w:val="001F0928"/>
    <w:rsid w:val="00207A8F"/>
    <w:rsid w:val="0023452F"/>
    <w:rsid w:val="00245131"/>
    <w:rsid w:val="00276EFE"/>
    <w:rsid w:val="002A5C3A"/>
    <w:rsid w:val="002B6B2B"/>
    <w:rsid w:val="002C6AF5"/>
    <w:rsid w:val="002C6EBA"/>
    <w:rsid w:val="002E0DDA"/>
    <w:rsid w:val="002F5491"/>
    <w:rsid w:val="003519FE"/>
    <w:rsid w:val="00377286"/>
    <w:rsid w:val="003A78F5"/>
    <w:rsid w:val="003D6A39"/>
    <w:rsid w:val="003F65D4"/>
    <w:rsid w:val="004061B7"/>
    <w:rsid w:val="00406FCF"/>
    <w:rsid w:val="00415E30"/>
    <w:rsid w:val="004352A1"/>
    <w:rsid w:val="00484664"/>
    <w:rsid w:val="00497FB3"/>
    <w:rsid w:val="004F7B78"/>
    <w:rsid w:val="00503E29"/>
    <w:rsid w:val="00516CA8"/>
    <w:rsid w:val="00520D95"/>
    <w:rsid w:val="005E3238"/>
    <w:rsid w:val="005E644B"/>
    <w:rsid w:val="006470BC"/>
    <w:rsid w:val="0064776F"/>
    <w:rsid w:val="0065242A"/>
    <w:rsid w:val="00692125"/>
    <w:rsid w:val="0069728B"/>
    <w:rsid w:val="006E5CA2"/>
    <w:rsid w:val="006F73D1"/>
    <w:rsid w:val="00746A37"/>
    <w:rsid w:val="00747995"/>
    <w:rsid w:val="007D3D0A"/>
    <w:rsid w:val="007E0D04"/>
    <w:rsid w:val="0080158F"/>
    <w:rsid w:val="00855F76"/>
    <w:rsid w:val="00862EF5"/>
    <w:rsid w:val="008700D6"/>
    <w:rsid w:val="0089005C"/>
    <w:rsid w:val="008C4883"/>
    <w:rsid w:val="00943304"/>
    <w:rsid w:val="00956E76"/>
    <w:rsid w:val="00971C6D"/>
    <w:rsid w:val="009D11E4"/>
    <w:rsid w:val="009D14AD"/>
    <w:rsid w:val="009D6E53"/>
    <w:rsid w:val="009F778A"/>
    <w:rsid w:val="00A01EFF"/>
    <w:rsid w:val="00A175AA"/>
    <w:rsid w:val="00A450C2"/>
    <w:rsid w:val="00A67FDF"/>
    <w:rsid w:val="00AA50AC"/>
    <w:rsid w:val="00AD6029"/>
    <w:rsid w:val="00B36191"/>
    <w:rsid w:val="00B83685"/>
    <w:rsid w:val="00BA7A5D"/>
    <w:rsid w:val="00BB1A6D"/>
    <w:rsid w:val="00BB6009"/>
    <w:rsid w:val="00BF2DD2"/>
    <w:rsid w:val="00C372B9"/>
    <w:rsid w:val="00CF312C"/>
    <w:rsid w:val="00D431BB"/>
    <w:rsid w:val="00D75F27"/>
    <w:rsid w:val="00E67C86"/>
    <w:rsid w:val="00E7217F"/>
    <w:rsid w:val="00EF3F8A"/>
    <w:rsid w:val="00F20BAB"/>
    <w:rsid w:val="00F37164"/>
    <w:rsid w:val="00F442C3"/>
    <w:rsid w:val="00F739CA"/>
    <w:rsid w:val="00FC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532A"/>
  <w15:chartTrackingRefBased/>
  <w15:docId w15:val="{1626404B-3489-48B5-AD85-33E1D55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9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53"/>
    <w:rPr>
      <w:lang w:val="en-GB"/>
    </w:rPr>
  </w:style>
  <w:style w:type="paragraph" w:styleId="Footer">
    <w:name w:val="footer"/>
    <w:basedOn w:val="Normal"/>
    <w:link w:val="FooterChar"/>
    <w:uiPriority w:val="99"/>
    <w:unhideWhenUsed/>
    <w:rsid w:val="009D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53"/>
    <w:rPr>
      <w:lang w:val="en-GB"/>
    </w:rPr>
  </w:style>
  <w:style w:type="paragraph" w:customStyle="1" w:styleId="Default">
    <w:name w:val="Default"/>
    <w:rsid w:val="000730BF"/>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9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A756D2-8870-4999-903D-B557B5553538}"/>
</file>

<file path=customXml/itemProps2.xml><?xml version="1.0" encoding="utf-8"?>
<ds:datastoreItem xmlns:ds="http://schemas.openxmlformats.org/officeDocument/2006/customXml" ds:itemID="{97A07D51-1EA8-4EB0-A719-697DF7695675}"/>
</file>

<file path=customXml/itemProps3.xml><?xml version="1.0" encoding="utf-8"?>
<ds:datastoreItem xmlns:ds="http://schemas.openxmlformats.org/officeDocument/2006/customXml" ds:itemID="{2DD1E69C-F6CD-4A6D-BC38-6B603DB906AF}"/>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CNU</cp:lastModifiedBy>
  <cp:revision>2</cp:revision>
  <cp:lastPrinted>2024-11-18T09:35:00Z</cp:lastPrinted>
  <dcterms:created xsi:type="dcterms:W3CDTF">2024-11-18T11:29:00Z</dcterms:created>
  <dcterms:modified xsi:type="dcterms:W3CDTF">2024-11-18T11:29:00Z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