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08" w:rsidRPr="00D602F9" w:rsidRDefault="00453008" w:rsidP="00453008">
      <w:pPr>
        <w:spacing w:after="0" w:line="360" w:lineRule="auto"/>
        <w:jc w:val="center"/>
        <w:rPr>
          <w:b/>
          <w:sz w:val="32"/>
          <w:lang w:val="en-US"/>
        </w:rPr>
      </w:pPr>
      <w:bookmarkStart w:id="0" w:name="_GoBack"/>
      <w:bookmarkEnd w:id="0"/>
      <w:r w:rsidRPr="00D602F9">
        <w:rPr>
          <w:b/>
          <w:sz w:val="32"/>
          <w:lang w:val="en-US"/>
        </w:rPr>
        <w:t>EMPLOYMENT RELATIONS TRIBUNAL</w:t>
      </w:r>
    </w:p>
    <w:p w:rsidR="00453008" w:rsidRPr="00DB68D9" w:rsidRDefault="00453008" w:rsidP="00453008">
      <w:pPr>
        <w:spacing w:after="0" w:line="360" w:lineRule="auto"/>
        <w:jc w:val="center"/>
        <w:rPr>
          <w:b/>
          <w:sz w:val="24"/>
          <w:lang w:val="en-US"/>
        </w:rPr>
      </w:pPr>
    </w:p>
    <w:p w:rsidR="00453008" w:rsidRPr="00356D7F" w:rsidRDefault="00453008" w:rsidP="00453008">
      <w:pPr>
        <w:spacing w:after="0" w:line="360" w:lineRule="auto"/>
        <w:jc w:val="both"/>
        <w:rPr>
          <w:b/>
          <w:sz w:val="24"/>
          <w:lang w:val="en-US"/>
        </w:rPr>
      </w:pPr>
      <w:r>
        <w:rPr>
          <w:b/>
          <w:sz w:val="24"/>
          <w:lang w:val="en-US"/>
        </w:rPr>
        <w:t>ERT/RN 51</w:t>
      </w:r>
      <w:r w:rsidRPr="00356D7F">
        <w:rPr>
          <w:b/>
          <w:sz w:val="24"/>
          <w:lang w:val="en-US"/>
        </w:rPr>
        <w:t>/201</w:t>
      </w:r>
      <w:r>
        <w:rPr>
          <w:b/>
          <w:sz w:val="24"/>
          <w:lang w:val="en-US"/>
        </w:rPr>
        <w:t>8</w:t>
      </w:r>
    </w:p>
    <w:p w:rsidR="00453008" w:rsidRPr="006B3207" w:rsidRDefault="00453008" w:rsidP="00453008">
      <w:pPr>
        <w:spacing w:after="0" w:line="360" w:lineRule="auto"/>
        <w:jc w:val="center"/>
        <w:rPr>
          <w:b/>
          <w:sz w:val="32"/>
          <w:lang w:val="en-US"/>
        </w:rPr>
      </w:pPr>
      <w:r>
        <w:rPr>
          <w:b/>
          <w:sz w:val="32"/>
          <w:lang w:val="en-US"/>
        </w:rPr>
        <w:t>ORDER</w:t>
      </w:r>
    </w:p>
    <w:p w:rsidR="00453008" w:rsidRPr="00356D7F" w:rsidRDefault="00453008" w:rsidP="00453008">
      <w:pPr>
        <w:spacing w:after="0" w:line="360" w:lineRule="auto"/>
        <w:jc w:val="both"/>
        <w:rPr>
          <w:b/>
          <w:sz w:val="24"/>
          <w:lang w:val="en-US"/>
        </w:rPr>
      </w:pPr>
      <w:r w:rsidRPr="00356D7F">
        <w:rPr>
          <w:b/>
          <w:sz w:val="24"/>
          <w:lang w:val="en-US"/>
        </w:rPr>
        <w:t>Before:</w:t>
      </w:r>
      <w:r>
        <w:rPr>
          <w:b/>
          <w:sz w:val="24"/>
          <w:lang w:val="en-US"/>
        </w:rPr>
        <w:t xml:space="preserve"> - </w:t>
      </w:r>
    </w:p>
    <w:p w:rsidR="00453008" w:rsidRPr="00356D7F" w:rsidRDefault="00453008" w:rsidP="00453008">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453008" w:rsidRPr="001D56E0" w:rsidRDefault="00453008" w:rsidP="00453008">
      <w:pPr>
        <w:spacing w:after="0" w:line="360" w:lineRule="auto"/>
        <w:ind w:left="1440"/>
        <w:jc w:val="both"/>
        <w:rPr>
          <w:b/>
          <w:sz w:val="24"/>
          <w:lang w:val="en-US"/>
        </w:rPr>
      </w:pPr>
      <w:r>
        <w:rPr>
          <w:b/>
          <w:sz w:val="24"/>
          <w:lang w:val="en-US"/>
        </w:rPr>
        <w:t>Raffick Hossenbaccus</w:t>
      </w:r>
      <w:r>
        <w:rPr>
          <w:b/>
          <w:sz w:val="24"/>
          <w:lang w:val="en-US"/>
        </w:rPr>
        <w:tab/>
      </w:r>
      <w:r w:rsidRPr="001D56E0">
        <w:rPr>
          <w:b/>
          <w:sz w:val="24"/>
          <w:lang w:val="en-US"/>
        </w:rPr>
        <w:tab/>
      </w:r>
      <w:r w:rsidRPr="001D56E0">
        <w:rPr>
          <w:b/>
          <w:sz w:val="24"/>
          <w:lang w:val="en-US"/>
        </w:rPr>
        <w:tab/>
      </w:r>
      <w:r w:rsidRPr="001D56E0">
        <w:rPr>
          <w:b/>
          <w:sz w:val="24"/>
          <w:lang w:val="en-US"/>
        </w:rPr>
        <w:tab/>
      </w:r>
      <w:r>
        <w:rPr>
          <w:b/>
          <w:sz w:val="24"/>
          <w:lang w:val="en-US"/>
        </w:rPr>
        <w:tab/>
      </w:r>
      <w:r w:rsidRPr="001D56E0">
        <w:rPr>
          <w:b/>
          <w:sz w:val="24"/>
          <w:lang w:val="en-US"/>
        </w:rPr>
        <w:t>Member</w:t>
      </w:r>
    </w:p>
    <w:p w:rsidR="00453008" w:rsidRPr="00356D7F" w:rsidRDefault="00453008" w:rsidP="00453008">
      <w:pPr>
        <w:spacing w:after="0" w:line="360" w:lineRule="auto"/>
        <w:ind w:left="1440"/>
        <w:jc w:val="both"/>
        <w:rPr>
          <w:b/>
          <w:sz w:val="24"/>
          <w:lang w:val="en-US"/>
        </w:rPr>
      </w:pPr>
      <w:r>
        <w:rPr>
          <w:b/>
          <w:sz w:val="24"/>
          <w:lang w:val="en-US"/>
        </w:rPr>
        <w:t>Rabin Gungoo</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453008" w:rsidRPr="00356D7F" w:rsidRDefault="00453008" w:rsidP="00453008">
      <w:pPr>
        <w:spacing w:after="0" w:line="360" w:lineRule="auto"/>
        <w:ind w:left="1440"/>
        <w:jc w:val="both"/>
        <w:rPr>
          <w:b/>
          <w:sz w:val="24"/>
          <w:lang w:val="en-US"/>
        </w:rPr>
      </w:pPr>
      <w:r>
        <w:rPr>
          <w:b/>
          <w:sz w:val="24"/>
          <w:lang w:val="en-US"/>
        </w:rPr>
        <w:t>Parmeshwar Burosee</w:t>
      </w:r>
      <w:r>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453008" w:rsidRPr="00356D7F" w:rsidRDefault="00453008" w:rsidP="00453008">
      <w:pPr>
        <w:spacing w:after="0" w:line="360" w:lineRule="auto"/>
        <w:jc w:val="both"/>
        <w:rPr>
          <w:b/>
          <w:sz w:val="24"/>
          <w:lang w:val="en-US"/>
        </w:rPr>
      </w:pPr>
    </w:p>
    <w:p w:rsidR="00453008" w:rsidRDefault="00453008" w:rsidP="00B246F3">
      <w:pPr>
        <w:spacing w:after="0" w:line="276" w:lineRule="auto"/>
        <w:jc w:val="both"/>
        <w:rPr>
          <w:b/>
          <w:sz w:val="24"/>
          <w:lang w:val="en-US"/>
        </w:rPr>
      </w:pPr>
      <w:r w:rsidRPr="00356D7F">
        <w:rPr>
          <w:b/>
          <w:sz w:val="24"/>
          <w:lang w:val="en-US"/>
        </w:rPr>
        <w:t>In the matter of: -</w:t>
      </w:r>
    </w:p>
    <w:p w:rsidR="00B246F3" w:rsidRPr="00AA3609" w:rsidRDefault="00B246F3" w:rsidP="00B246F3">
      <w:pPr>
        <w:spacing w:after="0" w:line="276" w:lineRule="auto"/>
        <w:jc w:val="both"/>
        <w:rPr>
          <w:b/>
          <w:sz w:val="24"/>
          <w:lang w:val="en-US"/>
        </w:rPr>
      </w:pPr>
    </w:p>
    <w:p w:rsidR="00453008" w:rsidRPr="00453008" w:rsidRDefault="00453008" w:rsidP="00453008">
      <w:pPr>
        <w:spacing w:after="0" w:line="276" w:lineRule="auto"/>
        <w:jc w:val="center"/>
        <w:rPr>
          <w:b/>
          <w:sz w:val="28"/>
          <w:lang w:val="en-US"/>
        </w:rPr>
      </w:pPr>
      <w:r w:rsidRPr="00453008">
        <w:rPr>
          <w:b/>
          <w:sz w:val="28"/>
          <w:lang w:val="en-US"/>
        </w:rPr>
        <w:t>Tusk Contracting Limited</w:t>
      </w:r>
    </w:p>
    <w:p w:rsidR="00453008" w:rsidRPr="00E77320" w:rsidRDefault="00453008" w:rsidP="00453008">
      <w:pPr>
        <w:spacing w:after="0" w:line="276" w:lineRule="auto"/>
        <w:jc w:val="right"/>
        <w:rPr>
          <w:i/>
          <w:sz w:val="24"/>
        </w:rPr>
      </w:pPr>
      <w:r>
        <w:rPr>
          <w:i/>
          <w:sz w:val="24"/>
        </w:rPr>
        <w:t>Applicant</w:t>
      </w:r>
    </w:p>
    <w:p w:rsidR="00453008" w:rsidRDefault="00453008" w:rsidP="00453008">
      <w:pPr>
        <w:spacing w:after="0" w:line="276" w:lineRule="auto"/>
        <w:jc w:val="center"/>
        <w:rPr>
          <w:b/>
          <w:sz w:val="24"/>
        </w:rPr>
      </w:pPr>
      <w:r>
        <w:rPr>
          <w:b/>
          <w:sz w:val="24"/>
        </w:rPr>
        <w:t>a</w:t>
      </w:r>
      <w:r w:rsidRPr="00B44C54">
        <w:rPr>
          <w:b/>
          <w:sz w:val="24"/>
        </w:rPr>
        <w:t>nd</w:t>
      </w:r>
    </w:p>
    <w:p w:rsidR="00453008" w:rsidRPr="00B44C54" w:rsidRDefault="00453008" w:rsidP="00453008">
      <w:pPr>
        <w:spacing w:after="0" w:line="276" w:lineRule="auto"/>
        <w:jc w:val="center"/>
        <w:rPr>
          <w:b/>
          <w:sz w:val="24"/>
        </w:rPr>
      </w:pPr>
    </w:p>
    <w:p w:rsidR="00453008" w:rsidRPr="00453008" w:rsidRDefault="00453008" w:rsidP="00453008">
      <w:pPr>
        <w:spacing w:after="0" w:line="276" w:lineRule="auto"/>
        <w:jc w:val="center"/>
        <w:rPr>
          <w:b/>
          <w:sz w:val="28"/>
          <w:lang w:val="fr-FR"/>
        </w:rPr>
      </w:pPr>
      <w:r w:rsidRPr="00453008">
        <w:rPr>
          <w:b/>
          <w:sz w:val="28"/>
          <w:lang w:val="fr-FR"/>
        </w:rPr>
        <w:t>Syndicat des Travailleurs des Etablissements Privés</w:t>
      </w:r>
    </w:p>
    <w:p w:rsidR="00453008" w:rsidRDefault="00453008" w:rsidP="00453008">
      <w:pPr>
        <w:spacing w:after="0" w:line="276" w:lineRule="auto"/>
        <w:jc w:val="center"/>
        <w:rPr>
          <w:b/>
          <w:sz w:val="28"/>
        </w:rPr>
      </w:pPr>
    </w:p>
    <w:p w:rsidR="00C1181E" w:rsidRDefault="00453008" w:rsidP="00453008">
      <w:pPr>
        <w:spacing w:after="0" w:line="276" w:lineRule="auto"/>
        <w:jc w:val="right"/>
        <w:rPr>
          <w:sz w:val="24"/>
          <w:lang w:val="en-US"/>
        </w:rPr>
      </w:pPr>
      <w:r w:rsidRPr="00E77320">
        <w:rPr>
          <w:i/>
          <w:sz w:val="24"/>
        </w:rPr>
        <w:t>Respondent</w:t>
      </w:r>
    </w:p>
    <w:p w:rsidR="0093267F" w:rsidRDefault="0093267F" w:rsidP="00FF7FAC">
      <w:pPr>
        <w:spacing w:after="0" w:line="276" w:lineRule="auto"/>
        <w:jc w:val="both"/>
        <w:rPr>
          <w:sz w:val="24"/>
          <w:lang w:val="en-US"/>
        </w:rPr>
      </w:pPr>
    </w:p>
    <w:p w:rsidR="009B4FA1" w:rsidRDefault="009B4FA1" w:rsidP="00FF7FAC">
      <w:pPr>
        <w:spacing w:after="0" w:line="276" w:lineRule="auto"/>
        <w:jc w:val="both"/>
        <w:rPr>
          <w:sz w:val="24"/>
          <w:lang w:val="fr-FR"/>
        </w:rPr>
      </w:pPr>
    </w:p>
    <w:p w:rsidR="009B4FA1" w:rsidRPr="00C53A40" w:rsidRDefault="009B4FA1" w:rsidP="00FF7FAC">
      <w:pPr>
        <w:spacing w:after="0" w:line="276" w:lineRule="auto"/>
        <w:jc w:val="both"/>
        <w:rPr>
          <w:sz w:val="24"/>
          <w:lang w:val="fr-FR"/>
        </w:rPr>
      </w:pPr>
      <w:r>
        <w:rPr>
          <w:sz w:val="24"/>
          <w:lang w:val="fr-FR"/>
        </w:rPr>
        <w:tab/>
      </w:r>
      <w:r w:rsidRPr="009B4FA1">
        <w:rPr>
          <w:sz w:val="24"/>
          <w:lang w:val="en-US"/>
        </w:rPr>
        <w:t>The Applicant is seeking an order for the revocation of the</w:t>
      </w:r>
      <w:r>
        <w:rPr>
          <w:sz w:val="24"/>
          <w:lang w:val="en-US"/>
        </w:rPr>
        <w:t xml:space="preserve"> recognition of the</w:t>
      </w:r>
      <w:r w:rsidR="00C2522D">
        <w:rPr>
          <w:sz w:val="24"/>
          <w:lang w:val="en-US"/>
        </w:rPr>
        <w:t xml:space="preserve"> Respondent t</w:t>
      </w:r>
      <w:r w:rsidRPr="009B4FA1">
        <w:rPr>
          <w:sz w:val="24"/>
          <w:lang w:val="en-US"/>
        </w:rPr>
        <w:t xml:space="preserve">rade </w:t>
      </w:r>
      <w:r w:rsidR="00C2522D">
        <w:rPr>
          <w:sz w:val="24"/>
          <w:lang w:val="en-US"/>
        </w:rPr>
        <w:t>u</w:t>
      </w:r>
      <w:r w:rsidRPr="009B4FA1">
        <w:rPr>
          <w:sz w:val="24"/>
          <w:lang w:val="en-US"/>
        </w:rPr>
        <w:t xml:space="preserve">nion </w:t>
      </w:r>
      <w:r>
        <w:rPr>
          <w:sz w:val="24"/>
          <w:lang w:val="en-US"/>
        </w:rPr>
        <w:t>pursuant to</w:t>
      </w:r>
      <w:r w:rsidRPr="009B4FA1">
        <w:rPr>
          <w:sz w:val="24"/>
          <w:lang w:val="en-US"/>
        </w:rPr>
        <w:t xml:space="preserve"> </w:t>
      </w:r>
      <w:r w:rsidRPr="009B4FA1">
        <w:rPr>
          <w:i/>
          <w:sz w:val="24"/>
          <w:lang w:val="en-US"/>
        </w:rPr>
        <w:t>section 39 (1) (b)</w:t>
      </w:r>
      <w:r w:rsidRPr="009B4FA1">
        <w:rPr>
          <w:sz w:val="24"/>
          <w:lang w:val="en-US"/>
        </w:rPr>
        <w:t xml:space="preserve"> of the </w:t>
      </w:r>
      <w:r w:rsidRPr="009B4FA1">
        <w:rPr>
          <w:i/>
          <w:sz w:val="24"/>
          <w:lang w:val="en-US"/>
        </w:rPr>
        <w:t>Employment Relations Act 2008</w:t>
      </w:r>
      <w:r w:rsidR="003A3AF5">
        <w:rPr>
          <w:i/>
          <w:sz w:val="24"/>
          <w:lang w:val="en-US"/>
        </w:rPr>
        <w:t xml:space="preserve"> </w:t>
      </w:r>
      <w:r w:rsidR="003A3AF5">
        <w:rPr>
          <w:sz w:val="24"/>
          <w:lang w:val="en-US"/>
        </w:rPr>
        <w:t>(the “</w:t>
      </w:r>
      <w:r w:rsidR="003A3AF5" w:rsidRPr="003A3AF5">
        <w:rPr>
          <w:i/>
          <w:sz w:val="24"/>
          <w:lang w:val="en-US"/>
        </w:rPr>
        <w:t>Act</w:t>
      </w:r>
      <w:r w:rsidR="003A3AF5">
        <w:rPr>
          <w:sz w:val="24"/>
          <w:lang w:val="en-US"/>
        </w:rPr>
        <w:t>”)</w:t>
      </w:r>
      <w:r w:rsidRPr="009B4FA1">
        <w:rPr>
          <w:sz w:val="24"/>
          <w:lang w:val="en-US"/>
        </w:rPr>
        <w:t>.</w:t>
      </w:r>
      <w:r>
        <w:rPr>
          <w:sz w:val="24"/>
          <w:lang w:val="en-US"/>
        </w:rPr>
        <w:t xml:space="preserve"> As per its Statement of Case, the Applicant avers that </w:t>
      </w:r>
      <w:r w:rsidR="009B6CCB">
        <w:rPr>
          <w:sz w:val="24"/>
          <w:lang w:val="en-US"/>
        </w:rPr>
        <w:t xml:space="preserve">the </w:t>
      </w:r>
      <w:r w:rsidR="00FF7FAC" w:rsidRPr="00C53A40">
        <w:rPr>
          <w:sz w:val="24"/>
          <w:lang w:val="fr-FR"/>
        </w:rPr>
        <w:t>Syndicat des Travailleurs des Etablissements Privés</w:t>
      </w:r>
      <w:r>
        <w:rPr>
          <w:sz w:val="24"/>
          <w:lang w:val="en-US"/>
        </w:rPr>
        <w:t xml:space="preserve"> has ceased to hold 30% support of the workers in the bargaining unit. The </w:t>
      </w:r>
      <w:r w:rsidR="00FF7FAC">
        <w:rPr>
          <w:sz w:val="24"/>
          <w:lang w:val="en-US"/>
        </w:rPr>
        <w:t xml:space="preserve">Respondent </w:t>
      </w:r>
      <w:r>
        <w:rPr>
          <w:sz w:val="24"/>
          <w:lang w:val="en-US"/>
        </w:rPr>
        <w:t xml:space="preserve">is resisting the application. </w:t>
      </w:r>
    </w:p>
    <w:p w:rsidR="009B4FA1" w:rsidRDefault="009B4FA1" w:rsidP="00FF7FAC">
      <w:pPr>
        <w:spacing w:after="0" w:line="276" w:lineRule="auto"/>
        <w:jc w:val="both"/>
        <w:rPr>
          <w:sz w:val="24"/>
          <w:lang w:val="en-US"/>
        </w:rPr>
      </w:pPr>
    </w:p>
    <w:p w:rsidR="009B4FA1" w:rsidRDefault="009B4FA1" w:rsidP="00FF7FAC">
      <w:pPr>
        <w:spacing w:after="0" w:line="276" w:lineRule="auto"/>
        <w:jc w:val="both"/>
        <w:rPr>
          <w:sz w:val="24"/>
          <w:lang w:val="en-US"/>
        </w:rPr>
      </w:pPr>
    </w:p>
    <w:p w:rsidR="004B3342" w:rsidRDefault="004B3342" w:rsidP="00FF7FAC">
      <w:pPr>
        <w:spacing w:after="0" w:line="276" w:lineRule="auto"/>
        <w:jc w:val="both"/>
        <w:rPr>
          <w:sz w:val="24"/>
          <w:lang w:val="en-US"/>
        </w:rPr>
      </w:pPr>
      <w:r>
        <w:rPr>
          <w:sz w:val="24"/>
          <w:lang w:val="en-US"/>
        </w:rPr>
        <w:tab/>
        <w:t xml:space="preserve">Both parties were assisted by Counsel. Mr T. Saminaden appeared for the Applicant. Whereas, Mr B. Ramdenee appeared for the Respondent. Both parties have submitted a Statement of Case in the present matter.  </w:t>
      </w:r>
    </w:p>
    <w:p w:rsidR="004B3342" w:rsidRDefault="004B3342" w:rsidP="00FF7FAC">
      <w:pPr>
        <w:spacing w:after="0" w:line="276" w:lineRule="auto"/>
        <w:jc w:val="both"/>
        <w:rPr>
          <w:sz w:val="24"/>
          <w:lang w:val="en-US"/>
        </w:rPr>
      </w:pPr>
    </w:p>
    <w:p w:rsidR="004B3342" w:rsidRDefault="004B3342" w:rsidP="00FF7FAC">
      <w:pPr>
        <w:spacing w:after="0" w:line="276" w:lineRule="auto"/>
        <w:jc w:val="both"/>
        <w:rPr>
          <w:sz w:val="24"/>
          <w:lang w:val="en-US"/>
        </w:rPr>
      </w:pPr>
    </w:p>
    <w:p w:rsidR="00D3590E" w:rsidRDefault="009B6CCB" w:rsidP="00FF7FAC">
      <w:pPr>
        <w:spacing w:after="0" w:line="276" w:lineRule="auto"/>
        <w:jc w:val="both"/>
        <w:rPr>
          <w:sz w:val="24"/>
          <w:lang w:val="en-US"/>
        </w:rPr>
      </w:pPr>
      <w:r>
        <w:rPr>
          <w:sz w:val="24"/>
          <w:lang w:val="en-US"/>
        </w:rPr>
        <w:lastRenderedPageBreak/>
        <w:tab/>
        <w:t>Mr Olivier Rouillard, Managing Director, adduced evidence in support of the application. He notably stated that the Applicant employs twenty-one people in different departments – waterproofing, flooring, store and ventilation. Two employees</w:t>
      </w:r>
      <w:r w:rsidR="00C2522D">
        <w:rPr>
          <w:sz w:val="24"/>
          <w:lang w:val="en-US"/>
        </w:rPr>
        <w:t xml:space="preserve"> are members of the Respondent u</w:t>
      </w:r>
      <w:r>
        <w:rPr>
          <w:sz w:val="24"/>
          <w:lang w:val="en-US"/>
        </w:rPr>
        <w:t>nion</w:t>
      </w:r>
      <w:r w:rsidR="00D3590E">
        <w:rPr>
          <w:sz w:val="24"/>
          <w:lang w:val="en-US"/>
        </w:rPr>
        <w:t xml:space="preserve"> and the company contributes check-off on their behalf. He produced a copy of two payslips of the two employees</w:t>
      </w:r>
      <w:r w:rsidR="00AF66A0">
        <w:rPr>
          <w:sz w:val="24"/>
          <w:lang w:val="en-US"/>
        </w:rPr>
        <w:t xml:space="preserve"> concerned</w:t>
      </w:r>
      <w:r w:rsidR="00D3590E">
        <w:rPr>
          <w:sz w:val="24"/>
          <w:lang w:val="en-US"/>
        </w:rPr>
        <w:t xml:space="preserve"> (Documents A and B). He received a claim for check-off in respect of two other employees, who subsequently informed him tha</w:t>
      </w:r>
      <w:r w:rsidR="00C2522D">
        <w:rPr>
          <w:sz w:val="24"/>
          <w:lang w:val="en-US"/>
        </w:rPr>
        <w:t>t they were not members of the u</w:t>
      </w:r>
      <w:r w:rsidR="00D3590E">
        <w:rPr>
          <w:sz w:val="24"/>
          <w:lang w:val="en-US"/>
        </w:rPr>
        <w:t>nion. He produced two letters from these employees (Documents C and D) to this effect. He also produced a document showing the contribution made for the two existing members for the months of March 2018 and April 2018</w:t>
      </w:r>
      <w:r w:rsidR="007A4BB5">
        <w:rPr>
          <w:sz w:val="24"/>
          <w:lang w:val="en-US"/>
        </w:rPr>
        <w:t xml:space="preserve"> together with a remittance advice</w:t>
      </w:r>
      <w:r w:rsidR="00D3590E">
        <w:rPr>
          <w:sz w:val="24"/>
          <w:lang w:val="en-US"/>
        </w:rPr>
        <w:t xml:space="preserve"> (Documents E, E₁ and E₂). The members represent 9.5% of the workforce. Even if the other two were added, it would not amount to 30%. This is why he is asking the Tribunal to</w:t>
      </w:r>
      <w:r w:rsidR="00C2522D">
        <w:rPr>
          <w:sz w:val="24"/>
          <w:lang w:val="en-US"/>
        </w:rPr>
        <w:t xml:space="preserve"> revoke the recognition of the u</w:t>
      </w:r>
      <w:r w:rsidR="00D3590E">
        <w:rPr>
          <w:sz w:val="24"/>
          <w:lang w:val="en-US"/>
        </w:rPr>
        <w:t xml:space="preserve">nion. </w:t>
      </w:r>
    </w:p>
    <w:p w:rsidR="00AF66A0" w:rsidRDefault="00AF66A0" w:rsidP="00FF7FAC">
      <w:pPr>
        <w:spacing w:after="0" w:line="276" w:lineRule="auto"/>
        <w:jc w:val="both"/>
        <w:rPr>
          <w:sz w:val="24"/>
          <w:lang w:val="en-US"/>
        </w:rPr>
      </w:pPr>
    </w:p>
    <w:p w:rsidR="00D3590E" w:rsidRDefault="00D3590E" w:rsidP="00FF7FAC">
      <w:pPr>
        <w:spacing w:after="0" w:line="276" w:lineRule="auto"/>
        <w:jc w:val="both"/>
        <w:rPr>
          <w:sz w:val="24"/>
          <w:lang w:val="en-US"/>
        </w:rPr>
      </w:pPr>
      <w:r>
        <w:rPr>
          <w:sz w:val="24"/>
          <w:lang w:val="en-US"/>
        </w:rPr>
        <w:tab/>
      </w:r>
    </w:p>
    <w:p w:rsidR="000B4C23" w:rsidRDefault="00D3590E" w:rsidP="00FF7FAC">
      <w:pPr>
        <w:spacing w:after="0" w:line="276" w:lineRule="auto"/>
        <w:jc w:val="both"/>
        <w:rPr>
          <w:sz w:val="24"/>
          <w:lang w:val="en-US"/>
        </w:rPr>
      </w:pPr>
      <w:r>
        <w:rPr>
          <w:sz w:val="24"/>
          <w:lang w:val="en-US"/>
        </w:rPr>
        <w:tab/>
        <w:t>Upon question</w:t>
      </w:r>
      <w:r w:rsidR="00080778">
        <w:rPr>
          <w:sz w:val="24"/>
          <w:lang w:val="en-US"/>
        </w:rPr>
        <w:t>s</w:t>
      </w:r>
      <w:r>
        <w:rPr>
          <w:sz w:val="24"/>
          <w:lang w:val="en-US"/>
        </w:rPr>
        <w:t xml:space="preserve"> from Counsel for the Respondent, the Applicant’s representative notably stated that his sole gr</w:t>
      </w:r>
      <w:r w:rsidR="00080778">
        <w:rPr>
          <w:sz w:val="24"/>
          <w:lang w:val="en-US"/>
        </w:rPr>
        <w:t>ound is</w:t>
      </w:r>
      <w:r w:rsidR="00C2522D">
        <w:rPr>
          <w:sz w:val="24"/>
          <w:lang w:val="en-US"/>
        </w:rPr>
        <w:t xml:space="preserve"> that the u</w:t>
      </w:r>
      <w:r>
        <w:rPr>
          <w:sz w:val="24"/>
          <w:lang w:val="en-US"/>
        </w:rPr>
        <w:t xml:space="preserve">nion does not have the support of at least 30% of the workers. The employer has based itself on the list of workers and the </w:t>
      </w:r>
      <w:r w:rsidR="00080778">
        <w:rPr>
          <w:sz w:val="24"/>
          <w:lang w:val="en-US"/>
        </w:rPr>
        <w:t xml:space="preserve">existing </w:t>
      </w:r>
      <w:r>
        <w:rPr>
          <w:sz w:val="24"/>
          <w:lang w:val="en-US"/>
        </w:rPr>
        <w:t>check-off agreement to determine representativeness. He is not aware of other means by</w:t>
      </w:r>
      <w:r w:rsidR="00C1584A">
        <w:rPr>
          <w:sz w:val="24"/>
          <w:lang w:val="en-US"/>
        </w:rPr>
        <w:t xml:space="preserve"> </w:t>
      </w:r>
      <w:r>
        <w:rPr>
          <w:sz w:val="24"/>
          <w:lang w:val="en-US"/>
        </w:rPr>
        <w:t xml:space="preserve">which an employee </w:t>
      </w:r>
      <w:r w:rsidR="00C2522D">
        <w:rPr>
          <w:sz w:val="24"/>
          <w:lang w:val="en-US"/>
        </w:rPr>
        <w:t>can contribute towards the u</w:t>
      </w:r>
      <w:r w:rsidR="00C1584A">
        <w:rPr>
          <w:sz w:val="24"/>
          <w:lang w:val="en-US"/>
        </w:rPr>
        <w:t xml:space="preserve">nion. </w:t>
      </w:r>
      <w:r w:rsidR="000B4C23">
        <w:rPr>
          <w:sz w:val="24"/>
          <w:lang w:val="en-US"/>
        </w:rPr>
        <w:t xml:space="preserve">There is no procedure agreement between the parties. </w:t>
      </w:r>
    </w:p>
    <w:p w:rsidR="000B4C23" w:rsidRDefault="000B4C23" w:rsidP="00FF7FAC">
      <w:pPr>
        <w:spacing w:after="0" w:line="276" w:lineRule="auto"/>
        <w:jc w:val="both"/>
        <w:rPr>
          <w:sz w:val="24"/>
          <w:lang w:val="en-US"/>
        </w:rPr>
      </w:pPr>
    </w:p>
    <w:p w:rsidR="00274BB5" w:rsidRDefault="00274BB5" w:rsidP="00FF7FAC">
      <w:pPr>
        <w:spacing w:after="0" w:line="276" w:lineRule="auto"/>
        <w:jc w:val="both"/>
        <w:rPr>
          <w:sz w:val="24"/>
          <w:lang w:val="en-US"/>
        </w:rPr>
      </w:pPr>
    </w:p>
    <w:p w:rsidR="008A7154" w:rsidRDefault="00274BB5" w:rsidP="00FF7FAC">
      <w:pPr>
        <w:spacing w:after="0" w:line="276" w:lineRule="auto"/>
        <w:jc w:val="both"/>
        <w:rPr>
          <w:sz w:val="24"/>
          <w:lang w:val="en-US"/>
        </w:rPr>
      </w:pPr>
      <w:r>
        <w:rPr>
          <w:sz w:val="24"/>
          <w:lang w:val="en-US"/>
        </w:rPr>
        <w:tab/>
        <w:t>Mr Atma Shanto, Negotiator, adduced evidence on behalf of the Respond</w:t>
      </w:r>
      <w:r w:rsidR="00C2522D">
        <w:rPr>
          <w:sz w:val="24"/>
          <w:lang w:val="en-US"/>
        </w:rPr>
        <w:t>ent trade u</w:t>
      </w:r>
      <w:r>
        <w:rPr>
          <w:sz w:val="24"/>
          <w:lang w:val="en-US"/>
        </w:rPr>
        <w:t xml:space="preserve">nion. He confirmed the truth of the </w:t>
      </w:r>
      <w:r w:rsidR="007C463A">
        <w:rPr>
          <w:sz w:val="24"/>
          <w:lang w:val="en-US"/>
        </w:rPr>
        <w:t>contents of the Respondent’s</w:t>
      </w:r>
      <w:r>
        <w:rPr>
          <w:sz w:val="24"/>
          <w:lang w:val="en-US"/>
        </w:rPr>
        <w:t xml:space="preserve"> Statement of Case. He does not agree to the employer</w:t>
      </w:r>
      <w:r w:rsidR="007C463A">
        <w:rPr>
          <w:sz w:val="24"/>
          <w:lang w:val="en-US"/>
        </w:rPr>
        <w:t>’</w:t>
      </w:r>
      <w:r w:rsidR="00C2522D">
        <w:rPr>
          <w:sz w:val="24"/>
          <w:lang w:val="en-US"/>
        </w:rPr>
        <w:t>s contention that the u</w:t>
      </w:r>
      <w:r>
        <w:rPr>
          <w:sz w:val="24"/>
          <w:lang w:val="en-US"/>
        </w:rPr>
        <w:t xml:space="preserve">nion lacks representativeness and that recognition should be revoked. There is no procedure agreement between the parties despite the </w:t>
      </w:r>
      <w:r w:rsidR="00C2522D">
        <w:rPr>
          <w:sz w:val="24"/>
          <w:lang w:val="en-US"/>
        </w:rPr>
        <w:t>u</w:t>
      </w:r>
      <w:r>
        <w:rPr>
          <w:sz w:val="24"/>
          <w:lang w:val="en-US"/>
        </w:rPr>
        <w:t xml:space="preserve">nion always asking the employer to draw up same. Workers sometimes may not want to let the employer know that they are members of the </w:t>
      </w:r>
      <w:r w:rsidR="00C2522D">
        <w:rPr>
          <w:sz w:val="24"/>
          <w:lang w:val="en-US"/>
        </w:rPr>
        <w:t>u</w:t>
      </w:r>
      <w:r>
        <w:rPr>
          <w:sz w:val="24"/>
          <w:lang w:val="en-US"/>
        </w:rPr>
        <w:t xml:space="preserve">nion and </w:t>
      </w:r>
      <w:r w:rsidR="007C463A">
        <w:rPr>
          <w:sz w:val="24"/>
          <w:lang w:val="en-US"/>
        </w:rPr>
        <w:t xml:space="preserve">directly </w:t>
      </w:r>
      <w:r>
        <w:rPr>
          <w:sz w:val="24"/>
          <w:lang w:val="en-US"/>
        </w:rPr>
        <w:t xml:space="preserve">pay their contributions to the </w:t>
      </w:r>
      <w:r w:rsidR="00C2522D">
        <w:rPr>
          <w:sz w:val="24"/>
          <w:lang w:val="en-US"/>
        </w:rPr>
        <w:t>u</w:t>
      </w:r>
      <w:r>
        <w:rPr>
          <w:sz w:val="24"/>
          <w:lang w:val="en-US"/>
        </w:rPr>
        <w:t>nion.</w:t>
      </w:r>
      <w:r w:rsidR="007C463A">
        <w:rPr>
          <w:sz w:val="24"/>
          <w:lang w:val="en-US"/>
        </w:rPr>
        <w:t xml:space="preserve"> </w:t>
      </w:r>
    </w:p>
    <w:p w:rsidR="008A7154" w:rsidRDefault="008A7154" w:rsidP="00FF7FAC">
      <w:pPr>
        <w:spacing w:after="0" w:line="276" w:lineRule="auto"/>
        <w:jc w:val="both"/>
        <w:rPr>
          <w:sz w:val="24"/>
          <w:lang w:val="en-US"/>
        </w:rPr>
      </w:pPr>
    </w:p>
    <w:p w:rsidR="008A7154" w:rsidRDefault="008A7154" w:rsidP="00FF7FAC">
      <w:pPr>
        <w:spacing w:after="0" w:line="276" w:lineRule="auto"/>
        <w:jc w:val="both"/>
        <w:rPr>
          <w:sz w:val="24"/>
          <w:lang w:val="en-US"/>
        </w:rPr>
      </w:pPr>
    </w:p>
    <w:p w:rsidR="00274BB5" w:rsidRDefault="008A7154" w:rsidP="00FF7FAC">
      <w:pPr>
        <w:spacing w:after="0" w:line="276" w:lineRule="auto"/>
        <w:jc w:val="both"/>
        <w:rPr>
          <w:sz w:val="24"/>
          <w:lang w:val="en-US"/>
        </w:rPr>
      </w:pPr>
      <w:r>
        <w:rPr>
          <w:sz w:val="24"/>
          <w:lang w:val="en-US"/>
        </w:rPr>
        <w:tab/>
        <w:t xml:space="preserve">In response to questions from Counsel for the Applicant, Mr Shanto notably stated </w:t>
      </w:r>
      <w:r w:rsidR="00BE639A">
        <w:rPr>
          <w:sz w:val="24"/>
          <w:lang w:val="en-US"/>
        </w:rPr>
        <w:t>that that the only time he</w:t>
      </w:r>
      <w:r w:rsidR="0093267F">
        <w:rPr>
          <w:sz w:val="24"/>
          <w:lang w:val="en-US"/>
        </w:rPr>
        <w:t xml:space="preserve"> asked to enter into a procedure agreement is in this year. He does not agree that there are on</w:t>
      </w:r>
      <w:r w:rsidR="00C2522D">
        <w:rPr>
          <w:sz w:val="24"/>
          <w:lang w:val="en-US"/>
        </w:rPr>
        <w:t>ly two workers’ members of his trade u</w:t>
      </w:r>
      <w:r w:rsidR="0093267F">
        <w:rPr>
          <w:sz w:val="24"/>
          <w:lang w:val="en-US"/>
        </w:rPr>
        <w:t>nion</w:t>
      </w:r>
      <w:r w:rsidR="00C2522D">
        <w:rPr>
          <w:sz w:val="24"/>
          <w:lang w:val="en-US"/>
        </w:rPr>
        <w:t xml:space="preserve"> and that the u</w:t>
      </w:r>
      <w:r w:rsidR="0093267F">
        <w:rPr>
          <w:sz w:val="24"/>
          <w:lang w:val="en-US"/>
        </w:rPr>
        <w:t xml:space="preserve">nion does not represent 30% as the law provides.   </w:t>
      </w:r>
      <w:r w:rsidR="00274BB5">
        <w:rPr>
          <w:sz w:val="24"/>
          <w:lang w:val="en-US"/>
        </w:rPr>
        <w:t xml:space="preserve">   </w:t>
      </w:r>
    </w:p>
    <w:p w:rsidR="000B4C23" w:rsidRDefault="000B4C23" w:rsidP="00FF7FAC">
      <w:pPr>
        <w:spacing w:after="0" w:line="276" w:lineRule="auto"/>
        <w:jc w:val="both"/>
        <w:rPr>
          <w:sz w:val="24"/>
          <w:lang w:val="en-US"/>
        </w:rPr>
      </w:pPr>
    </w:p>
    <w:p w:rsidR="0093267F" w:rsidRDefault="0093267F" w:rsidP="00FF7FAC">
      <w:pPr>
        <w:spacing w:after="0" w:line="276" w:lineRule="auto"/>
        <w:jc w:val="both"/>
        <w:rPr>
          <w:sz w:val="24"/>
          <w:lang w:val="en-US"/>
        </w:rPr>
      </w:pPr>
    </w:p>
    <w:p w:rsidR="0093267F" w:rsidRDefault="0093267F" w:rsidP="00FF7FAC">
      <w:pPr>
        <w:spacing w:after="0" w:line="276" w:lineRule="auto"/>
        <w:jc w:val="both"/>
        <w:rPr>
          <w:sz w:val="24"/>
          <w:lang w:val="en-US"/>
        </w:rPr>
      </w:pPr>
      <w:r>
        <w:rPr>
          <w:sz w:val="24"/>
          <w:lang w:val="en-US"/>
        </w:rPr>
        <w:tab/>
      </w:r>
      <w:r w:rsidR="003A3AF5">
        <w:rPr>
          <w:sz w:val="24"/>
          <w:lang w:val="en-US"/>
        </w:rPr>
        <w:t xml:space="preserve">Counsel for the Applicant has notably submitted that the application is being made under </w:t>
      </w:r>
      <w:r w:rsidR="003A3AF5" w:rsidRPr="003A3AF5">
        <w:rPr>
          <w:i/>
          <w:sz w:val="24"/>
          <w:lang w:val="en-US"/>
        </w:rPr>
        <w:t>section 39 (1) (b)</w:t>
      </w:r>
      <w:r w:rsidR="003A3AF5">
        <w:rPr>
          <w:sz w:val="24"/>
          <w:lang w:val="en-US"/>
        </w:rPr>
        <w:t xml:space="preserve"> of the </w:t>
      </w:r>
      <w:r w:rsidR="003A3AF5" w:rsidRPr="003A3AF5">
        <w:rPr>
          <w:i/>
          <w:sz w:val="24"/>
          <w:lang w:val="en-US"/>
        </w:rPr>
        <w:t>Act</w:t>
      </w:r>
      <w:r w:rsidR="003A3AF5">
        <w:rPr>
          <w:sz w:val="24"/>
          <w:lang w:val="en-US"/>
        </w:rPr>
        <w:t xml:space="preserve">. From his reading of the aforesaid section, there are two possibilities: </w:t>
      </w:r>
      <w:r w:rsidR="003A3AF5">
        <w:rPr>
          <w:sz w:val="24"/>
          <w:lang w:val="en-US"/>
        </w:rPr>
        <w:lastRenderedPageBreak/>
        <w:t xml:space="preserve">default of the law and failure to comply with the provisions of the procedure agreement. </w:t>
      </w:r>
      <w:r w:rsidR="00A3150F">
        <w:rPr>
          <w:sz w:val="24"/>
          <w:lang w:val="en-US"/>
        </w:rPr>
        <w:t>T</w:t>
      </w:r>
      <w:r w:rsidR="003A3AF5">
        <w:rPr>
          <w:sz w:val="24"/>
          <w:lang w:val="en-US"/>
        </w:rPr>
        <w:t xml:space="preserve">he Tribunal grants recognition under </w:t>
      </w:r>
      <w:r w:rsidR="003A3AF5" w:rsidRPr="003A3AF5">
        <w:rPr>
          <w:i/>
          <w:sz w:val="24"/>
          <w:lang w:val="en-US"/>
        </w:rPr>
        <w:t>section 37</w:t>
      </w:r>
      <w:r w:rsidR="003A3AF5">
        <w:rPr>
          <w:i/>
          <w:sz w:val="24"/>
          <w:lang w:val="en-US"/>
        </w:rPr>
        <w:t xml:space="preserve"> (1)</w:t>
      </w:r>
      <w:r w:rsidR="003A3AF5">
        <w:rPr>
          <w:sz w:val="24"/>
          <w:lang w:val="en-US"/>
        </w:rPr>
        <w:t xml:space="preserve"> of the </w:t>
      </w:r>
      <w:r w:rsidR="003A3AF5" w:rsidRPr="003A3AF5">
        <w:rPr>
          <w:i/>
          <w:sz w:val="24"/>
          <w:lang w:val="en-US"/>
        </w:rPr>
        <w:t>Act</w:t>
      </w:r>
      <w:r w:rsidR="003A3AF5">
        <w:rPr>
          <w:sz w:val="24"/>
          <w:lang w:val="en-US"/>
        </w:rPr>
        <w:t xml:space="preserve"> to a trade union with not less than 30% support. Reference was made to </w:t>
      </w:r>
      <w:r w:rsidR="003A3AF5" w:rsidRPr="003A3AF5">
        <w:rPr>
          <w:i/>
          <w:sz w:val="24"/>
          <w:lang w:val="en-US"/>
        </w:rPr>
        <w:t>section 28 (1)</w:t>
      </w:r>
      <w:r w:rsidR="004D0174">
        <w:rPr>
          <w:i/>
          <w:sz w:val="24"/>
          <w:lang w:val="en-US"/>
        </w:rPr>
        <w:t xml:space="preserve"> (a)</w:t>
      </w:r>
      <w:r w:rsidR="003A3AF5">
        <w:rPr>
          <w:sz w:val="24"/>
          <w:lang w:val="en-US"/>
        </w:rPr>
        <w:t xml:space="preserve"> of the </w:t>
      </w:r>
      <w:r w:rsidR="003A3AF5" w:rsidRPr="003A3AF5">
        <w:rPr>
          <w:i/>
          <w:sz w:val="24"/>
          <w:lang w:val="en-US"/>
        </w:rPr>
        <w:t>Interpretation and General Clauses Act</w:t>
      </w:r>
      <w:r w:rsidR="003A3AF5">
        <w:rPr>
          <w:sz w:val="24"/>
          <w:lang w:val="en-US"/>
        </w:rPr>
        <w:t xml:space="preserve"> as a tool of interpretation.</w:t>
      </w:r>
      <w:r w:rsidR="00A3150F">
        <w:rPr>
          <w:sz w:val="24"/>
          <w:lang w:val="en-US"/>
        </w:rPr>
        <w:t xml:space="preserve"> Counsel submitted that</w:t>
      </w:r>
      <w:r w:rsidR="003A3AF5">
        <w:rPr>
          <w:sz w:val="24"/>
          <w:lang w:val="en-US"/>
        </w:rPr>
        <w:t xml:space="preserve"> </w:t>
      </w:r>
      <w:r w:rsidR="00A3150F">
        <w:rPr>
          <w:sz w:val="24"/>
          <w:lang w:val="en-US"/>
        </w:rPr>
        <w:t>t</w:t>
      </w:r>
      <w:r w:rsidR="00FB2F69">
        <w:rPr>
          <w:sz w:val="24"/>
          <w:lang w:val="en-US"/>
        </w:rPr>
        <w:t>he Tribunal has the right to</w:t>
      </w:r>
      <w:r w:rsidR="00C2522D">
        <w:rPr>
          <w:sz w:val="24"/>
          <w:lang w:val="en-US"/>
        </w:rPr>
        <w:t xml:space="preserve"> revoke the recognition of the trade u</w:t>
      </w:r>
      <w:r w:rsidR="00FB2F69">
        <w:rPr>
          <w:sz w:val="24"/>
          <w:lang w:val="en-US"/>
        </w:rPr>
        <w:t xml:space="preserve">nion, which does not have 30% support, in accordance with </w:t>
      </w:r>
      <w:r w:rsidR="00FB2F69" w:rsidRPr="00FB2F69">
        <w:rPr>
          <w:i/>
          <w:sz w:val="24"/>
          <w:lang w:val="en-US"/>
        </w:rPr>
        <w:t>section 39 (1) (b)</w:t>
      </w:r>
      <w:r w:rsidR="00FB2F69">
        <w:rPr>
          <w:sz w:val="24"/>
          <w:lang w:val="en-US"/>
        </w:rPr>
        <w:t xml:space="preserve"> of the </w:t>
      </w:r>
      <w:r w:rsidR="00FB2F69" w:rsidRPr="00FB2F69">
        <w:rPr>
          <w:i/>
          <w:sz w:val="24"/>
          <w:lang w:val="en-US"/>
        </w:rPr>
        <w:t>Act</w:t>
      </w:r>
      <w:r w:rsidR="00FB2F69">
        <w:rPr>
          <w:sz w:val="24"/>
          <w:lang w:val="en-US"/>
        </w:rPr>
        <w:t>.</w:t>
      </w:r>
      <w:r w:rsidR="00A3150F">
        <w:rPr>
          <w:sz w:val="24"/>
          <w:lang w:val="en-US"/>
        </w:rPr>
        <w:t xml:space="preserve">  </w:t>
      </w:r>
      <w:r w:rsidR="00FB2F69">
        <w:rPr>
          <w:sz w:val="24"/>
          <w:lang w:val="en-US"/>
        </w:rPr>
        <w:t xml:space="preserve">   </w:t>
      </w:r>
      <w:r w:rsidR="003A3AF5">
        <w:rPr>
          <w:sz w:val="24"/>
          <w:lang w:val="en-US"/>
        </w:rPr>
        <w:t xml:space="preserve"> </w:t>
      </w:r>
    </w:p>
    <w:p w:rsidR="00E34FA6" w:rsidRDefault="00E34FA6" w:rsidP="00FF7FAC">
      <w:pPr>
        <w:spacing w:after="0" w:line="276" w:lineRule="auto"/>
        <w:jc w:val="both"/>
        <w:rPr>
          <w:sz w:val="24"/>
          <w:lang w:val="en-US"/>
        </w:rPr>
      </w:pPr>
    </w:p>
    <w:p w:rsidR="00E34FA6" w:rsidRDefault="00E34FA6" w:rsidP="00FF7FAC">
      <w:pPr>
        <w:spacing w:after="0" w:line="276" w:lineRule="auto"/>
        <w:jc w:val="both"/>
        <w:rPr>
          <w:sz w:val="24"/>
          <w:lang w:val="en-US"/>
        </w:rPr>
      </w:pPr>
    </w:p>
    <w:p w:rsidR="00603BDC" w:rsidRDefault="00E34FA6" w:rsidP="00FF7FAC">
      <w:pPr>
        <w:spacing w:after="0" w:line="276" w:lineRule="auto"/>
        <w:jc w:val="both"/>
        <w:rPr>
          <w:sz w:val="24"/>
          <w:lang w:val="fr-FR"/>
        </w:rPr>
      </w:pPr>
      <w:r>
        <w:rPr>
          <w:sz w:val="24"/>
          <w:lang w:val="en-US"/>
        </w:rPr>
        <w:tab/>
        <w:t>Counsel for the Respondent has, on the other hand, submitted that an employer cannot mak</w:t>
      </w:r>
      <w:r w:rsidR="00A36F77">
        <w:rPr>
          <w:sz w:val="24"/>
          <w:lang w:val="en-US"/>
        </w:rPr>
        <w:t>e an application to revoke the u</w:t>
      </w:r>
      <w:r>
        <w:rPr>
          <w:sz w:val="24"/>
          <w:lang w:val="en-US"/>
        </w:rPr>
        <w:t xml:space="preserve">nion’s recognition due to a change in representativeness. Under </w:t>
      </w:r>
      <w:r w:rsidRPr="00E34FA6">
        <w:rPr>
          <w:i/>
          <w:sz w:val="24"/>
          <w:lang w:val="en-US"/>
        </w:rPr>
        <w:t>section 39 (1) (a)</w:t>
      </w:r>
      <w:r>
        <w:rPr>
          <w:sz w:val="24"/>
          <w:lang w:val="en-US"/>
        </w:rPr>
        <w:t xml:space="preserve"> of the </w:t>
      </w:r>
      <w:r w:rsidRPr="00E34FA6">
        <w:rPr>
          <w:i/>
          <w:sz w:val="24"/>
          <w:lang w:val="en-US"/>
        </w:rPr>
        <w:t>Act</w:t>
      </w:r>
      <w:r>
        <w:rPr>
          <w:sz w:val="24"/>
          <w:lang w:val="en-US"/>
        </w:rPr>
        <w:t xml:space="preserve">, a trade union or a group of trade unions may apply on the ground that there has been a change in representativeness. Under </w:t>
      </w:r>
      <w:r w:rsidRPr="00E34FA6">
        <w:rPr>
          <w:i/>
          <w:sz w:val="24"/>
          <w:lang w:val="en-US"/>
        </w:rPr>
        <w:t>section 39 (1) (b)</w:t>
      </w:r>
      <w:r>
        <w:rPr>
          <w:sz w:val="24"/>
          <w:lang w:val="en-US"/>
        </w:rPr>
        <w:t xml:space="preserve"> of the </w:t>
      </w:r>
      <w:r w:rsidRPr="00E34FA6">
        <w:rPr>
          <w:i/>
          <w:sz w:val="24"/>
          <w:lang w:val="en-US"/>
        </w:rPr>
        <w:t>Act</w:t>
      </w:r>
      <w:r>
        <w:rPr>
          <w:sz w:val="24"/>
          <w:lang w:val="en-US"/>
        </w:rPr>
        <w:t xml:space="preserve">, an employer may apply pursuant to a default or failure to comply with any provisions of the procedure agreement. The sole reason why the employer is seeking the revocation of recognition is because of an alleged change </w:t>
      </w:r>
      <w:r w:rsidR="00BA36C1">
        <w:rPr>
          <w:sz w:val="24"/>
          <w:lang w:val="en-US"/>
        </w:rPr>
        <w:t>in representativeness. This</w:t>
      </w:r>
      <w:r>
        <w:rPr>
          <w:sz w:val="24"/>
          <w:lang w:val="en-US"/>
        </w:rPr>
        <w:t xml:space="preserve"> course of action</w:t>
      </w:r>
      <w:r w:rsidR="00BA36C1">
        <w:rPr>
          <w:sz w:val="24"/>
          <w:lang w:val="en-US"/>
        </w:rPr>
        <w:t xml:space="preserve"> is</w:t>
      </w:r>
      <w:r>
        <w:rPr>
          <w:sz w:val="24"/>
          <w:lang w:val="en-US"/>
        </w:rPr>
        <w:t xml:space="preserve"> not open to the Applicant under </w:t>
      </w:r>
      <w:r w:rsidRPr="006533A3">
        <w:rPr>
          <w:i/>
          <w:sz w:val="24"/>
          <w:lang w:val="en-US"/>
        </w:rPr>
        <w:t>section 39 (1) (b)</w:t>
      </w:r>
      <w:r>
        <w:rPr>
          <w:sz w:val="24"/>
          <w:lang w:val="en-US"/>
        </w:rPr>
        <w:t xml:space="preserve"> of the </w:t>
      </w:r>
      <w:r w:rsidRPr="006533A3">
        <w:rPr>
          <w:i/>
          <w:sz w:val="24"/>
          <w:lang w:val="en-US"/>
        </w:rPr>
        <w:t>Act</w:t>
      </w:r>
      <w:r>
        <w:rPr>
          <w:sz w:val="24"/>
          <w:lang w:val="en-US"/>
        </w:rPr>
        <w:t>.</w:t>
      </w:r>
      <w:r w:rsidR="00A36F77">
        <w:rPr>
          <w:sz w:val="24"/>
          <w:lang w:val="en-US"/>
        </w:rPr>
        <w:t xml:space="preserve"> Moreover,</w:t>
      </w:r>
      <w:r>
        <w:rPr>
          <w:sz w:val="24"/>
          <w:lang w:val="en-US"/>
        </w:rPr>
        <w:t xml:space="preserve"> Counsel has notably relied on </w:t>
      </w:r>
      <w:r w:rsidR="00603BDC">
        <w:rPr>
          <w:sz w:val="24"/>
          <w:lang w:val="en-US"/>
        </w:rPr>
        <w:t xml:space="preserve">the </w:t>
      </w:r>
      <w:r>
        <w:rPr>
          <w:sz w:val="24"/>
          <w:lang w:val="en-US"/>
        </w:rPr>
        <w:t xml:space="preserve">past orders of the Tribunal in </w:t>
      </w:r>
      <w:r w:rsidRPr="006533A3">
        <w:rPr>
          <w:i/>
          <w:sz w:val="24"/>
          <w:lang w:val="en-US"/>
        </w:rPr>
        <w:t>Galvabond Ltd and Chemical Manufacturing and Connected Trades Employees Union</w:t>
      </w:r>
      <w:r>
        <w:rPr>
          <w:sz w:val="24"/>
          <w:lang w:val="en-US"/>
        </w:rPr>
        <w:t xml:space="preserve"> (</w:t>
      </w:r>
      <w:r w:rsidRPr="006533A3">
        <w:rPr>
          <w:i/>
          <w:sz w:val="24"/>
          <w:lang w:val="en-US"/>
        </w:rPr>
        <w:t>ERT/RN 37/15</w:t>
      </w:r>
      <w:r>
        <w:rPr>
          <w:sz w:val="24"/>
          <w:lang w:val="en-US"/>
        </w:rPr>
        <w:t xml:space="preserve">) and </w:t>
      </w:r>
      <w:r w:rsidRPr="006533A3">
        <w:rPr>
          <w:i/>
          <w:sz w:val="24"/>
          <w:lang w:val="fr-FR"/>
        </w:rPr>
        <w:t>Compagnie Sucrière de Bel Ombre</w:t>
      </w:r>
      <w:r w:rsidRPr="006533A3">
        <w:rPr>
          <w:i/>
          <w:sz w:val="24"/>
          <w:lang w:val="en-US"/>
        </w:rPr>
        <w:t xml:space="preserve"> Ltd and </w:t>
      </w:r>
      <w:r w:rsidRPr="006533A3">
        <w:rPr>
          <w:i/>
          <w:sz w:val="24"/>
          <w:lang w:val="fr-FR"/>
        </w:rPr>
        <w:t>Syndicat des Travailleurs des Etablissements Privés</w:t>
      </w:r>
      <w:r>
        <w:rPr>
          <w:sz w:val="24"/>
          <w:lang w:val="fr-FR"/>
        </w:rPr>
        <w:t xml:space="preserve"> (</w:t>
      </w:r>
      <w:r w:rsidRPr="006533A3">
        <w:rPr>
          <w:i/>
          <w:sz w:val="24"/>
          <w:lang w:val="fr-FR"/>
        </w:rPr>
        <w:t>ERT/RN 122/16</w:t>
      </w:r>
      <w:r>
        <w:rPr>
          <w:sz w:val="24"/>
          <w:lang w:val="fr-FR"/>
        </w:rPr>
        <w:t>).</w:t>
      </w:r>
      <w:r w:rsidR="006533A3">
        <w:rPr>
          <w:sz w:val="24"/>
          <w:lang w:val="fr-FR"/>
        </w:rPr>
        <w:t xml:space="preserve"> </w:t>
      </w:r>
    </w:p>
    <w:p w:rsidR="00603BDC" w:rsidRDefault="00603BDC" w:rsidP="00FF7FAC">
      <w:pPr>
        <w:spacing w:after="0" w:line="276" w:lineRule="auto"/>
        <w:jc w:val="both"/>
        <w:rPr>
          <w:sz w:val="24"/>
          <w:lang w:val="fr-FR"/>
        </w:rPr>
      </w:pPr>
    </w:p>
    <w:p w:rsidR="00D06E81" w:rsidRDefault="00D06E81" w:rsidP="00FF7FAC">
      <w:pPr>
        <w:spacing w:after="0" w:line="276" w:lineRule="auto"/>
        <w:jc w:val="both"/>
        <w:rPr>
          <w:sz w:val="24"/>
          <w:lang w:val="fr-FR"/>
        </w:rPr>
      </w:pPr>
    </w:p>
    <w:p w:rsidR="00D06E81" w:rsidRDefault="00D06E81" w:rsidP="00FF7FAC">
      <w:pPr>
        <w:spacing w:after="0" w:line="276" w:lineRule="auto"/>
        <w:jc w:val="both"/>
        <w:rPr>
          <w:sz w:val="24"/>
        </w:rPr>
      </w:pPr>
      <w:r>
        <w:rPr>
          <w:sz w:val="24"/>
          <w:lang w:val="fr-FR"/>
        </w:rPr>
        <w:tab/>
      </w:r>
      <w:r w:rsidRPr="00D06E81">
        <w:rPr>
          <w:sz w:val="24"/>
        </w:rPr>
        <w:t>Tusk Contracting Limited</w:t>
      </w:r>
      <w:r>
        <w:rPr>
          <w:sz w:val="24"/>
        </w:rPr>
        <w:t xml:space="preserve"> employs twenty-one</w:t>
      </w:r>
      <w:r w:rsidRPr="00D06E81">
        <w:rPr>
          <w:sz w:val="24"/>
        </w:rPr>
        <w:t xml:space="preserve"> workers within the company.</w:t>
      </w:r>
      <w:r>
        <w:rPr>
          <w:sz w:val="24"/>
        </w:rPr>
        <w:t xml:space="preserve"> The </w:t>
      </w:r>
      <w:r w:rsidRPr="00D06E81">
        <w:rPr>
          <w:sz w:val="24"/>
          <w:lang w:val="fr-FR"/>
        </w:rPr>
        <w:t>Syndicat des Travailleurs des Etablissements Privés</w:t>
      </w:r>
      <w:r>
        <w:rPr>
          <w:sz w:val="24"/>
          <w:lang w:val="fr-FR"/>
        </w:rPr>
        <w:t xml:space="preserve"> </w:t>
      </w:r>
      <w:r w:rsidRPr="00D06E81">
        <w:rPr>
          <w:sz w:val="24"/>
        </w:rPr>
        <w:t xml:space="preserve">is recognised as </w:t>
      </w:r>
      <w:r w:rsidR="008F1AF0">
        <w:rPr>
          <w:sz w:val="24"/>
        </w:rPr>
        <w:t xml:space="preserve">a </w:t>
      </w:r>
      <w:r w:rsidRPr="00D06E81">
        <w:rPr>
          <w:sz w:val="24"/>
        </w:rPr>
        <w:t>bargaining agent by the Applicant</w:t>
      </w:r>
      <w:r>
        <w:rPr>
          <w:sz w:val="24"/>
        </w:rPr>
        <w:t xml:space="preserve"> since 2007. </w:t>
      </w:r>
      <w:r w:rsidRPr="00D06E81">
        <w:rPr>
          <w:sz w:val="24"/>
        </w:rPr>
        <w:t xml:space="preserve">The present application for revocation of recognition of a trade union is being made under </w:t>
      </w:r>
      <w:r w:rsidRPr="00D06E81">
        <w:rPr>
          <w:i/>
          <w:sz w:val="24"/>
        </w:rPr>
        <w:t>section 39 (1) (b)</w:t>
      </w:r>
      <w:r w:rsidRPr="00D06E81">
        <w:rPr>
          <w:sz w:val="24"/>
        </w:rPr>
        <w:t xml:space="preserve"> of the </w:t>
      </w:r>
      <w:r w:rsidRPr="00D06E81">
        <w:rPr>
          <w:i/>
          <w:sz w:val="24"/>
        </w:rPr>
        <w:t>Act</w:t>
      </w:r>
      <w:r w:rsidRPr="00D06E81">
        <w:rPr>
          <w:sz w:val="24"/>
        </w:rPr>
        <w:t xml:space="preserve">. </w:t>
      </w:r>
    </w:p>
    <w:p w:rsidR="00D06E81" w:rsidRDefault="00D06E81" w:rsidP="00FF7FAC">
      <w:pPr>
        <w:spacing w:after="0" w:line="276" w:lineRule="auto"/>
        <w:jc w:val="both"/>
        <w:rPr>
          <w:sz w:val="24"/>
        </w:rPr>
      </w:pPr>
    </w:p>
    <w:p w:rsidR="00D06E81" w:rsidRDefault="00D06E81" w:rsidP="00FF7FAC">
      <w:pPr>
        <w:spacing w:after="0" w:line="276" w:lineRule="auto"/>
        <w:jc w:val="both"/>
        <w:rPr>
          <w:sz w:val="24"/>
        </w:rPr>
      </w:pPr>
    </w:p>
    <w:p w:rsidR="00DF2CA8" w:rsidRDefault="00D06E81" w:rsidP="00FF7FAC">
      <w:pPr>
        <w:spacing w:after="0" w:line="276" w:lineRule="auto"/>
        <w:jc w:val="both"/>
        <w:rPr>
          <w:sz w:val="24"/>
        </w:rPr>
      </w:pPr>
      <w:r>
        <w:rPr>
          <w:sz w:val="24"/>
        </w:rPr>
        <w:tab/>
        <w:t>The main and on</w:t>
      </w:r>
      <w:r w:rsidR="00DF2CA8">
        <w:rPr>
          <w:sz w:val="24"/>
        </w:rPr>
        <w:t>ly ground in support of the</w:t>
      </w:r>
      <w:r>
        <w:rPr>
          <w:sz w:val="24"/>
        </w:rPr>
        <w:t xml:space="preserve"> application is that of the Respondent’s representativeness. The Applicant is </w:t>
      </w:r>
      <w:r w:rsidR="00F10243">
        <w:rPr>
          <w:sz w:val="24"/>
        </w:rPr>
        <w:t xml:space="preserve">contending that the Respondent </w:t>
      </w:r>
      <w:r>
        <w:rPr>
          <w:sz w:val="24"/>
        </w:rPr>
        <w:t xml:space="preserve">only has </w:t>
      </w:r>
      <w:r w:rsidR="00DF2CA8">
        <w:rPr>
          <w:sz w:val="24"/>
        </w:rPr>
        <w:t>a membership</w:t>
      </w:r>
      <w:r>
        <w:rPr>
          <w:sz w:val="24"/>
        </w:rPr>
        <w:t xml:space="preserve"> of two workers within its total workforce</w:t>
      </w:r>
      <w:r w:rsidR="00DF2CA8">
        <w:rPr>
          <w:sz w:val="24"/>
        </w:rPr>
        <w:t xml:space="preserve"> of twenty-one</w:t>
      </w:r>
      <w:r>
        <w:rPr>
          <w:sz w:val="24"/>
        </w:rPr>
        <w:t xml:space="preserve">, which amounts to a support of 9.5%. The Applicant has based itself on the check-off it pays to the </w:t>
      </w:r>
      <w:r w:rsidR="00F10243">
        <w:rPr>
          <w:sz w:val="24"/>
        </w:rPr>
        <w:t xml:space="preserve">trade union </w:t>
      </w:r>
      <w:r>
        <w:rPr>
          <w:sz w:val="24"/>
        </w:rPr>
        <w:t>in arriving at the figure of two workers. The Respondent has, however, denied that it only has the support of two workers in the bargaining unit and asserted that there are other means by which its members can honour their dues to the union.</w:t>
      </w:r>
      <w:r w:rsidR="007B250A">
        <w:rPr>
          <w:sz w:val="24"/>
        </w:rPr>
        <w:t xml:space="preserve">  </w:t>
      </w:r>
      <w:r>
        <w:rPr>
          <w:sz w:val="24"/>
        </w:rPr>
        <w:t xml:space="preserve"> </w:t>
      </w:r>
    </w:p>
    <w:p w:rsidR="00DF2CA8" w:rsidRDefault="00DF2CA8" w:rsidP="00FF7FAC">
      <w:pPr>
        <w:spacing w:after="0" w:line="276" w:lineRule="auto"/>
        <w:jc w:val="both"/>
        <w:rPr>
          <w:sz w:val="24"/>
        </w:rPr>
      </w:pPr>
    </w:p>
    <w:p w:rsidR="00DF2CA8" w:rsidRDefault="00DF2CA8" w:rsidP="00FF7FAC">
      <w:pPr>
        <w:spacing w:after="0" w:line="276" w:lineRule="auto"/>
        <w:jc w:val="both"/>
        <w:rPr>
          <w:sz w:val="24"/>
        </w:rPr>
      </w:pPr>
    </w:p>
    <w:p w:rsidR="00DF2CA8" w:rsidRDefault="00DF2CA8" w:rsidP="00FF7FAC">
      <w:pPr>
        <w:spacing w:after="0" w:line="276" w:lineRule="auto"/>
        <w:jc w:val="both"/>
        <w:rPr>
          <w:sz w:val="24"/>
        </w:rPr>
      </w:pPr>
      <w:r>
        <w:rPr>
          <w:sz w:val="24"/>
        </w:rPr>
        <w:lastRenderedPageBreak/>
        <w:tab/>
        <w:t xml:space="preserve">In relation to the present application, it is pertinent to consider </w:t>
      </w:r>
      <w:r w:rsidRPr="00DF2CA8">
        <w:rPr>
          <w:i/>
          <w:sz w:val="24"/>
        </w:rPr>
        <w:t>section 39 (1)</w:t>
      </w:r>
      <w:r>
        <w:rPr>
          <w:sz w:val="24"/>
        </w:rPr>
        <w:t xml:space="preserve"> of the </w:t>
      </w:r>
      <w:r w:rsidRPr="00DF2CA8">
        <w:rPr>
          <w:i/>
          <w:sz w:val="24"/>
        </w:rPr>
        <w:t>Act</w:t>
      </w:r>
      <w:r>
        <w:rPr>
          <w:sz w:val="24"/>
        </w:rPr>
        <w:t>. This provides as follows:</w:t>
      </w:r>
    </w:p>
    <w:p w:rsidR="00DF2CA8" w:rsidRPr="00DF2CA8" w:rsidRDefault="00DF2CA8" w:rsidP="00FF7FAC">
      <w:pPr>
        <w:spacing w:after="0" w:line="276" w:lineRule="auto"/>
        <w:jc w:val="both"/>
      </w:pPr>
    </w:p>
    <w:p w:rsidR="00DF2CA8" w:rsidRPr="00DF2CA8" w:rsidRDefault="00DF2CA8" w:rsidP="004D0174">
      <w:pPr>
        <w:autoSpaceDE w:val="0"/>
        <w:autoSpaceDN w:val="0"/>
        <w:adjustRightInd w:val="0"/>
        <w:spacing w:after="0" w:line="240" w:lineRule="auto"/>
        <w:ind w:right="900"/>
        <w:jc w:val="both"/>
        <w:rPr>
          <w:rFonts w:cs="Arial-BoldMT"/>
          <w:b/>
          <w:bCs/>
          <w:i/>
          <w:lang w:val="en-US"/>
        </w:rPr>
      </w:pPr>
      <w:r>
        <w:rPr>
          <w:sz w:val="24"/>
        </w:rPr>
        <w:tab/>
      </w:r>
      <w:r w:rsidRPr="00DF2CA8">
        <w:rPr>
          <w:rFonts w:cs="Arial-BoldMT"/>
          <w:b/>
          <w:bCs/>
          <w:i/>
          <w:lang w:val="en-US"/>
        </w:rPr>
        <w:t xml:space="preserve">39. </w:t>
      </w:r>
      <w:r w:rsidRPr="00DF2CA8">
        <w:rPr>
          <w:rFonts w:cs="Arial-BoldMT"/>
          <w:b/>
          <w:bCs/>
          <w:i/>
          <w:lang w:val="en-US"/>
        </w:rPr>
        <w:tab/>
        <w:t>Revocation or variation of recognition of trade union of workers</w:t>
      </w:r>
    </w:p>
    <w:p w:rsidR="00DF2CA8" w:rsidRPr="00DF2CA8" w:rsidRDefault="00DF2CA8" w:rsidP="004D0174">
      <w:pPr>
        <w:autoSpaceDE w:val="0"/>
        <w:autoSpaceDN w:val="0"/>
        <w:adjustRightInd w:val="0"/>
        <w:spacing w:after="0" w:line="240" w:lineRule="auto"/>
        <w:ind w:right="900"/>
        <w:jc w:val="both"/>
        <w:rPr>
          <w:rFonts w:cs="ArialMT"/>
          <w:i/>
          <w:lang w:val="en-US"/>
        </w:rPr>
      </w:pPr>
    </w:p>
    <w:p w:rsidR="00DF2CA8" w:rsidRPr="00DF2CA8" w:rsidRDefault="00DF2CA8" w:rsidP="004D0174">
      <w:pPr>
        <w:autoSpaceDE w:val="0"/>
        <w:autoSpaceDN w:val="0"/>
        <w:adjustRightInd w:val="0"/>
        <w:spacing w:after="0" w:line="240" w:lineRule="auto"/>
        <w:ind w:left="1440" w:right="900"/>
        <w:jc w:val="both"/>
        <w:rPr>
          <w:rFonts w:cs="ArialMT"/>
          <w:i/>
          <w:lang w:val="en-US"/>
        </w:rPr>
      </w:pPr>
      <w:r w:rsidRPr="00DF2CA8">
        <w:rPr>
          <w:rFonts w:cs="ArialMT"/>
          <w:i/>
          <w:lang w:val="en-US"/>
        </w:rPr>
        <w:t xml:space="preserve">(1) </w:t>
      </w:r>
      <w:r w:rsidRPr="00DF2CA8">
        <w:rPr>
          <w:rFonts w:cs="ArialMT"/>
          <w:i/>
          <w:lang w:val="en-US"/>
        </w:rPr>
        <w:tab/>
        <w:t>Subject to subsection 38(10), the Tribunal may –</w:t>
      </w:r>
    </w:p>
    <w:p w:rsidR="00DF2CA8" w:rsidRPr="00DF2CA8" w:rsidRDefault="00DF2CA8" w:rsidP="004D0174">
      <w:pPr>
        <w:autoSpaceDE w:val="0"/>
        <w:autoSpaceDN w:val="0"/>
        <w:adjustRightInd w:val="0"/>
        <w:spacing w:after="0" w:line="240" w:lineRule="auto"/>
        <w:ind w:right="900"/>
        <w:jc w:val="both"/>
        <w:rPr>
          <w:rFonts w:cs="ArialMT"/>
          <w:i/>
          <w:lang w:val="en-US"/>
        </w:rPr>
      </w:pPr>
    </w:p>
    <w:p w:rsidR="00DF2CA8" w:rsidRPr="00DF2CA8" w:rsidRDefault="00DF2CA8" w:rsidP="004D0174">
      <w:pPr>
        <w:autoSpaceDE w:val="0"/>
        <w:autoSpaceDN w:val="0"/>
        <w:adjustRightInd w:val="0"/>
        <w:spacing w:after="0" w:line="240" w:lineRule="auto"/>
        <w:ind w:left="2880" w:right="900" w:hanging="720"/>
        <w:jc w:val="both"/>
        <w:rPr>
          <w:rFonts w:cs="ArialMT"/>
          <w:i/>
          <w:lang w:val="en-US"/>
        </w:rPr>
      </w:pPr>
      <w:r w:rsidRPr="00DF2CA8">
        <w:rPr>
          <w:rFonts w:cs="ArialMT"/>
          <w:i/>
          <w:lang w:val="en-US"/>
        </w:rPr>
        <w:t xml:space="preserve">(a) </w:t>
      </w:r>
      <w:r w:rsidRPr="00DF2CA8">
        <w:rPr>
          <w:rFonts w:cs="ArialMT"/>
          <w:i/>
          <w:lang w:val="en-US"/>
        </w:rPr>
        <w:tab/>
        <w:t>on an application made by a trade union or a group of trade unions, make an order to revoke or vary the recognition of another trade union where it is satisfied that there has been a change in representativeness; or</w:t>
      </w:r>
    </w:p>
    <w:p w:rsidR="00DF2CA8" w:rsidRPr="00DF2CA8" w:rsidRDefault="00DF2CA8" w:rsidP="004D0174">
      <w:pPr>
        <w:autoSpaceDE w:val="0"/>
        <w:autoSpaceDN w:val="0"/>
        <w:adjustRightInd w:val="0"/>
        <w:spacing w:after="0" w:line="240" w:lineRule="auto"/>
        <w:ind w:right="900"/>
        <w:jc w:val="both"/>
        <w:rPr>
          <w:rFonts w:cs="ArialMT"/>
          <w:i/>
          <w:lang w:val="en-US"/>
        </w:rPr>
      </w:pPr>
    </w:p>
    <w:p w:rsidR="00D06E81" w:rsidRDefault="00DF2CA8" w:rsidP="004D0174">
      <w:pPr>
        <w:autoSpaceDE w:val="0"/>
        <w:autoSpaceDN w:val="0"/>
        <w:adjustRightInd w:val="0"/>
        <w:spacing w:after="0" w:line="240" w:lineRule="auto"/>
        <w:ind w:left="2880" w:right="900" w:hanging="720"/>
        <w:jc w:val="both"/>
        <w:rPr>
          <w:rFonts w:cs="ArialMT"/>
          <w:i/>
          <w:lang w:val="en-US"/>
        </w:rPr>
      </w:pPr>
      <w:r w:rsidRPr="00DF2CA8">
        <w:rPr>
          <w:rFonts w:cs="ArialMT"/>
          <w:i/>
          <w:lang w:val="en-US"/>
        </w:rPr>
        <w:t xml:space="preserve">(b) </w:t>
      </w:r>
      <w:r w:rsidRPr="00DF2CA8">
        <w:rPr>
          <w:rFonts w:cs="ArialMT"/>
          <w:i/>
          <w:lang w:val="en-US"/>
        </w:rPr>
        <w:tab/>
        <w:t>on an application by an employer, make an order to revoke the recognition of a trade union or a joint negotiating panel for any default or failure to comply with any provisions of a procedure agreement.</w:t>
      </w:r>
    </w:p>
    <w:p w:rsidR="00DF2CA8" w:rsidRDefault="00DF2CA8" w:rsidP="00DF2CA8">
      <w:pPr>
        <w:autoSpaceDE w:val="0"/>
        <w:autoSpaceDN w:val="0"/>
        <w:adjustRightInd w:val="0"/>
        <w:spacing w:after="0" w:line="240" w:lineRule="auto"/>
        <w:jc w:val="both"/>
        <w:rPr>
          <w:rFonts w:cs="ArialMT"/>
          <w:sz w:val="24"/>
          <w:lang w:val="en-US"/>
        </w:rPr>
      </w:pPr>
    </w:p>
    <w:p w:rsidR="00DF2CA8" w:rsidRDefault="00DF2CA8" w:rsidP="00DF2CA8">
      <w:pPr>
        <w:autoSpaceDE w:val="0"/>
        <w:autoSpaceDN w:val="0"/>
        <w:adjustRightInd w:val="0"/>
        <w:spacing w:after="0" w:line="240" w:lineRule="auto"/>
        <w:jc w:val="both"/>
        <w:rPr>
          <w:rFonts w:cs="ArialMT"/>
          <w:sz w:val="24"/>
          <w:lang w:val="en-US"/>
        </w:rPr>
      </w:pPr>
    </w:p>
    <w:p w:rsidR="00DD256A" w:rsidRDefault="00DF2CA8" w:rsidP="00DF2CA8">
      <w:pPr>
        <w:autoSpaceDE w:val="0"/>
        <w:autoSpaceDN w:val="0"/>
        <w:adjustRightInd w:val="0"/>
        <w:spacing w:after="0" w:line="240" w:lineRule="auto"/>
        <w:jc w:val="both"/>
        <w:rPr>
          <w:rFonts w:cs="ArialMT"/>
          <w:sz w:val="24"/>
          <w:lang w:val="en-US"/>
        </w:rPr>
      </w:pPr>
      <w:r>
        <w:rPr>
          <w:rFonts w:cs="ArialMT"/>
          <w:sz w:val="24"/>
          <w:lang w:val="en-US"/>
        </w:rPr>
        <w:tab/>
        <w:t>As may clearly be seen from the above, the Tribunal, on an application from the employer, may make an order to revoke the recognition of a trade union</w:t>
      </w:r>
      <w:r w:rsidR="00175767">
        <w:rPr>
          <w:rFonts w:cs="ArialMT"/>
          <w:sz w:val="24"/>
          <w:lang w:val="en-US"/>
        </w:rPr>
        <w:t xml:space="preserve"> </w:t>
      </w:r>
      <w:r w:rsidR="007B250A">
        <w:rPr>
          <w:rFonts w:cs="ArialMT"/>
          <w:sz w:val="24"/>
          <w:lang w:val="en-US"/>
        </w:rPr>
        <w:t>‘</w:t>
      </w:r>
      <w:r w:rsidR="00175767" w:rsidRPr="007B250A">
        <w:rPr>
          <w:rFonts w:cs="ArialMT"/>
          <w:i/>
          <w:sz w:val="24"/>
          <w:lang w:val="en-US"/>
        </w:rPr>
        <w:t>for</w:t>
      </w:r>
      <w:r w:rsidR="00175767">
        <w:rPr>
          <w:rFonts w:cs="ArialMT"/>
          <w:sz w:val="24"/>
          <w:lang w:val="en-US"/>
        </w:rPr>
        <w:t xml:space="preserve"> </w:t>
      </w:r>
      <w:r w:rsidR="00175767" w:rsidRPr="00175767">
        <w:rPr>
          <w:rFonts w:cs="ArialMT"/>
          <w:i/>
          <w:sz w:val="24"/>
          <w:lang w:val="en-US"/>
        </w:rPr>
        <w:t>any default or</w:t>
      </w:r>
      <w:r w:rsidRPr="00175767">
        <w:rPr>
          <w:rFonts w:cs="ArialMT"/>
          <w:i/>
          <w:sz w:val="24"/>
          <w:lang w:val="en-US"/>
        </w:rPr>
        <w:t xml:space="preserve"> failure to comply with any provisions of a procedure agreement</w:t>
      </w:r>
      <w:r w:rsidR="00175767">
        <w:rPr>
          <w:rFonts w:cs="ArialMT"/>
          <w:sz w:val="24"/>
          <w:lang w:val="en-US"/>
        </w:rPr>
        <w:t>’</w:t>
      </w:r>
      <w:r>
        <w:rPr>
          <w:rFonts w:cs="ArialMT"/>
          <w:sz w:val="24"/>
          <w:lang w:val="en-US"/>
        </w:rPr>
        <w:t xml:space="preserve">. </w:t>
      </w:r>
    </w:p>
    <w:p w:rsidR="00DD256A" w:rsidRDefault="00DD256A" w:rsidP="00DF2CA8">
      <w:pPr>
        <w:autoSpaceDE w:val="0"/>
        <w:autoSpaceDN w:val="0"/>
        <w:adjustRightInd w:val="0"/>
        <w:spacing w:after="0" w:line="240" w:lineRule="auto"/>
        <w:jc w:val="both"/>
        <w:rPr>
          <w:rFonts w:cs="ArialMT"/>
          <w:sz w:val="24"/>
          <w:lang w:val="en-US"/>
        </w:rPr>
      </w:pPr>
    </w:p>
    <w:p w:rsidR="00DF2CA8" w:rsidRPr="00DF2CA8" w:rsidRDefault="00DF2CA8" w:rsidP="00DF2CA8">
      <w:pPr>
        <w:autoSpaceDE w:val="0"/>
        <w:autoSpaceDN w:val="0"/>
        <w:adjustRightInd w:val="0"/>
        <w:spacing w:after="0" w:line="240" w:lineRule="auto"/>
        <w:jc w:val="both"/>
        <w:rPr>
          <w:rFonts w:cs="ArialMT"/>
          <w:sz w:val="24"/>
          <w:lang w:val="en-US"/>
        </w:rPr>
      </w:pPr>
      <w:r>
        <w:rPr>
          <w:rFonts w:cs="ArialMT"/>
          <w:sz w:val="24"/>
          <w:lang w:val="en-US"/>
        </w:rPr>
        <w:t xml:space="preserve"> </w:t>
      </w:r>
    </w:p>
    <w:p w:rsidR="00DD256A" w:rsidRDefault="00DD256A" w:rsidP="00FF7FAC">
      <w:pPr>
        <w:spacing w:after="0" w:line="276" w:lineRule="auto"/>
        <w:jc w:val="both"/>
        <w:rPr>
          <w:sz w:val="24"/>
        </w:rPr>
      </w:pPr>
      <w:r>
        <w:rPr>
          <w:sz w:val="24"/>
          <w:lang w:val="fr-FR"/>
        </w:rPr>
        <w:tab/>
      </w:r>
      <w:r w:rsidRPr="00DD256A">
        <w:rPr>
          <w:sz w:val="24"/>
        </w:rPr>
        <w:t xml:space="preserve">It should be noted that </w:t>
      </w:r>
      <w:r>
        <w:rPr>
          <w:sz w:val="24"/>
        </w:rPr>
        <w:t>the word ‘</w:t>
      </w:r>
      <w:r w:rsidRPr="00DD256A">
        <w:rPr>
          <w:i/>
          <w:sz w:val="24"/>
        </w:rPr>
        <w:t>default</w:t>
      </w:r>
      <w:r>
        <w:rPr>
          <w:sz w:val="24"/>
        </w:rPr>
        <w:t xml:space="preserve">’ in </w:t>
      </w:r>
      <w:r w:rsidRPr="00DD256A">
        <w:rPr>
          <w:i/>
          <w:sz w:val="24"/>
        </w:rPr>
        <w:t>section 39 (1) (b)</w:t>
      </w:r>
      <w:r>
        <w:rPr>
          <w:sz w:val="24"/>
        </w:rPr>
        <w:t xml:space="preserve"> of the </w:t>
      </w:r>
      <w:r w:rsidRPr="00DD256A">
        <w:rPr>
          <w:i/>
          <w:sz w:val="24"/>
        </w:rPr>
        <w:t>Act</w:t>
      </w:r>
      <w:r>
        <w:rPr>
          <w:sz w:val="24"/>
        </w:rPr>
        <w:t xml:space="preserve"> does not refer to any default of the law as is being contended by Counsel for the Applicant. </w:t>
      </w:r>
      <w:r w:rsidR="00175767">
        <w:rPr>
          <w:sz w:val="24"/>
        </w:rPr>
        <w:t>The word</w:t>
      </w:r>
      <w:r>
        <w:rPr>
          <w:sz w:val="24"/>
        </w:rPr>
        <w:t xml:space="preserve"> must be read in the whole of the sentence </w:t>
      </w:r>
      <w:r w:rsidR="007E6A4E">
        <w:rPr>
          <w:sz w:val="24"/>
        </w:rPr>
        <w:t xml:space="preserve">as </w:t>
      </w:r>
      <w:r>
        <w:rPr>
          <w:sz w:val="24"/>
        </w:rPr>
        <w:t>‘…</w:t>
      </w:r>
      <w:r w:rsidR="00175767">
        <w:rPr>
          <w:sz w:val="24"/>
        </w:rPr>
        <w:t xml:space="preserve"> </w:t>
      </w:r>
      <w:r w:rsidR="00175767" w:rsidRPr="00175767">
        <w:rPr>
          <w:i/>
          <w:sz w:val="24"/>
        </w:rPr>
        <w:t>for</w:t>
      </w:r>
      <w:r>
        <w:rPr>
          <w:sz w:val="24"/>
        </w:rPr>
        <w:t xml:space="preserve"> </w:t>
      </w:r>
      <w:r w:rsidRPr="00DD256A">
        <w:rPr>
          <w:rFonts w:cs="ArialMT"/>
          <w:i/>
          <w:sz w:val="24"/>
          <w:lang w:val="en-US"/>
        </w:rPr>
        <w:t>any default or failure to comply with any provisions of a procedure agreement</w:t>
      </w:r>
      <w:r>
        <w:rPr>
          <w:sz w:val="24"/>
        </w:rPr>
        <w:t xml:space="preserve">’ </w:t>
      </w:r>
      <w:r w:rsidR="007C20A1">
        <w:rPr>
          <w:sz w:val="24"/>
        </w:rPr>
        <w:t xml:space="preserve">for it </w:t>
      </w:r>
      <w:r>
        <w:rPr>
          <w:sz w:val="24"/>
        </w:rPr>
        <w:t xml:space="preserve">to be given its true significance within this particular </w:t>
      </w:r>
      <w:r w:rsidR="00E2299A">
        <w:rPr>
          <w:sz w:val="24"/>
        </w:rPr>
        <w:t>sub</w:t>
      </w:r>
      <w:r>
        <w:rPr>
          <w:sz w:val="24"/>
        </w:rPr>
        <w:t>section of the law</w:t>
      </w:r>
      <w:r w:rsidR="007E6A4E">
        <w:rPr>
          <w:sz w:val="24"/>
        </w:rPr>
        <w:t>. Nor can the word ‘</w:t>
      </w:r>
      <w:r w:rsidR="007E6A4E" w:rsidRPr="007E6A4E">
        <w:rPr>
          <w:i/>
          <w:sz w:val="24"/>
        </w:rPr>
        <w:t>default</w:t>
      </w:r>
      <w:r w:rsidR="007E6A4E">
        <w:rPr>
          <w:sz w:val="24"/>
        </w:rPr>
        <w:t>’</w:t>
      </w:r>
      <w:r>
        <w:rPr>
          <w:sz w:val="24"/>
        </w:rPr>
        <w:t xml:space="preserve"> be</w:t>
      </w:r>
      <w:r w:rsidR="007E6A4E">
        <w:rPr>
          <w:sz w:val="24"/>
        </w:rPr>
        <w:t xml:space="preserve"> taken to be on its own or independent</w:t>
      </w:r>
      <w:r w:rsidR="00175767">
        <w:rPr>
          <w:sz w:val="24"/>
        </w:rPr>
        <w:t xml:space="preserve"> in the aforementioned section</w:t>
      </w:r>
      <w:r>
        <w:rPr>
          <w:sz w:val="24"/>
        </w:rPr>
        <w:t xml:space="preserve">. </w:t>
      </w:r>
    </w:p>
    <w:p w:rsidR="00DD256A" w:rsidRDefault="00DD256A" w:rsidP="00FF7FAC">
      <w:pPr>
        <w:spacing w:after="0" w:line="276" w:lineRule="auto"/>
        <w:jc w:val="both"/>
        <w:rPr>
          <w:sz w:val="24"/>
        </w:rPr>
      </w:pPr>
    </w:p>
    <w:p w:rsidR="00DD256A" w:rsidRDefault="00DD256A" w:rsidP="00FF7FAC">
      <w:pPr>
        <w:spacing w:after="0" w:line="276" w:lineRule="auto"/>
        <w:jc w:val="both"/>
        <w:rPr>
          <w:sz w:val="24"/>
        </w:rPr>
      </w:pPr>
      <w:r>
        <w:rPr>
          <w:sz w:val="24"/>
        </w:rPr>
        <w:tab/>
      </w:r>
    </w:p>
    <w:p w:rsidR="00DD256A" w:rsidRDefault="00DD256A" w:rsidP="00FF7FAC">
      <w:pPr>
        <w:spacing w:after="0" w:line="276" w:lineRule="auto"/>
        <w:jc w:val="both"/>
        <w:rPr>
          <w:sz w:val="24"/>
          <w:lang w:val="fr-FR"/>
        </w:rPr>
      </w:pPr>
      <w:r>
        <w:rPr>
          <w:sz w:val="24"/>
        </w:rPr>
        <w:tab/>
        <w:t xml:space="preserve">Indeed, the following may be noted from the order of the Tribunal in </w:t>
      </w:r>
      <w:r w:rsidRPr="006533A3">
        <w:rPr>
          <w:i/>
          <w:sz w:val="24"/>
          <w:lang w:val="fr-FR"/>
        </w:rPr>
        <w:t>Compagnie Sucrière de Bel Ombre</w:t>
      </w:r>
      <w:r w:rsidRPr="006533A3">
        <w:rPr>
          <w:i/>
          <w:sz w:val="24"/>
          <w:lang w:val="en-US"/>
        </w:rPr>
        <w:t xml:space="preserve"> Ltd and </w:t>
      </w:r>
      <w:r w:rsidRPr="006533A3">
        <w:rPr>
          <w:i/>
          <w:sz w:val="24"/>
          <w:lang w:val="fr-FR"/>
        </w:rPr>
        <w:t>Syndicat des Travailleurs des Etablissements Privés</w:t>
      </w:r>
      <w:r>
        <w:rPr>
          <w:i/>
          <w:sz w:val="24"/>
          <w:lang w:val="fr-FR"/>
        </w:rPr>
        <w:t xml:space="preserve"> </w:t>
      </w:r>
      <w:r>
        <w:rPr>
          <w:sz w:val="24"/>
          <w:lang w:val="fr-FR"/>
        </w:rPr>
        <w:t>(</w:t>
      </w:r>
      <w:r w:rsidRPr="00DD256A">
        <w:rPr>
          <w:i/>
          <w:sz w:val="24"/>
          <w:lang w:val="fr-FR"/>
        </w:rPr>
        <w:t>supra</w:t>
      </w:r>
      <w:r>
        <w:rPr>
          <w:sz w:val="24"/>
          <w:lang w:val="fr-FR"/>
        </w:rPr>
        <w:t>):</w:t>
      </w:r>
    </w:p>
    <w:p w:rsidR="00DD256A" w:rsidRPr="00DD256A" w:rsidRDefault="00DD256A" w:rsidP="00FF7FAC">
      <w:pPr>
        <w:spacing w:after="0" w:line="276" w:lineRule="auto"/>
        <w:jc w:val="both"/>
        <w:rPr>
          <w:lang w:val="fr-FR"/>
        </w:rPr>
      </w:pPr>
    </w:p>
    <w:p w:rsidR="00DD256A" w:rsidRDefault="00DD256A" w:rsidP="003813E8">
      <w:pPr>
        <w:spacing w:after="0" w:line="276" w:lineRule="auto"/>
        <w:ind w:left="720" w:right="900"/>
        <w:jc w:val="both"/>
        <w:rPr>
          <w:rFonts w:cs="Arial"/>
          <w:i/>
          <w:szCs w:val="24"/>
        </w:rPr>
      </w:pPr>
      <w:r w:rsidRPr="00DD256A">
        <w:rPr>
          <w:rFonts w:cs="Arial"/>
          <w:i/>
          <w:szCs w:val="24"/>
        </w:rPr>
        <w:t>As an aid to interpretation, we may refer to the punctuation used.  There is no semicolon (like in subsection 39(1)(a) just before the “or”) or any comma after “default” which may suggest that “default” is to be read on its own and independently of “or failure to comply with any provisions of a procedure agreement.”</w:t>
      </w:r>
    </w:p>
    <w:p w:rsidR="00DD256A" w:rsidRPr="00DD256A" w:rsidRDefault="00DD256A" w:rsidP="003813E8">
      <w:pPr>
        <w:spacing w:after="0" w:line="276" w:lineRule="auto"/>
        <w:ind w:left="720" w:right="900"/>
        <w:jc w:val="both"/>
        <w:rPr>
          <w:rFonts w:cs="Arial"/>
          <w:i/>
          <w:szCs w:val="24"/>
          <w:lang w:val="en-US"/>
        </w:rPr>
      </w:pPr>
    </w:p>
    <w:p w:rsidR="00E34FA6" w:rsidRPr="00DD256A" w:rsidRDefault="00DD256A" w:rsidP="003813E8">
      <w:pPr>
        <w:spacing w:after="0" w:line="276" w:lineRule="auto"/>
        <w:ind w:left="720" w:right="900"/>
        <w:jc w:val="both"/>
        <w:rPr>
          <w:rFonts w:cs="Arial"/>
          <w:i/>
          <w:szCs w:val="24"/>
        </w:rPr>
      </w:pPr>
      <w:r w:rsidRPr="00DD256A">
        <w:rPr>
          <w:rFonts w:cs="Arial"/>
          <w:i/>
          <w:szCs w:val="24"/>
        </w:rPr>
        <w:t>On the contrary, it appears clear that both “default” and “failure” relate to the provisions of any procedure agreement existing between the parties.  Likewise, the word “any” will apply to</w:t>
      </w:r>
      <w:r>
        <w:rPr>
          <w:rFonts w:cs="Arial"/>
          <w:i/>
          <w:szCs w:val="24"/>
        </w:rPr>
        <w:t xml:space="preserve"> both “default” and “failure”. </w:t>
      </w:r>
    </w:p>
    <w:p w:rsidR="007E6A4E" w:rsidRDefault="00E34FA6" w:rsidP="00FF7FAC">
      <w:pPr>
        <w:spacing w:after="0" w:line="276" w:lineRule="auto"/>
        <w:jc w:val="both"/>
        <w:rPr>
          <w:sz w:val="24"/>
          <w:lang w:val="en-US"/>
        </w:rPr>
      </w:pPr>
      <w:r>
        <w:rPr>
          <w:sz w:val="24"/>
          <w:lang w:val="en-US"/>
        </w:rPr>
        <w:lastRenderedPageBreak/>
        <w:t xml:space="preserve"> </w:t>
      </w:r>
    </w:p>
    <w:p w:rsidR="007E6A4E" w:rsidRDefault="007E6A4E" w:rsidP="00FF7FAC">
      <w:pPr>
        <w:spacing w:after="0" w:line="276" w:lineRule="auto"/>
        <w:jc w:val="both"/>
        <w:rPr>
          <w:sz w:val="24"/>
          <w:lang w:val="en-US"/>
        </w:rPr>
      </w:pPr>
    </w:p>
    <w:p w:rsidR="00D62F4E" w:rsidRDefault="007E6A4E" w:rsidP="00FF7FAC">
      <w:pPr>
        <w:spacing w:after="0" w:line="276" w:lineRule="auto"/>
        <w:jc w:val="both"/>
        <w:rPr>
          <w:sz w:val="24"/>
          <w:lang w:val="en-US"/>
        </w:rPr>
      </w:pPr>
      <w:r>
        <w:rPr>
          <w:sz w:val="24"/>
          <w:lang w:val="en-US"/>
        </w:rPr>
        <w:tab/>
      </w:r>
      <w:r w:rsidR="00175767">
        <w:rPr>
          <w:sz w:val="24"/>
          <w:lang w:val="en-US"/>
        </w:rPr>
        <w:t xml:space="preserve">The Tribunal has further noted that </w:t>
      </w:r>
      <w:r w:rsidR="00D62F4E">
        <w:rPr>
          <w:sz w:val="24"/>
          <w:lang w:val="en-US"/>
        </w:rPr>
        <w:t xml:space="preserve">Counsel for the Applicant has invoked </w:t>
      </w:r>
      <w:r w:rsidR="00D62F4E" w:rsidRPr="00D62F4E">
        <w:rPr>
          <w:i/>
          <w:sz w:val="24"/>
          <w:lang w:val="en-US"/>
        </w:rPr>
        <w:t>section 28 (1)</w:t>
      </w:r>
      <w:r w:rsidR="003813E8">
        <w:rPr>
          <w:i/>
          <w:sz w:val="24"/>
          <w:lang w:val="en-US"/>
        </w:rPr>
        <w:t xml:space="preserve"> (a)</w:t>
      </w:r>
      <w:r w:rsidR="00D62F4E">
        <w:rPr>
          <w:sz w:val="24"/>
          <w:lang w:val="en-US"/>
        </w:rPr>
        <w:t xml:space="preserve"> of the </w:t>
      </w:r>
      <w:r w:rsidR="00D62F4E" w:rsidRPr="00D62F4E">
        <w:rPr>
          <w:i/>
          <w:sz w:val="24"/>
          <w:lang w:val="en-US"/>
        </w:rPr>
        <w:t>Interpretation and General Clauses Act</w:t>
      </w:r>
      <w:r w:rsidR="003813E8">
        <w:rPr>
          <w:i/>
          <w:sz w:val="24"/>
          <w:lang w:val="en-US"/>
        </w:rPr>
        <w:t xml:space="preserve"> </w:t>
      </w:r>
      <w:r w:rsidR="003813E8" w:rsidRPr="00175767">
        <w:rPr>
          <w:sz w:val="24"/>
          <w:lang w:val="en-US"/>
        </w:rPr>
        <w:t>(</w:t>
      </w:r>
      <w:r w:rsidR="003813E8" w:rsidRPr="00175767">
        <w:rPr>
          <w:i/>
          <w:sz w:val="24"/>
          <w:lang w:val="en-US"/>
        </w:rPr>
        <w:t>Act 33 of 1974</w:t>
      </w:r>
      <w:r w:rsidR="003813E8" w:rsidRPr="00175767">
        <w:rPr>
          <w:sz w:val="24"/>
          <w:lang w:val="en-US"/>
        </w:rPr>
        <w:t>)</w:t>
      </w:r>
      <w:r w:rsidR="00D62F4E">
        <w:rPr>
          <w:sz w:val="24"/>
          <w:lang w:val="en-US"/>
        </w:rPr>
        <w:t xml:space="preserve"> as a tool of interpretation in his submissions. This particular section </w:t>
      </w:r>
      <w:r w:rsidR="00D027BE">
        <w:rPr>
          <w:sz w:val="24"/>
          <w:lang w:val="en-US"/>
        </w:rPr>
        <w:t>states</w:t>
      </w:r>
      <w:r w:rsidR="00D62F4E">
        <w:rPr>
          <w:sz w:val="24"/>
          <w:lang w:val="en-US"/>
        </w:rPr>
        <w:t>:</w:t>
      </w:r>
      <w:r w:rsidR="00175767">
        <w:rPr>
          <w:sz w:val="24"/>
          <w:lang w:val="en-US"/>
        </w:rPr>
        <w:t xml:space="preserve"> </w:t>
      </w:r>
      <w:r w:rsidR="003813E8">
        <w:rPr>
          <w:sz w:val="24"/>
          <w:lang w:val="en-US"/>
        </w:rPr>
        <w:t xml:space="preserve"> </w:t>
      </w:r>
    </w:p>
    <w:p w:rsidR="00D62F4E" w:rsidRPr="00175767" w:rsidRDefault="00D62F4E" w:rsidP="00FF7FAC">
      <w:pPr>
        <w:spacing w:after="0" w:line="276" w:lineRule="auto"/>
        <w:jc w:val="both"/>
        <w:rPr>
          <w:lang w:val="en-US"/>
        </w:rPr>
      </w:pPr>
    </w:p>
    <w:p w:rsidR="003813E8" w:rsidRDefault="003813E8" w:rsidP="003813E8">
      <w:pPr>
        <w:spacing w:after="0"/>
        <w:ind w:right="900"/>
        <w:jc w:val="both"/>
        <w:rPr>
          <w:rFonts w:eastAsia="Times New Roman" w:cs="Arial"/>
          <w:b/>
          <w:i/>
          <w:szCs w:val="25"/>
          <w:lang w:val="en-US"/>
        </w:rPr>
      </w:pPr>
      <w:r>
        <w:rPr>
          <w:sz w:val="24"/>
          <w:lang w:val="en-US"/>
        </w:rPr>
        <w:tab/>
      </w:r>
      <w:r w:rsidRPr="003813E8">
        <w:rPr>
          <w:rFonts w:eastAsia="Times New Roman" w:cs="Arial"/>
          <w:b/>
          <w:i/>
          <w:szCs w:val="25"/>
          <w:lang w:val="en-US"/>
        </w:rPr>
        <w:t xml:space="preserve">28. </w:t>
      </w:r>
      <w:r w:rsidRPr="003813E8">
        <w:rPr>
          <w:rFonts w:eastAsia="Times New Roman" w:cs="Arial"/>
          <w:b/>
          <w:i/>
          <w:szCs w:val="25"/>
          <w:lang w:val="en-US"/>
        </w:rPr>
        <w:tab/>
        <w:t xml:space="preserve">Powers included in power to appoint </w:t>
      </w:r>
    </w:p>
    <w:p w:rsidR="003813E8" w:rsidRPr="003813E8" w:rsidRDefault="003813E8" w:rsidP="003813E8">
      <w:pPr>
        <w:spacing w:after="0"/>
        <w:ind w:right="900"/>
        <w:jc w:val="both"/>
        <w:rPr>
          <w:rFonts w:eastAsia="Times New Roman" w:cs="Arial"/>
          <w:b/>
          <w:i/>
          <w:szCs w:val="25"/>
          <w:lang w:val="en-US"/>
        </w:rPr>
      </w:pPr>
      <w:r>
        <w:rPr>
          <w:rFonts w:eastAsia="Times New Roman" w:cs="Arial"/>
          <w:b/>
          <w:i/>
          <w:szCs w:val="25"/>
          <w:lang w:val="en-US"/>
        </w:rPr>
        <w:tab/>
      </w:r>
    </w:p>
    <w:p w:rsidR="003813E8" w:rsidRPr="003813E8" w:rsidRDefault="003813E8" w:rsidP="003813E8">
      <w:pPr>
        <w:spacing w:after="0" w:line="240" w:lineRule="auto"/>
        <w:ind w:left="720" w:right="900" w:firstLine="720"/>
        <w:jc w:val="both"/>
        <w:rPr>
          <w:rFonts w:eastAsia="Times New Roman" w:cs="Arial"/>
          <w:i/>
          <w:szCs w:val="25"/>
          <w:lang w:val="en-US"/>
        </w:rPr>
      </w:pPr>
      <w:r w:rsidRPr="003813E8">
        <w:rPr>
          <w:rFonts w:eastAsia="Times New Roman" w:cs="Arial"/>
          <w:i/>
          <w:szCs w:val="25"/>
          <w:lang w:val="en-US"/>
        </w:rPr>
        <w:t xml:space="preserve">(1) </w:t>
      </w:r>
      <w:r w:rsidRPr="003813E8">
        <w:rPr>
          <w:rFonts w:eastAsia="Times New Roman" w:cs="Arial"/>
          <w:i/>
          <w:szCs w:val="25"/>
          <w:lang w:val="en-US"/>
        </w:rPr>
        <w:tab/>
        <w:t xml:space="preserve">Where an enactment confers a power or imposes a duty to make an appointment or to constitute or establish any board, tribunal, commission, committee or similar body, the person having the power or duty may also— </w:t>
      </w:r>
    </w:p>
    <w:p w:rsidR="003813E8" w:rsidRPr="003813E8" w:rsidRDefault="003813E8" w:rsidP="003813E8">
      <w:pPr>
        <w:spacing w:after="0" w:line="240" w:lineRule="auto"/>
        <w:ind w:left="2880" w:right="900" w:hanging="720"/>
        <w:jc w:val="both"/>
        <w:rPr>
          <w:rFonts w:eastAsia="Times New Roman" w:cs="Arial"/>
          <w:i/>
          <w:szCs w:val="25"/>
          <w:lang w:val="en-US"/>
        </w:rPr>
      </w:pPr>
    </w:p>
    <w:p w:rsidR="003813E8" w:rsidRPr="003813E8" w:rsidRDefault="003813E8" w:rsidP="003813E8">
      <w:pPr>
        <w:spacing w:after="0" w:line="240" w:lineRule="auto"/>
        <w:ind w:left="2880" w:right="900" w:hanging="720"/>
        <w:jc w:val="both"/>
        <w:rPr>
          <w:rFonts w:eastAsia="Times New Roman" w:cs="Arial"/>
          <w:i/>
          <w:szCs w:val="25"/>
          <w:lang w:val="en-US"/>
        </w:rPr>
      </w:pPr>
      <w:r w:rsidRPr="003813E8">
        <w:rPr>
          <w:rFonts w:eastAsia="Times New Roman" w:cs="Arial"/>
          <w:i/>
          <w:szCs w:val="25"/>
          <w:lang w:val="en-US"/>
        </w:rPr>
        <w:t xml:space="preserve">(a) </w:t>
      </w:r>
      <w:r w:rsidRPr="003813E8">
        <w:rPr>
          <w:rFonts w:eastAsia="Times New Roman" w:cs="Arial"/>
          <w:i/>
          <w:szCs w:val="25"/>
          <w:lang w:val="en-US"/>
        </w:rPr>
        <w:tab/>
        <w:t>remove, suspend, dismiss or revoke the appointment of, and re</w:t>
      </w:r>
      <w:r w:rsidR="00D66B9A">
        <w:rPr>
          <w:rFonts w:eastAsia="Times New Roman" w:cs="Arial"/>
          <w:i/>
          <w:szCs w:val="25"/>
          <w:lang w:val="en-US"/>
        </w:rPr>
        <w:t>-</w:t>
      </w:r>
      <w:r w:rsidRPr="003813E8">
        <w:rPr>
          <w:rFonts w:eastAsia="Times New Roman" w:cs="Arial"/>
          <w:i/>
          <w:szCs w:val="25"/>
          <w:lang w:val="en-US"/>
        </w:rPr>
        <w:t xml:space="preserve">appoint or reinstate, any person appointed in exercise of the power or duty; </w:t>
      </w:r>
    </w:p>
    <w:p w:rsidR="003813E8" w:rsidRDefault="003813E8" w:rsidP="003813E8">
      <w:pPr>
        <w:spacing w:after="0" w:line="276" w:lineRule="auto"/>
        <w:jc w:val="both"/>
        <w:rPr>
          <w:sz w:val="24"/>
          <w:lang w:val="en-US"/>
        </w:rPr>
      </w:pPr>
    </w:p>
    <w:p w:rsidR="00D62F4E" w:rsidRDefault="00D62F4E" w:rsidP="00FF7FAC">
      <w:pPr>
        <w:spacing w:after="0" w:line="276" w:lineRule="auto"/>
        <w:jc w:val="both"/>
        <w:rPr>
          <w:sz w:val="24"/>
          <w:lang w:val="en-US"/>
        </w:rPr>
      </w:pPr>
    </w:p>
    <w:p w:rsidR="00175767" w:rsidRDefault="00D62F4E" w:rsidP="00FF7FAC">
      <w:pPr>
        <w:spacing w:after="0" w:line="276" w:lineRule="auto"/>
        <w:jc w:val="both"/>
        <w:rPr>
          <w:sz w:val="24"/>
          <w:lang w:val="en-US"/>
        </w:rPr>
      </w:pPr>
      <w:r>
        <w:rPr>
          <w:sz w:val="24"/>
          <w:lang w:val="en-US"/>
        </w:rPr>
        <w:tab/>
        <w:t>The Tribunal cannot see how this section can come in aid of the application, the more so it is concerned with ‘</w:t>
      </w:r>
      <w:r w:rsidRPr="00D62F4E">
        <w:rPr>
          <w:i/>
          <w:sz w:val="24"/>
          <w:lang w:val="en-US"/>
        </w:rPr>
        <w:t>a power … to make an appointment</w:t>
      </w:r>
      <w:r>
        <w:rPr>
          <w:sz w:val="24"/>
          <w:lang w:val="en-US"/>
        </w:rPr>
        <w:t>’</w:t>
      </w:r>
      <w:r w:rsidR="007B250A">
        <w:rPr>
          <w:sz w:val="24"/>
          <w:lang w:val="en-US"/>
        </w:rPr>
        <w:t>, which is</w:t>
      </w:r>
      <w:r>
        <w:rPr>
          <w:sz w:val="24"/>
          <w:lang w:val="en-US"/>
        </w:rPr>
        <w:t xml:space="preserve"> not the case in the present matter. The Tribunal has not been seized </w:t>
      </w:r>
      <w:r w:rsidR="003813E8">
        <w:rPr>
          <w:sz w:val="24"/>
          <w:lang w:val="en-US"/>
        </w:rPr>
        <w:t>in</w:t>
      </w:r>
      <w:r>
        <w:rPr>
          <w:sz w:val="24"/>
          <w:lang w:val="en-US"/>
        </w:rPr>
        <w:t xml:space="preserve"> the present application to make an appointment but to </w:t>
      </w:r>
      <w:r w:rsidR="003813E8">
        <w:rPr>
          <w:sz w:val="24"/>
          <w:lang w:val="en-US"/>
        </w:rPr>
        <w:t xml:space="preserve">make an order to revoke the recognition of a trade union. </w:t>
      </w:r>
      <w:r w:rsidR="00175767">
        <w:rPr>
          <w:sz w:val="24"/>
          <w:lang w:val="en-US"/>
        </w:rPr>
        <w:t>T</w:t>
      </w:r>
      <w:r w:rsidR="003813E8">
        <w:rPr>
          <w:sz w:val="24"/>
          <w:lang w:val="en-US"/>
        </w:rPr>
        <w:t xml:space="preserve">he aforesaid section </w:t>
      </w:r>
      <w:r w:rsidR="00175767">
        <w:rPr>
          <w:sz w:val="24"/>
          <w:lang w:val="en-US"/>
        </w:rPr>
        <w:t>cannot therefore have any</w:t>
      </w:r>
      <w:r w:rsidR="003813E8">
        <w:rPr>
          <w:sz w:val="24"/>
          <w:lang w:val="en-US"/>
        </w:rPr>
        <w:t xml:space="preserve"> application to the present case.</w:t>
      </w:r>
      <w:r w:rsidR="00175767">
        <w:rPr>
          <w:sz w:val="24"/>
          <w:lang w:val="en-US"/>
        </w:rPr>
        <w:t xml:space="preserve"> </w:t>
      </w:r>
    </w:p>
    <w:p w:rsidR="00175767" w:rsidRDefault="00175767" w:rsidP="00FF7FAC">
      <w:pPr>
        <w:spacing w:after="0" w:line="276" w:lineRule="auto"/>
        <w:jc w:val="both"/>
        <w:rPr>
          <w:sz w:val="24"/>
          <w:lang w:val="en-US"/>
        </w:rPr>
      </w:pPr>
    </w:p>
    <w:p w:rsidR="00175767" w:rsidRDefault="00175767" w:rsidP="00FF7FAC">
      <w:pPr>
        <w:spacing w:after="0" w:line="276" w:lineRule="auto"/>
        <w:jc w:val="both"/>
        <w:rPr>
          <w:sz w:val="24"/>
          <w:lang w:val="en-US"/>
        </w:rPr>
      </w:pPr>
    </w:p>
    <w:p w:rsidR="00175767" w:rsidRDefault="00175767" w:rsidP="00FF7FAC">
      <w:pPr>
        <w:spacing w:after="0" w:line="276" w:lineRule="auto"/>
        <w:jc w:val="both"/>
        <w:rPr>
          <w:sz w:val="24"/>
          <w:lang w:val="en-US"/>
        </w:rPr>
      </w:pPr>
      <w:r>
        <w:rPr>
          <w:sz w:val="24"/>
          <w:lang w:val="en-US"/>
        </w:rPr>
        <w:tab/>
        <w:t xml:space="preserve">It would also be apposite to note that the ground of change in representativeness, which is being forwarded by the Applicant, would only apply where the application for revocation of recognition of a trade union is being made by a trade union or a group of trade unions pursuant to </w:t>
      </w:r>
      <w:r w:rsidRPr="00175767">
        <w:rPr>
          <w:i/>
          <w:sz w:val="24"/>
          <w:lang w:val="en-US"/>
        </w:rPr>
        <w:t>section 39 (1) (a)</w:t>
      </w:r>
      <w:r>
        <w:rPr>
          <w:sz w:val="24"/>
          <w:lang w:val="en-US"/>
        </w:rPr>
        <w:t xml:space="preserve"> of the </w:t>
      </w:r>
      <w:r w:rsidRPr="00175767">
        <w:rPr>
          <w:i/>
          <w:sz w:val="24"/>
          <w:lang w:val="en-US"/>
        </w:rPr>
        <w:t>Act</w:t>
      </w:r>
      <w:r>
        <w:rPr>
          <w:sz w:val="24"/>
          <w:lang w:val="en-US"/>
        </w:rPr>
        <w:t xml:space="preserve">. </w:t>
      </w:r>
    </w:p>
    <w:p w:rsidR="00175767" w:rsidRDefault="00175767" w:rsidP="00FF7FAC">
      <w:pPr>
        <w:spacing w:after="0" w:line="276" w:lineRule="auto"/>
        <w:jc w:val="both"/>
        <w:rPr>
          <w:sz w:val="24"/>
          <w:lang w:val="en-US"/>
        </w:rPr>
      </w:pPr>
    </w:p>
    <w:p w:rsidR="00175767" w:rsidRDefault="00175767" w:rsidP="00FF7FAC">
      <w:pPr>
        <w:spacing w:after="0" w:line="276" w:lineRule="auto"/>
        <w:jc w:val="both"/>
        <w:rPr>
          <w:sz w:val="24"/>
          <w:lang w:val="en-US"/>
        </w:rPr>
      </w:pPr>
    </w:p>
    <w:p w:rsidR="0048654E" w:rsidRDefault="00175767" w:rsidP="00FF7FAC">
      <w:pPr>
        <w:spacing w:after="0" w:line="276" w:lineRule="auto"/>
        <w:jc w:val="both"/>
        <w:rPr>
          <w:sz w:val="24"/>
          <w:lang w:val="en-US"/>
        </w:rPr>
      </w:pPr>
      <w:r>
        <w:rPr>
          <w:sz w:val="24"/>
          <w:lang w:val="en-US"/>
        </w:rPr>
        <w:tab/>
      </w:r>
      <w:r w:rsidR="005C7FC2">
        <w:rPr>
          <w:sz w:val="24"/>
          <w:lang w:val="en-US"/>
        </w:rPr>
        <w:t xml:space="preserve">It has not been disputed that no procedure agreement exists between the two parties in the present matter. </w:t>
      </w:r>
      <w:r>
        <w:rPr>
          <w:sz w:val="24"/>
          <w:lang w:val="en-US"/>
        </w:rPr>
        <w:t xml:space="preserve">The Applicant, being the employer, not having invoked any default or failure to comply with any provisions of a procedure agreement cannot therefore succeed in its application. </w:t>
      </w:r>
    </w:p>
    <w:p w:rsidR="0048654E" w:rsidRDefault="0048654E" w:rsidP="00FF7FAC">
      <w:pPr>
        <w:spacing w:after="0" w:line="276" w:lineRule="auto"/>
        <w:jc w:val="both"/>
        <w:rPr>
          <w:sz w:val="24"/>
          <w:lang w:val="en-US"/>
        </w:rPr>
      </w:pPr>
    </w:p>
    <w:p w:rsidR="005C7FC2" w:rsidRDefault="005C7FC2" w:rsidP="00FF7FAC">
      <w:pPr>
        <w:spacing w:after="0" w:line="276" w:lineRule="auto"/>
        <w:jc w:val="both"/>
        <w:rPr>
          <w:sz w:val="24"/>
          <w:lang w:val="en-US"/>
        </w:rPr>
      </w:pPr>
    </w:p>
    <w:p w:rsidR="0048654E" w:rsidRDefault="0048654E" w:rsidP="00FF7FAC">
      <w:pPr>
        <w:spacing w:after="0" w:line="276" w:lineRule="auto"/>
        <w:jc w:val="both"/>
        <w:rPr>
          <w:sz w:val="24"/>
          <w:lang w:val="en-US"/>
        </w:rPr>
      </w:pPr>
      <w:r>
        <w:rPr>
          <w:sz w:val="24"/>
          <w:lang w:val="en-US"/>
        </w:rPr>
        <w:tab/>
        <w:t>The application is therefore set aside.</w:t>
      </w:r>
    </w:p>
    <w:p w:rsidR="0048654E" w:rsidRDefault="0048654E" w:rsidP="00FF7FAC">
      <w:pPr>
        <w:spacing w:after="0" w:line="276" w:lineRule="auto"/>
        <w:jc w:val="both"/>
        <w:rPr>
          <w:sz w:val="24"/>
          <w:lang w:val="en-US"/>
        </w:rPr>
      </w:pPr>
    </w:p>
    <w:p w:rsidR="0048654E" w:rsidRDefault="0048654E" w:rsidP="00FF7FAC">
      <w:pPr>
        <w:spacing w:after="0" w:line="276" w:lineRule="auto"/>
        <w:jc w:val="both"/>
        <w:rPr>
          <w:sz w:val="24"/>
          <w:lang w:val="en-US"/>
        </w:rPr>
      </w:pPr>
    </w:p>
    <w:p w:rsidR="00942CCD" w:rsidRDefault="00942CCD" w:rsidP="00FF7FAC">
      <w:pPr>
        <w:spacing w:after="0" w:line="276" w:lineRule="auto"/>
        <w:jc w:val="both"/>
        <w:rPr>
          <w:sz w:val="24"/>
          <w:lang w:val="en-US"/>
        </w:rPr>
      </w:pPr>
    </w:p>
    <w:p w:rsidR="00942CCD" w:rsidRDefault="00942CCD" w:rsidP="00FF7FAC">
      <w:pPr>
        <w:spacing w:after="0" w:line="276" w:lineRule="auto"/>
        <w:jc w:val="both"/>
        <w:rPr>
          <w:sz w:val="24"/>
          <w:lang w:val="en-US"/>
        </w:rPr>
      </w:pPr>
    </w:p>
    <w:p w:rsidR="00942CCD" w:rsidRDefault="00942CCD" w:rsidP="00FF7FAC">
      <w:pPr>
        <w:spacing w:after="0" w:line="276" w:lineRule="auto"/>
        <w:jc w:val="both"/>
        <w:rPr>
          <w:sz w:val="24"/>
          <w:lang w:val="en-US"/>
        </w:rPr>
      </w:pPr>
    </w:p>
    <w:p w:rsidR="00942CCD" w:rsidRDefault="00942CCD" w:rsidP="00942CCD">
      <w:pPr>
        <w:spacing w:after="0"/>
        <w:ind w:right="26"/>
        <w:jc w:val="both"/>
        <w:rPr>
          <w:rFonts w:eastAsia="Calibri" w:cstheme="minorHAnsi"/>
          <w:b/>
          <w:bCs/>
          <w:sz w:val="24"/>
          <w:szCs w:val="24"/>
        </w:rPr>
      </w:pPr>
    </w:p>
    <w:p w:rsidR="00942CCD" w:rsidRDefault="00942CCD" w:rsidP="00942CCD">
      <w:pPr>
        <w:spacing w:after="0"/>
        <w:ind w:right="26"/>
        <w:jc w:val="both"/>
        <w:rPr>
          <w:rFonts w:eastAsia="Calibri" w:cstheme="minorHAnsi"/>
          <w:b/>
          <w:bCs/>
          <w:sz w:val="24"/>
          <w:szCs w:val="24"/>
        </w:rPr>
      </w:pPr>
    </w:p>
    <w:p w:rsidR="00942CCD" w:rsidRDefault="00942CCD" w:rsidP="00942CCD">
      <w:pPr>
        <w:spacing w:after="0"/>
        <w:ind w:right="26"/>
        <w:jc w:val="both"/>
        <w:rPr>
          <w:rFonts w:eastAsia="Calibri" w:cstheme="minorHAnsi"/>
          <w:b/>
          <w:bCs/>
          <w:sz w:val="24"/>
          <w:szCs w:val="24"/>
        </w:rPr>
      </w:pPr>
    </w:p>
    <w:p w:rsidR="00942CCD" w:rsidRDefault="00942CCD" w:rsidP="00942CCD">
      <w:pPr>
        <w:spacing w:after="0"/>
        <w:ind w:right="26"/>
        <w:jc w:val="both"/>
        <w:rPr>
          <w:rFonts w:eastAsia="Calibri" w:cstheme="minorHAnsi"/>
          <w:b/>
          <w:bCs/>
          <w:sz w:val="24"/>
          <w:szCs w:val="24"/>
        </w:rPr>
      </w:pPr>
    </w:p>
    <w:p w:rsidR="00942CCD" w:rsidRDefault="00233282" w:rsidP="00942CCD">
      <w:pPr>
        <w:spacing w:after="0"/>
        <w:ind w:right="831"/>
        <w:rPr>
          <w:rFonts w:cstheme="minorHAnsi"/>
          <w:b/>
          <w:bCs/>
          <w:sz w:val="24"/>
          <w:szCs w:val="24"/>
        </w:rPr>
      </w:pPr>
      <w:r>
        <w:rPr>
          <w:rFonts w:cstheme="minorHAnsi"/>
          <w:b/>
          <w:bCs/>
          <w:sz w:val="24"/>
          <w:szCs w:val="24"/>
        </w:rPr>
        <w:t>SD</w:t>
      </w:r>
      <w:r>
        <w:rPr>
          <w:rFonts w:cstheme="minorHAnsi"/>
          <w:b/>
          <w:bCs/>
          <w:sz w:val="24"/>
          <w:szCs w:val="24"/>
        </w:rPr>
        <w:tab/>
      </w:r>
      <w:r w:rsidR="00942CCD">
        <w:rPr>
          <w:rFonts w:cstheme="minorHAnsi"/>
          <w:b/>
          <w:bCs/>
          <w:sz w:val="24"/>
          <w:szCs w:val="24"/>
        </w:rPr>
        <w:t>Shameer Janhangeer</w:t>
      </w:r>
    </w:p>
    <w:p w:rsidR="00942CCD" w:rsidRDefault="00942CCD" w:rsidP="00233282">
      <w:pPr>
        <w:spacing w:after="0"/>
        <w:ind w:right="831" w:firstLine="720"/>
        <w:rPr>
          <w:rFonts w:cstheme="minorHAnsi"/>
          <w:b/>
          <w:bCs/>
          <w:sz w:val="24"/>
          <w:szCs w:val="24"/>
        </w:rPr>
      </w:pPr>
      <w:r>
        <w:rPr>
          <w:rFonts w:cstheme="minorHAnsi"/>
          <w:b/>
          <w:bCs/>
          <w:sz w:val="24"/>
          <w:szCs w:val="24"/>
        </w:rPr>
        <w:t>(Vice-President)</w:t>
      </w:r>
    </w:p>
    <w:p w:rsidR="00942CCD" w:rsidRDefault="00942CCD" w:rsidP="00942CCD">
      <w:pPr>
        <w:spacing w:after="0"/>
        <w:ind w:right="831"/>
        <w:rPr>
          <w:rFonts w:cstheme="minorHAnsi"/>
          <w:b/>
          <w:bCs/>
          <w:sz w:val="24"/>
          <w:szCs w:val="24"/>
        </w:rPr>
      </w:pPr>
    </w:p>
    <w:p w:rsidR="00942CCD" w:rsidRDefault="00942CCD" w:rsidP="00942CCD">
      <w:pPr>
        <w:spacing w:after="0"/>
        <w:ind w:right="831"/>
        <w:rPr>
          <w:rFonts w:cstheme="minorHAnsi"/>
          <w:b/>
          <w:bCs/>
          <w:sz w:val="24"/>
          <w:szCs w:val="24"/>
        </w:rPr>
      </w:pPr>
    </w:p>
    <w:p w:rsidR="00942CCD" w:rsidRDefault="00942CCD" w:rsidP="00942CCD">
      <w:pPr>
        <w:spacing w:after="0"/>
        <w:ind w:right="831"/>
        <w:rPr>
          <w:rFonts w:cstheme="minorHAnsi"/>
          <w:b/>
          <w:bCs/>
          <w:sz w:val="24"/>
          <w:szCs w:val="24"/>
        </w:rPr>
      </w:pPr>
    </w:p>
    <w:p w:rsidR="00942CCD" w:rsidRDefault="00233282" w:rsidP="00942CCD">
      <w:pPr>
        <w:spacing w:after="0"/>
        <w:ind w:right="831"/>
        <w:rPr>
          <w:rFonts w:cstheme="minorHAnsi"/>
          <w:b/>
          <w:bCs/>
          <w:sz w:val="24"/>
          <w:szCs w:val="24"/>
          <w:lang w:val="en-US"/>
        </w:rPr>
      </w:pPr>
      <w:r>
        <w:rPr>
          <w:b/>
          <w:sz w:val="24"/>
          <w:lang w:val="en-US"/>
        </w:rPr>
        <w:t>SD</w:t>
      </w:r>
      <w:r>
        <w:rPr>
          <w:b/>
          <w:sz w:val="24"/>
          <w:lang w:val="en-US"/>
        </w:rPr>
        <w:tab/>
      </w:r>
      <w:r w:rsidR="00942CCD">
        <w:rPr>
          <w:b/>
          <w:sz w:val="24"/>
          <w:lang w:val="en-US"/>
        </w:rPr>
        <w:t>Raffick Hossenbaccus</w:t>
      </w:r>
      <w:r w:rsidR="00942CCD">
        <w:rPr>
          <w:rFonts w:cstheme="minorHAnsi"/>
          <w:b/>
          <w:bCs/>
          <w:sz w:val="24"/>
          <w:szCs w:val="24"/>
          <w:lang w:val="en-US"/>
        </w:rPr>
        <w:t xml:space="preserve"> </w:t>
      </w:r>
    </w:p>
    <w:p w:rsidR="00942CCD" w:rsidRPr="004759C6" w:rsidRDefault="00942CCD" w:rsidP="00233282">
      <w:pPr>
        <w:spacing w:after="0"/>
        <w:ind w:right="831" w:firstLine="720"/>
        <w:rPr>
          <w:rFonts w:cstheme="minorHAnsi"/>
          <w:b/>
          <w:bCs/>
          <w:sz w:val="24"/>
          <w:szCs w:val="24"/>
        </w:rPr>
      </w:pPr>
      <w:r>
        <w:rPr>
          <w:rFonts w:cstheme="minorHAnsi"/>
          <w:b/>
          <w:bCs/>
          <w:sz w:val="24"/>
          <w:szCs w:val="24"/>
          <w:lang w:val="en-US"/>
        </w:rPr>
        <w:t>(Member)</w:t>
      </w:r>
    </w:p>
    <w:p w:rsidR="00942CCD" w:rsidRDefault="00942CCD" w:rsidP="00942CCD">
      <w:pPr>
        <w:spacing w:after="0"/>
        <w:ind w:right="831"/>
        <w:rPr>
          <w:rFonts w:cstheme="minorHAnsi"/>
          <w:b/>
          <w:bCs/>
          <w:sz w:val="24"/>
          <w:szCs w:val="24"/>
          <w:lang w:val="en-US"/>
        </w:rPr>
      </w:pPr>
    </w:p>
    <w:p w:rsidR="00942CCD" w:rsidRDefault="00942CCD" w:rsidP="00942CCD">
      <w:pPr>
        <w:spacing w:after="0"/>
        <w:ind w:right="831"/>
        <w:rPr>
          <w:rFonts w:cstheme="minorHAnsi"/>
          <w:b/>
          <w:bCs/>
          <w:sz w:val="24"/>
          <w:szCs w:val="24"/>
          <w:lang w:val="en-US"/>
        </w:rPr>
      </w:pPr>
    </w:p>
    <w:p w:rsidR="00942CCD" w:rsidRDefault="00942CCD" w:rsidP="00942CCD">
      <w:pPr>
        <w:spacing w:after="0"/>
        <w:ind w:right="831"/>
        <w:rPr>
          <w:rFonts w:cstheme="minorHAnsi"/>
          <w:b/>
          <w:bCs/>
          <w:sz w:val="24"/>
          <w:szCs w:val="24"/>
          <w:lang w:val="en-US"/>
        </w:rPr>
      </w:pPr>
    </w:p>
    <w:p w:rsidR="00942CCD" w:rsidRPr="00DB5072" w:rsidRDefault="00233282" w:rsidP="00942CCD">
      <w:pPr>
        <w:spacing w:after="0"/>
        <w:ind w:right="831"/>
        <w:rPr>
          <w:b/>
          <w:bCs/>
          <w:sz w:val="24"/>
          <w:szCs w:val="24"/>
        </w:rPr>
      </w:pPr>
      <w:r>
        <w:rPr>
          <w:b/>
          <w:bCs/>
          <w:sz w:val="24"/>
          <w:szCs w:val="24"/>
        </w:rPr>
        <w:t>SD</w:t>
      </w:r>
      <w:r>
        <w:rPr>
          <w:b/>
          <w:bCs/>
          <w:sz w:val="24"/>
          <w:szCs w:val="24"/>
        </w:rPr>
        <w:tab/>
      </w:r>
      <w:r w:rsidR="00942CCD">
        <w:rPr>
          <w:b/>
          <w:bCs/>
          <w:sz w:val="24"/>
          <w:szCs w:val="24"/>
        </w:rPr>
        <w:t>Rabin Gungoo</w:t>
      </w:r>
    </w:p>
    <w:p w:rsidR="00942CCD" w:rsidRDefault="00942CCD" w:rsidP="00233282">
      <w:pPr>
        <w:spacing w:after="0"/>
        <w:ind w:right="831" w:firstLine="720"/>
        <w:rPr>
          <w:rFonts w:cstheme="minorHAnsi"/>
          <w:b/>
          <w:bCs/>
          <w:sz w:val="24"/>
          <w:szCs w:val="24"/>
        </w:rPr>
      </w:pPr>
      <w:r>
        <w:rPr>
          <w:rFonts w:cstheme="minorHAnsi"/>
          <w:b/>
          <w:bCs/>
          <w:sz w:val="24"/>
          <w:szCs w:val="24"/>
        </w:rPr>
        <w:t>(Member)</w:t>
      </w:r>
    </w:p>
    <w:p w:rsidR="00942CCD" w:rsidRDefault="00942CCD" w:rsidP="00942CCD">
      <w:pPr>
        <w:spacing w:after="0"/>
        <w:ind w:right="831"/>
        <w:rPr>
          <w:rFonts w:cstheme="minorHAnsi"/>
          <w:b/>
          <w:bCs/>
          <w:sz w:val="24"/>
          <w:szCs w:val="24"/>
        </w:rPr>
      </w:pPr>
    </w:p>
    <w:p w:rsidR="00942CCD" w:rsidRDefault="00942CCD" w:rsidP="00942CCD">
      <w:pPr>
        <w:spacing w:after="0"/>
        <w:ind w:right="831"/>
        <w:rPr>
          <w:rFonts w:cstheme="minorHAnsi"/>
          <w:b/>
          <w:bCs/>
          <w:sz w:val="24"/>
          <w:szCs w:val="24"/>
        </w:rPr>
      </w:pPr>
    </w:p>
    <w:p w:rsidR="00942CCD" w:rsidRDefault="00942CCD" w:rsidP="00942CCD">
      <w:pPr>
        <w:spacing w:after="0"/>
        <w:ind w:right="831"/>
        <w:rPr>
          <w:rFonts w:cstheme="minorHAnsi"/>
          <w:b/>
          <w:bCs/>
          <w:sz w:val="24"/>
          <w:szCs w:val="24"/>
        </w:rPr>
      </w:pPr>
    </w:p>
    <w:p w:rsidR="00942CCD" w:rsidRPr="00036141" w:rsidRDefault="00233282" w:rsidP="00942CCD">
      <w:pPr>
        <w:spacing w:after="0"/>
        <w:ind w:right="831"/>
        <w:rPr>
          <w:rFonts w:cstheme="minorHAnsi"/>
          <w:b/>
          <w:bCs/>
          <w:szCs w:val="24"/>
        </w:rPr>
      </w:pPr>
      <w:r>
        <w:rPr>
          <w:b/>
          <w:sz w:val="24"/>
          <w:lang w:val="en-US"/>
        </w:rPr>
        <w:t>SD</w:t>
      </w:r>
      <w:r>
        <w:rPr>
          <w:b/>
          <w:sz w:val="24"/>
          <w:lang w:val="en-US"/>
        </w:rPr>
        <w:tab/>
      </w:r>
      <w:r w:rsidR="00942CCD">
        <w:rPr>
          <w:b/>
          <w:sz w:val="24"/>
          <w:lang w:val="en-US"/>
        </w:rPr>
        <w:t>Parmeshwar Burosee</w:t>
      </w:r>
      <w:r w:rsidR="00942CCD" w:rsidRPr="00036141">
        <w:rPr>
          <w:b/>
          <w:sz w:val="24"/>
          <w:lang w:val="en-US"/>
        </w:rPr>
        <w:tab/>
      </w:r>
    </w:p>
    <w:p w:rsidR="00942CCD" w:rsidRDefault="00942CCD" w:rsidP="00233282">
      <w:pPr>
        <w:spacing w:after="0"/>
        <w:ind w:right="831" w:firstLine="720"/>
        <w:rPr>
          <w:rFonts w:cstheme="minorHAnsi"/>
          <w:b/>
          <w:bCs/>
          <w:sz w:val="24"/>
          <w:szCs w:val="24"/>
        </w:rPr>
      </w:pPr>
      <w:r>
        <w:rPr>
          <w:rFonts w:cstheme="minorHAnsi"/>
          <w:b/>
          <w:bCs/>
          <w:sz w:val="24"/>
          <w:szCs w:val="24"/>
        </w:rPr>
        <w:t>(Member)</w:t>
      </w:r>
    </w:p>
    <w:p w:rsidR="00942CCD" w:rsidRDefault="00942CCD" w:rsidP="00942CCD">
      <w:pPr>
        <w:spacing w:after="0"/>
        <w:ind w:right="566"/>
        <w:jc w:val="both"/>
        <w:rPr>
          <w:rFonts w:eastAsia="Calibri" w:cstheme="minorHAnsi"/>
          <w:bCs/>
          <w:sz w:val="24"/>
          <w:szCs w:val="24"/>
        </w:rPr>
      </w:pPr>
    </w:p>
    <w:p w:rsidR="00942CCD" w:rsidRDefault="00942CCD" w:rsidP="00942CCD">
      <w:pPr>
        <w:spacing w:after="0"/>
        <w:ind w:right="566"/>
        <w:jc w:val="both"/>
        <w:rPr>
          <w:rFonts w:eastAsia="Calibri" w:cstheme="minorHAnsi"/>
          <w:bCs/>
          <w:sz w:val="24"/>
          <w:szCs w:val="24"/>
        </w:rPr>
      </w:pPr>
    </w:p>
    <w:p w:rsidR="00942CCD" w:rsidRDefault="00942CCD" w:rsidP="00942CCD">
      <w:pPr>
        <w:spacing w:after="0"/>
        <w:ind w:right="540"/>
        <w:jc w:val="both"/>
        <w:rPr>
          <w:rFonts w:eastAsia="Calibri" w:cstheme="minorHAnsi"/>
          <w:bCs/>
          <w:sz w:val="24"/>
          <w:szCs w:val="24"/>
        </w:rPr>
      </w:pPr>
    </w:p>
    <w:p w:rsidR="00942CCD" w:rsidRPr="00DB4A63" w:rsidRDefault="00942CCD" w:rsidP="00942CCD">
      <w:pPr>
        <w:spacing w:after="0"/>
        <w:ind w:right="-360"/>
        <w:jc w:val="both"/>
        <w:rPr>
          <w:sz w:val="24"/>
        </w:rPr>
      </w:pPr>
      <w:r w:rsidRPr="0050727C">
        <w:rPr>
          <w:rFonts w:eastAsia="Calibri" w:cstheme="minorHAnsi"/>
          <w:b/>
          <w:bCs/>
          <w:sz w:val="24"/>
          <w:szCs w:val="24"/>
        </w:rPr>
        <w:t>Date:</w:t>
      </w:r>
      <w:r>
        <w:rPr>
          <w:rFonts w:eastAsia="Calibri" w:cstheme="minorHAnsi"/>
          <w:b/>
          <w:bCs/>
          <w:sz w:val="24"/>
          <w:szCs w:val="24"/>
        </w:rPr>
        <w:tab/>
        <w:t>23</w:t>
      </w:r>
      <w:r w:rsidRPr="00942CCD">
        <w:rPr>
          <w:rFonts w:eastAsia="Calibri" w:cstheme="minorHAnsi"/>
          <w:b/>
          <w:bCs/>
          <w:sz w:val="24"/>
          <w:szCs w:val="24"/>
          <w:vertAlign w:val="superscript"/>
        </w:rPr>
        <w:t>rd</w:t>
      </w:r>
      <w:r>
        <w:rPr>
          <w:rFonts w:eastAsia="Calibri" w:cstheme="minorHAnsi"/>
          <w:b/>
          <w:bCs/>
          <w:sz w:val="24"/>
          <w:szCs w:val="24"/>
        </w:rPr>
        <w:t xml:space="preserve"> May 2018</w:t>
      </w:r>
      <w:r>
        <w:rPr>
          <w:rFonts w:eastAsia="Calibri" w:cstheme="minorHAnsi"/>
          <w:b/>
          <w:bCs/>
          <w:sz w:val="24"/>
          <w:szCs w:val="24"/>
        </w:rPr>
        <w:tab/>
      </w:r>
    </w:p>
    <w:p w:rsidR="00942CCD" w:rsidRPr="00987E6C" w:rsidRDefault="00942CCD" w:rsidP="00942CCD">
      <w:pPr>
        <w:spacing w:after="0" w:line="276" w:lineRule="auto"/>
        <w:jc w:val="both"/>
        <w:rPr>
          <w:sz w:val="28"/>
          <w:lang w:val="en-US"/>
        </w:rPr>
      </w:pPr>
    </w:p>
    <w:p w:rsidR="00942CCD" w:rsidRDefault="00942CCD" w:rsidP="00FF7FAC">
      <w:pPr>
        <w:spacing w:after="0" w:line="276" w:lineRule="auto"/>
        <w:jc w:val="both"/>
        <w:rPr>
          <w:sz w:val="24"/>
          <w:lang w:val="en-US"/>
        </w:rPr>
      </w:pPr>
    </w:p>
    <w:p w:rsidR="00942CCD" w:rsidRDefault="00942CCD" w:rsidP="00FF7FAC">
      <w:pPr>
        <w:spacing w:after="0" w:line="276" w:lineRule="auto"/>
        <w:jc w:val="both"/>
        <w:rPr>
          <w:sz w:val="24"/>
          <w:lang w:val="en-US"/>
        </w:rPr>
      </w:pPr>
    </w:p>
    <w:p w:rsidR="007E6A4E" w:rsidRDefault="0048654E" w:rsidP="00FF7FAC">
      <w:pPr>
        <w:spacing w:after="0" w:line="276" w:lineRule="auto"/>
        <w:jc w:val="both"/>
        <w:rPr>
          <w:sz w:val="24"/>
          <w:lang w:val="en-US"/>
        </w:rPr>
      </w:pPr>
      <w:r>
        <w:rPr>
          <w:sz w:val="24"/>
          <w:lang w:val="en-US"/>
        </w:rPr>
        <w:tab/>
      </w:r>
      <w:r w:rsidR="00D62F4E">
        <w:rPr>
          <w:sz w:val="24"/>
          <w:lang w:val="en-US"/>
        </w:rPr>
        <w:t xml:space="preserve"> </w:t>
      </w:r>
    </w:p>
    <w:p w:rsidR="009B4FA1" w:rsidRPr="009B4FA1" w:rsidRDefault="009B4FA1" w:rsidP="00FF7FAC">
      <w:pPr>
        <w:spacing w:after="0" w:line="276" w:lineRule="auto"/>
        <w:jc w:val="both"/>
        <w:rPr>
          <w:sz w:val="24"/>
          <w:lang w:val="en-US"/>
        </w:rPr>
      </w:pPr>
      <w:r>
        <w:rPr>
          <w:sz w:val="24"/>
          <w:lang w:val="en-US"/>
        </w:rPr>
        <w:tab/>
      </w:r>
    </w:p>
    <w:p w:rsidR="00C1181E" w:rsidRPr="009B4FA1" w:rsidRDefault="00C1181E" w:rsidP="00FF7FAC">
      <w:pPr>
        <w:spacing w:after="0" w:line="276" w:lineRule="auto"/>
        <w:jc w:val="both"/>
        <w:rPr>
          <w:sz w:val="24"/>
          <w:lang w:val="en-US"/>
        </w:rPr>
      </w:pPr>
    </w:p>
    <w:sectPr w:rsidR="00C1181E" w:rsidRPr="009B4F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1F" w:rsidRDefault="0060461F" w:rsidP="002924BC">
      <w:pPr>
        <w:spacing w:after="0" w:line="240" w:lineRule="auto"/>
      </w:pPr>
      <w:r>
        <w:separator/>
      </w:r>
    </w:p>
  </w:endnote>
  <w:endnote w:type="continuationSeparator" w:id="0">
    <w:p w:rsidR="0060461F" w:rsidRDefault="0060461F" w:rsidP="0029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714579"/>
      <w:docPartObj>
        <w:docPartGallery w:val="Page Numbers (Bottom of Page)"/>
        <w:docPartUnique/>
      </w:docPartObj>
    </w:sdtPr>
    <w:sdtEndPr>
      <w:rPr>
        <w:noProof/>
      </w:rPr>
    </w:sdtEndPr>
    <w:sdtContent>
      <w:p w:rsidR="00FE2926" w:rsidRDefault="00FE2926">
        <w:pPr>
          <w:pStyle w:val="Footer"/>
          <w:jc w:val="right"/>
        </w:pPr>
        <w:r>
          <w:fldChar w:fldCharType="begin"/>
        </w:r>
        <w:r>
          <w:instrText xml:space="preserve"> PAGE   \* MERGEFORMAT </w:instrText>
        </w:r>
        <w:r>
          <w:fldChar w:fldCharType="separate"/>
        </w:r>
        <w:r w:rsidR="00D27BCB">
          <w:rPr>
            <w:noProof/>
          </w:rPr>
          <w:t>1</w:t>
        </w:r>
        <w:r>
          <w:rPr>
            <w:noProof/>
          </w:rPr>
          <w:fldChar w:fldCharType="end"/>
        </w:r>
      </w:p>
    </w:sdtContent>
  </w:sdt>
  <w:p w:rsidR="00FE2926" w:rsidRDefault="00FE29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1F" w:rsidRDefault="0060461F" w:rsidP="002924BC">
      <w:pPr>
        <w:spacing w:after="0" w:line="240" w:lineRule="auto"/>
      </w:pPr>
      <w:r>
        <w:separator/>
      </w:r>
    </w:p>
  </w:footnote>
  <w:footnote w:type="continuationSeparator" w:id="0">
    <w:p w:rsidR="0060461F" w:rsidRDefault="0060461F" w:rsidP="00292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E"/>
    <w:rsid w:val="00080778"/>
    <w:rsid w:val="000B4C23"/>
    <w:rsid w:val="00175767"/>
    <w:rsid w:val="00233282"/>
    <w:rsid w:val="00274BB5"/>
    <w:rsid w:val="00291E25"/>
    <w:rsid w:val="002924BC"/>
    <w:rsid w:val="003813E8"/>
    <w:rsid w:val="003A3AF5"/>
    <w:rsid w:val="00453008"/>
    <w:rsid w:val="0048654E"/>
    <w:rsid w:val="004B3342"/>
    <w:rsid w:val="004D0174"/>
    <w:rsid w:val="00537C5E"/>
    <w:rsid w:val="00565533"/>
    <w:rsid w:val="005C7FC2"/>
    <w:rsid w:val="00603BDC"/>
    <w:rsid w:val="0060461F"/>
    <w:rsid w:val="006533A3"/>
    <w:rsid w:val="007661B7"/>
    <w:rsid w:val="00791403"/>
    <w:rsid w:val="007A4BB5"/>
    <w:rsid w:val="007B250A"/>
    <w:rsid w:val="007C20A1"/>
    <w:rsid w:val="007C463A"/>
    <w:rsid w:val="007E6A4E"/>
    <w:rsid w:val="00826A7A"/>
    <w:rsid w:val="008309AF"/>
    <w:rsid w:val="008A7154"/>
    <w:rsid w:val="008B3009"/>
    <w:rsid w:val="008E67DE"/>
    <w:rsid w:val="008F1AF0"/>
    <w:rsid w:val="0093267F"/>
    <w:rsid w:val="00942CCD"/>
    <w:rsid w:val="009B4FA1"/>
    <w:rsid w:val="009B6CCB"/>
    <w:rsid w:val="00A1404B"/>
    <w:rsid w:val="00A3150F"/>
    <w:rsid w:val="00A36F77"/>
    <w:rsid w:val="00A44A8B"/>
    <w:rsid w:val="00AF66A0"/>
    <w:rsid w:val="00B246F3"/>
    <w:rsid w:val="00BA36C1"/>
    <w:rsid w:val="00BE639A"/>
    <w:rsid w:val="00C1181E"/>
    <w:rsid w:val="00C1584A"/>
    <w:rsid w:val="00C21D0B"/>
    <w:rsid w:val="00C2522D"/>
    <w:rsid w:val="00C53A40"/>
    <w:rsid w:val="00C70284"/>
    <w:rsid w:val="00D027BE"/>
    <w:rsid w:val="00D06E81"/>
    <w:rsid w:val="00D27BCB"/>
    <w:rsid w:val="00D3590E"/>
    <w:rsid w:val="00D62F4E"/>
    <w:rsid w:val="00D66B9A"/>
    <w:rsid w:val="00DB67CB"/>
    <w:rsid w:val="00DB68D9"/>
    <w:rsid w:val="00DD256A"/>
    <w:rsid w:val="00DF2CA8"/>
    <w:rsid w:val="00E2299A"/>
    <w:rsid w:val="00E34FA6"/>
    <w:rsid w:val="00E6020E"/>
    <w:rsid w:val="00F00393"/>
    <w:rsid w:val="00F10243"/>
    <w:rsid w:val="00F74B60"/>
    <w:rsid w:val="00F87B1F"/>
    <w:rsid w:val="00FB2F69"/>
    <w:rsid w:val="00FB3A04"/>
    <w:rsid w:val="00FE292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958A9-6DC9-4BD2-8655-9C6206A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BC"/>
    <w:rPr>
      <w:lang w:val="en-GB"/>
    </w:rPr>
  </w:style>
  <w:style w:type="paragraph" w:styleId="Footer">
    <w:name w:val="footer"/>
    <w:basedOn w:val="Normal"/>
    <w:link w:val="FooterChar"/>
    <w:uiPriority w:val="99"/>
    <w:unhideWhenUsed/>
    <w:rsid w:val="0029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BC"/>
    <w:rPr>
      <w:lang w:val="en-GB"/>
    </w:rPr>
  </w:style>
  <w:style w:type="paragraph" w:styleId="BalloonText">
    <w:name w:val="Balloon Text"/>
    <w:basedOn w:val="Normal"/>
    <w:link w:val="BalloonTextChar"/>
    <w:uiPriority w:val="99"/>
    <w:semiHidden/>
    <w:unhideWhenUsed/>
    <w:rsid w:val="00B2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6F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831">
      <w:bodyDiv w:val="1"/>
      <w:marLeft w:val="0"/>
      <w:marRight w:val="0"/>
      <w:marTop w:val="0"/>
      <w:marBottom w:val="0"/>
      <w:divBdr>
        <w:top w:val="none" w:sz="0" w:space="0" w:color="auto"/>
        <w:left w:val="none" w:sz="0" w:space="0" w:color="auto"/>
        <w:bottom w:val="none" w:sz="0" w:space="0" w:color="auto"/>
        <w:right w:val="none" w:sz="0" w:space="0" w:color="auto"/>
      </w:divBdr>
      <w:divsChild>
        <w:div w:id="1272512873">
          <w:marLeft w:val="0"/>
          <w:marRight w:val="0"/>
          <w:marTop w:val="0"/>
          <w:marBottom w:val="0"/>
          <w:divBdr>
            <w:top w:val="none" w:sz="0" w:space="0" w:color="auto"/>
            <w:left w:val="none" w:sz="0" w:space="0" w:color="auto"/>
            <w:bottom w:val="none" w:sz="0" w:space="0" w:color="auto"/>
            <w:right w:val="none" w:sz="0" w:space="0" w:color="auto"/>
          </w:divBdr>
        </w:div>
        <w:div w:id="409080482">
          <w:marLeft w:val="0"/>
          <w:marRight w:val="0"/>
          <w:marTop w:val="0"/>
          <w:marBottom w:val="0"/>
          <w:divBdr>
            <w:top w:val="none" w:sz="0" w:space="0" w:color="auto"/>
            <w:left w:val="none" w:sz="0" w:space="0" w:color="auto"/>
            <w:bottom w:val="none" w:sz="0" w:space="0" w:color="auto"/>
            <w:right w:val="none" w:sz="0" w:space="0" w:color="auto"/>
          </w:divBdr>
        </w:div>
        <w:div w:id="1636836359">
          <w:marLeft w:val="0"/>
          <w:marRight w:val="0"/>
          <w:marTop w:val="0"/>
          <w:marBottom w:val="0"/>
          <w:divBdr>
            <w:top w:val="none" w:sz="0" w:space="0" w:color="auto"/>
            <w:left w:val="none" w:sz="0" w:space="0" w:color="auto"/>
            <w:bottom w:val="none" w:sz="0" w:space="0" w:color="auto"/>
            <w:right w:val="none" w:sz="0" w:space="0" w:color="auto"/>
          </w:divBdr>
        </w:div>
        <w:div w:id="762071505">
          <w:marLeft w:val="0"/>
          <w:marRight w:val="0"/>
          <w:marTop w:val="0"/>
          <w:marBottom w:val="0"/>
          <w:divBdr>
            <w:top w:val="none" w:sz="0" w:space="0" w:color="auto"/>
            <w:left w:val="none" w:sz="0" w:space="0" w:color="auto"/>
            <w:bottom w:val="none" w:sz="0" w:space="0" w:color="auto"/>
            <w:right w:val="none" w:sz="0" w:space="0" w:color="auto"/>
          </w:divBdr>
        </w:div>
        <w:div w:id="32001220">
          <w:marLeft w:val="0"/>
          <w:marRight w:val="0"/>
          <w:marTop w:val="0"/>
          <w:marBottom w:val="0"/>
          <w:divBdr>
            <w:top w:val="none" w:sz="0" w:space="0" w:color="auto"/>
            <w:left w:val="none" w:sz="0" w:space="0" w:color="auto"/>
            <w:bottom w:val="none" w:sz="0" w:space="0" w:color="auto"/>
            <w:right w:val="none" w:sz="0" w:space="0" w:color="auto"/>
          </w:divBdr>
        </w:div>
        <w:div w:id="141431076">
          <w:marLeft w:val="0"/>
          <w:marRight w:val="0"/>
          <w:marTop w:val="0"/>
          <w:marBottom w:val="0"/>
          <w:divBdr>
            <w:top w:val="none" w:sz="0" w:space="0" w:color="auto"/>
            <w:left w:val="none" w:sz="0" w:space="0" w:color="auto"/>
            <w:bottom w:val="none" w:sz="0" w:space="0" w:color="auto"/>
            <w:right w:val="none" w:sz="0" w:space="0" w:color="auto"/>
          </w:divBdr>
        </w:div>
        <w:div w:id="312830937">
          <w:marLeft w:val="0"/>
          <w:marRight w:val="0"/>
          <w:marTop w:val="0"/>
          <w:marBottom w:val="0"/>
          <w:divBdr>
            <w:top w:val="none" w:sz="0" w:space="0" w:color="auto"/>
            <w:left w:val="none" w:sz="0" w:space="0" w:color="auto"/>
            <w:bottom w:val="none" w:sz="0" w:space="0" w:color="auto"/>
            <w:right w:val="none" w:sz="0" w:space="0" w:color="auto"/>
          </w:divBdr>
        </w:div>
      </w:divsChild>
    </w:div>
    <w:div w:id="19038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315B62-EDAB-40BF-AB43-60D0F60B0700}"/>
</file>

<file path=customXml/itemProps2.xml><?xml version="1.0" encoding="utf-8"?>
<ds:datastoreItem xmlns:ds="http://schemas.openxmlformats.org/officeDocument/2006/customXml" ds:itemID="{E0A4EA25-B94D-4AE1-941E-43214063EE09}"/>
</file>

<file path=customXml/itemProps3.xml><?xml version="1.0" encoding="utf-8"?>
<ds:datastoreItem xmlns:ds="http://schemas.openxmlformats.org/officeDocument/2006/customXml" ds:itemID="{CA2F595F-5B07-46BF-BE6B-45ACEB301C4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2018-05-23T06:06:00Z</cp:lastPrinted>
  <dcterms:created xsi:type="dcterms:W3CDTF">2018-05-24T09:39:00Z</dcterms:created>
  <dcterms:modified xsi:type="dcterms:W3CDTF">2018-05-24T09:39:00Z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143100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