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BC" w:rsidRDefault="00B853BC" w:rsidP="00992582">
      <w:pPr>
        <w:spacing w:after="0" w:line="360" w:lineRule="auto"/>
        <w:jc w:val="center"/>
        <w:rPr>
          <w:b/>
          <w:sz w:val="32"/>
          <w:lang w:val="en-US"/>
        </w:rPr>
      </w:pPr>
      <w:r w:rsidRPr="00D602F9">
        <w:rPr>
          <w:b/>
          <w:sz w:val="32"/>
          <w:lang w:val="en-US"/>
        </w:rPr>
        <w:t>EMPLOYMENT RELATIONS TRIBUNAL</w:t>
      </w:r>
    </w:p>
    <w:p w:rsidR="00992582" w:rsidRPr="00992582" w:rsidRDefault="00992582" w:rsidP="00992582">
      <w:pPr>
        <w:spacing w:after="0" w:line="360" w:lineRule="auto"/>
        <w:jc w:val="center"/>
        <w:rPr>
          <w:b/>
          <w:sz w:val="24"/>
          <w:lang w:val="en-US"/>
        </w:rPr>
      </w:pPr>
    </w:p>
    <w:p w:rsidR="00B853BC" w:rsidRPr="00356D7F" w:rsidRDefault="00B853BC" w:rsidP="00B853BC">
      <w:pPr>
        <w:spacing w:after="0" w:line="360" w:lineRule="auto"/>
        <w:jc w:val="both"/>
        <w:rPr>
          <w:b/>
          <w:sz w:val="24"/>
          <w:lang w:val="en-US"/>
        </w:rPr>
      </w:pPr>
      <w:r>
        <w:rPr>
          <w:b/>
          <w:sz w:val="24"/>
          <w:lang w:val="en-US"/>
        </w:rPr>
        <w:t>ERT/RN 143</w:t>
      </w:r>
      <w:r w:rsidRPr="00356D7F">
        <w:rPr>
          <w:b/>
          <w:sz w:val="24"/>
          <w:lang w:val="en-US"/>
        </w:rPr>
        <w:t>/201</w:t>
      </w:r>
      <w:r>
        <w:rPr>
          <w:b/>
          <w:sz w:val="24"/>
          <w:lang w:val="en-US"/>
        </w:rPr>
        <w:t>7</w:t>
      </w:r>
    </w:p>
    <w:p w:rsidR="00B853BC" w:rsidRPr="006B3207" w:rsidRDefault="00B853BC" w:rsidP="00B853BC">
      <w:pPr>
        <w:spacing w:after="0" w:line="360" w:lineRule="auto"/>
        <w:jc w:val="center"/>
        <w:rPr>
          <w:b/>
          <w:sz w:val="32"/>
          <w:lang w:val="en-US"/>
        </w:rPr>
      </w:pPr>
      <w:r>
        <w:rPr>
          <w:b/>
          <w:sz w:val="32"/>
          <w:lang w:val="en-US"/>
        </w:rPr>
        <w:t>RULING</w:t>
      </w:r>
    </w:p>
    <w:p w:rsidR="00B853BC" w:rsidRPr="00356D7F" w:rsidRDefault="00B853BC" w:rsidP="00B853BC">
      <w:pPr>
        <w:spacing w:after="0" w:line="360" w:lineRule="auto"/>
        <w:jc w:val="both"/>
        <w:rPr>
          <w:b/>
          <w:sz w:val="24"/>
          <w:lang w:val="en-US"/>
        </w:rPr>
      </w:pPr>
      <w:r w:rsidRPr="00356D7F">
        <w:rPr>
          <w:b/>
          <w:sz w:val="24"/>
          <w:lang w:val="en-US"/>
        </w:rPr>
        <w:t>Before:</w:t>
      </w:r>
      <w:r>
        <w:rPr>
          <w:b/>
          <w:sz w:val="24"/>
          <w:lang w:val="en-US"/>
        </w:rPr>
        <w:t xml:space="preserve"> - </w:t>
      </w:r>
    </w:p>
    <w:p w:rsidR="00B853BC" w:rsidRPr="00356D7F" w:rsidRDefault="00B853BC" w:rsidP="00B853BC">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B853BC" w:rsidRPr="005039FB" w:rsidRDefault="00B853BC" w:rsidP="00B853BC">
      <w:pPr>
        <w:spacing w:after="0" w:line="360" w:lineRule="auto"/>
        <w:ind w:left="1440"/>
        <w:jc w:val="both"/>
        <w:rPr>
          <w:b/>
          <w:sz w:val="24"/>
          <w:lang w:val="en-US"/>
        </w:rPr>
      </w:pPr>
      <w:r w:rsidRPr="005039FB">
        <w:rPr>
          <w:rFonts w:cstheme="minorHAnsi"/>
          <w:b/>
          <w:bCs/>
          <w:sz w:val="24"/>
          <w:szCs w:val="28"/>
          <w:lang w:val="en-US"/>
        </w:rPr>
        <w:t xml:space="preserve">Marie </w:t>
      </w:r>
      <w:proofErr w:type="spellStart"/>
      <w:r w:rsidRPr="005039FB">
        <w:rPr>
          <w:rFonts w:cstheme="minorHAnsi"/>
          <w:b/>
          <w:bCs/>
          <w:sz w:val="24"/>
          <w:szCs w:val="28"/>
          <w:lang w:val="en-US"/>
        </w:rPr>
        <w:t>Désirée</w:t>
      </w:r>
      <w:proofErr w:type="spellEnd"/>
      <w:r w:rsidRPr="005039FB">
        <w:rPr>
          <w:rFonts w:cstheme="minorHAnsi"/>
          <w:b/>
          <w:bCs/>
          <w:sz w:val="24"/>
          <w:szCs w:val="28"/>
          <w:lang w:val="en-US"/>
        </w:rPr>
        <w:t xml:space="preserve"> Lily </w:t>
      </w:r>
      <w:proofErr w:type="spellStart"/>
      <w:r w:rsidRPr="005039FB">
        <w:rPr>
          <w:rFonts w:cstheme="minorHAnsi"/>
          <w:b/>
          <w:bCs/>
          <w:sz w:val="24"/>
          <w:szCs w:val="28"/>
          <w:lang w:val="en-US"/>
        </w:rPr>
        <w:t>Lactive</w:t>
      </w:r>
      <w:proofErr w:type="spellEnd"/>
      <w:r w:rsidRPr="005039FB">
        <w:rPr>
          <w:rFonts w:cstheme="minorHAnsi"/>
          <w:b/>
          <w:bCs/>
          <w:sz w:val="24"/>
          <w:szCs w:val="28"/>
          <w:lang w:val="en-US"/>
        </w:rPr>
        <w:t xml:space="preserve"> (Ms)</w:t>
      </w:r>
      <w:r w:rsidRPr="005039FB">
        <w:rPr>
          <w:b/>
          <w:lang w:val="en-US"/>
        </w:rPr>
        <w:tab/>
      </w:r>
      <w:r w:rsidRPr="005039FB">
        <w:rPr>
          <w:b/>
          <w:sz w:val="24"/>
          <w:lang w:val="en-US"/>
        </w:rPr>
        <w:tab/>
      </w:r>
      <w:r w:rsidRPr="005039FB">
        <w:rPr>
          <w:b/>
          <w:sz w:val="24"/>
          <w:lang w:val="en-US"/>
        </w:rPr>
        <w:tab/>
        <w:t>Member</w:t>
      </w:r>
    </w:p>
    <w:p w:rsidR="00B853BC" w:rsidRPr="00356D7F" w:rsidRDefault="00B853BC" w:rsidP="00B853BC">
      <w:pPr>
        <w:spacing w:after="0" w:line="360" w:lineRule="auto"/>
        <w:ind w:left="1440"/>
        <w:jc w:val="both"/>
        <w:rPr>
          <w:b/>
          <w:sz w:val="24"/>
          <w:lang w:val="en-US"/>
        </w:rPr>
      </w:pPr>
      <w:r>
        <w:rPr>
          <w:b/>
          <w:sz w:val="24"/>
          <w:lang w:val="en-US"/>
        </w:rPr>
        <w:t xml:space="preserve">Eddy </w:t>
      </w:r>
      <w:proofErr w:type="spellStart"/>
      <w:r>
        <w:rPr>
          <w:b/>
          <w:sz w:val="24"/>
          <w:lang w:val="en-US"/>
        </w:rPr>
        <w:t>Appasamy</w:t>
      </w:r>
      <w:proofErr w:type="spellEnd"/>
      <w:r>
        <w:rPr>
          <w:b/>
          <w:sz w:val="24"/>
          <w:lang w:val="en-US"/>
        </w:rPr>
        <w:tab/>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B853BC" w:rsidRPr="00356D7F" w:rsidRDefault="00B853BC" w:rsidP="00B853BC">
      <w:pPr>
        <w:spacing w:after="0" w:line="360" w:lineRule="auto"/>
        <w:ind w:left="1440"/>
        <w:jc w:val="both"/>
        <w:rPr>
          <w:b/>
          <w:sz w:val="24"/>
          <w:lang w:val="en-US"/>
        </w:rPr>
      </w:pPr>
      <w:r>
        <w:rPr>
          <w:b/>
          <w:sz w:val="24"/>
          <w:lang w:val="en-US"/>
        </w:rPr>
        <w:t xml:space="preserve">Kevin C. </w:t>
      </w:r>
      <w:proofErr w:type="spellStart"/>
      <w:r>
        <w:rPr>
          <w:b/>
          <w:sz w:val="24"/>
          <w:lang w:val="en-US"/>
        </w:rPr>
        <w:t>Lukeeram</w:t>
      </w:r>
      <w:proofErr w:type="spellEnd"/>
      <w:r>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B853BC" w:rsidRPr="00356D7F" w:rsidRDefault="00B853BC" w:rsidP="00B853BC">
      <w:pPr>
        <w:spacing w:after="0" w:line="360" w:lineRule="auto"/>
        <w:jc w:val="both"/>
        <w:rPr>
          <w:b/>
          <w:sz w:val="24"/>
          <w:lang w:val="en-US"/>
        </w:rPr>
      </w:pPr>
    </w:p>
    <w:p w:rsidR="00B853BC" w:rsidRPr="00B853BC" w:rsidRDefault="00B853BC" w:rsidP="00B853BC">
      <w:pPr>
        <w:spacing w:after="0" w:line="360" w:lineRule="auto"/>
        <w:jc w:val="both"/>
        <w:rPr>
          <w:b/>
          <w:sz w:val="24"/>
          <w:lang w:val="en-US"/>
        </w:rPr>
      </w:pPr>
      <w:r w:rsidRPr="00356D7F">
        <w:rPr>
          <w:b/>
          <w:sz w:val="24"/>
          <w:lang w:val="en-US"/>
        </w:rPr>
        <w:t>In the matter of: -</w:t>
      </w:r>
    </w:p>
    <w:p w:rsidR="00B853BC" w:rsidRPr="00E77320" w:rsidRDefault="00B853BC" w:rsidP="00B853BC">
      <w:pPr>
        <w:spacing w:after="0" w:line="276" w:lineRule="auto"/>
        <w:jc w:val="center"/>
        <w:rPr>
          <w:b/>
          <w:sz w:val="28"/>
        </w:rPr>
      </w:pPr>
      <w:r>
        <w:rPr>
          <w:b/>
          <w:sz w:val="28"/>
        </w:rPr>
        <w:t xml:space="preserve">Mr </w:t>
      </w:r>
      <w:proofErr w:type="spellStart"/>
      <w:r>
        <w:rPr>
          <w:b/>
          <w:sz w:val="28"/>
        </w:rPr>
        <w:t>Mahadeo</w:t>
      </w:r>
      <w:proofErr w:type="spellEnd"/>
      <w:r>
        <w:rPr>
          <w:b/>
          <w:sz w:val="28"/>
        </w:rPr>
        <w:t xml:space="preserve"> ROOPSING</w:t>
      </w:r>
    </w:p>
    <w:p w:rsidR="00B853BC" w:rsidRPr="00E77320" w:rsidRDefault="00B853BC" w:rsidP="00B853BC">
      <w:pPr>
        <w:spacing w:after="0" w:line="276" w:lineRule="auto"/>
        <w:jc w:val="right"/>
        <w:rPr>
          <w:i/>
          <w:sz w:val="24"/>
        </w:rPr>
      </w:pPr>
      <w:r>
        <w:rPr>
          <w:i/>
          <w:sz w:val="24"/>
        </w:rPr>
        <w:t>Disputa</w:t>
      </w:r>
      <w:r w:rsidRPr="00E77320">
        <w:rPr>
          <w:i/>
          <w:sz w:val="24"/>
        </w:rPr>
        <w:t>nt</w:t>
      </w:r>
    </w:p>
    <w:p w:rsidR="00B853BC" w:rsidRDefault="00B853BC" w:rsidP="00B853BC">
      <w:pPr>
        <w:spacing w:after="0" w:line="276" w:lineRule="auto"/>
        <w:jc w:val="center"/>
        <w:rPr>
          <w:b/>
          <w:sz w:val="24"/>
        </w:rPr>
      </w:pPr>
      <w:r>
        <w:rPr>
          <w:b/>
          <w:sz w:val="24"/>
        </w:rPr>
        <w:t>a</w:t>
      </w:r>
      <w:r w:rsidRPr="00B44C54">
        <w:rPr>
          <w:b/>
          <w:sz w:val="24"/>
        </w:rPr>
        <w:t>nd</w:t>
      </w:r>
    </w:p>
    <w:p w:rsidR="00B853BC" w:rsidRPr="00B44C54" w:rsidRDefault="00B853BC" w:rsidP="00B853BC">
      <w:pPr>
        <w:spacing w:after="0" w:line="276" w:lineRule="auto"/>
        <w:jc w:val="center"/>
        <w:rPr>
          <w:b/>
          <w:sz w:val="24"/>
        </w:rPr>
      </w:pPr>
    </w:p>
    <w:p w:rsidR="00B853BC" w:rsidRDefault="00B853BC" w:rsidP="00B853BC">
      <w:pPr>
        <w:spacing w:after="0" w:line="276" w:lineRule="auto"/>
        <w:jc w:val="center"/>
        <w:rPr>
          <w:b/>
          <w:sz w:val="28"/>
        </w:rPr>
      </w:pPr>
      <w:r>
        <w:rPr>
          <w:b/>
          <w:sz w:val="28"/>
        </w:rPr>
        <w:t>THE STATE OF MAURITIUS</w:t>
      </w:r>
    </w:p>
    <w:p w:rsidR="00B853BC" w:rsidRDefault="00B853BC" w:rsidP="00B853BC">
      <w:pPr>
        <w:spacing w:after="0" w:line="276" w:lineRule="auto"/>
        <w:jc w:val="center"/>
        <w:rPr>
          <w:b/>
          <w:sz w:val="28"/>
        </w:rPr>
      </w:pPr>
      <w:r>
        <w:rPr>
          <w:b/>
          <w:sz w:val="28"/>
        </w:rPr>
        <w:t>as represented by the</w:t>
      </w:r>
    </w:p>
    <w:p w:rsidR="00B853BC" w:rsidRPr="00E77320" w:rsidRDefault="00B853BC" w:rsidP="00B853BC">
      <w:pPr>
        <w:spacing w:after="0" w:line="276" w:lineRule="auto"/>
        <w:jc w:val="center"/>
        <w:rPr>
          <w:b/>
          <w:sz w:val="28"/>
        </w:rPr>
      </w:pPr>
      <w:r>
        <w:rPr>
          <w:b/>
          <w:sz w:val="28"/>
        </w:rPr>
        <w:t>Ministry of Civil Service and Administrative Reforms</w:t>
      </w:r>
    </w:p>
    <w:p w:rsidR="00B853BC" w:rsidRDefault="00B853BC" w:rsidP="00B853BC">
      <w:pPr>
        <w:spacing w:after="0" w:line="276" w:lineRule="auto"/>
        <w:jc w:val="right"/>
        <w:rPr>
          <w:i/>
          <w:sz w:val="24"/>
        </w:rPr>
      </w:pPr>
      <w:r w:rsidRPr="00E77320">
        <w:rPr>
          <w:i/>
          <w:sz w:val="24"/>
        </w:rPr>
        <w:t>Respondent</w:t>
      </w:r>
    </w:p>
    <w:p w:rsidR="005470FA" w:rsidRDefault="005470FA" w:rsidP="00F146B9">
      <w:pPr>
        <w:spacing w:after="0"/>
        <w:jc w:val="both"/>
        <w:rPr>
          <w:sz w:val="24"/>
        </w:rPr>
      </w:pPr>
    </w:p>
    <w:p w:rsidR="00B853BC" w:rsidRDefault="00B853BC" w:rsidP="00F146B9">
      <w:pPr>
        <w:spacing w:after="0"/>
        <w:jc w:val="both"/>
        <w:rPr>
          <w:sz w:val="24"/>
          <w:lang w:val="en-US"/>
        </w:rPr>
      </w:pPr>
    </w:p>
    <w:p w:rsidR="005470FA" w:rsidRDefault="005470FA" w:rsidP="00F146B9">
      <w:pPr>
        <w:spacing w:after="0"/>
        <w:jc w:val="both"/>
        <w:rPr>
          <w:sz w:val="24"/>
          <w:lang w:val="en-US"/>
        </w:rPr>
      </w:pPr>
      <w:r>
        <w:rPr>
          <w:sz w:val="24"/>
          <w:lang w:val="en-US"/>
        </w:rPr>
        <w:tab/>
        <w:t>The present matter has been referred to the Tribunal by the Commission for Conciliation and Mediation</w:t>
      </w:r>
      <w:r w:rsidR="00ED2403">
        <w:rPr>
          <w:sz w:val="24"/>
          <w:lang w:val="en-US"/>
        </w:rPr>
        <w:t xml:space="preserve"> (the “CCM”)</w:t>
      </w:r>
      <w:r>
        <w:rPr>
          <w:sz w:val="24"/>
          <w:lang w:val="en-US"/>
        </w:rPr>
        <w:t xml:space="preserve"> pursuant to </w:t>
      </w:r>
      <w:r w:rsidRPr="005470FA">
        <w:rPr>
          <w:i/>
          <w:sz w:val="24"/>
          <w:lang w:val="en-US"/>
        </w:rPr>
        <w:t>section 69 (7)</w:t>
      </w:r>
      <w:r>
        <w:rPr>
          <w:sz w:val="24"/>
          <w:lang w:val="en-US"/>
        </w:rPr>
        <w:t xml:space="preserve"> of the </w:t>
      </w:r>
      <w:r w:rsidRPr="005470FA">
        <w:rPr>
          <w:i/>
          <w:sz w:val="24"/>
          <w:lang w:val="en-US"/>
        </w:rPr>
        <w:t>Employment Relations Act</w:t>
      </w:r>
      <w:r w:rsidR="002754B4">
        <w:rPr>
          <w:sz w:val="24"/>
          <w:lang w:val="en-US"/>
        </w:rPr>
        <w:t xml:space="preserve"> (the “</w:t>
      </w:r>
      <w:r w:rsidR="002754B4" w:rsidRPr="002754B4">
        <w:rPr>
          <w:i/>
          <w:sz w:val="24"/>
          <w:lang w:val="en-US"/>
        </w:rPr>
        <w:t>Act</w:t>
      </w:r>
      <w:r w:rsidR="002754B4">
        <w:rPr>
          <w:sz w:val="24"/>
          <w:lang w:val="en-US"/>
        </w:rPr>
        <w:t>”)</w:t>
      </w:r>
      <w:r>
        <w:rPr>
          <w:sz w:val="24"/>
          <w:lang w:val="en-US"/>
        </w:rPr>
        <w:t>. The Terms of Reference of the dispute reads as follows:</w:t>
      </w:r>
    </w:p>
    <w:p w:rsidR="005470FA" w:rsidRPr="00DE53A6" w:rsidRDefault="005470FA" w:rsidP="00F146B9">
      <w:pPr>
        <w:spacing w:after="0"/>
        <w:jc w:val="both"/>
        <w:rPr>
          <w:sz w:val="24"/>
          <w:lang w:val="en-US"/>
        </w:rPr>
      </w:pPr>
    </w:p>
    <w:p w:rsidR="005470FA" w:rsidRPr="00DE53A6" w:rsidRDefault="005470FA" w:rsidP="00A4677D">
      <w:pPr>
        <w:spacing w:after="0"/>
        <w:ind w:left="720" w:right="900"/>
        <w:jc w:val="both"/>
        <w:rPr>
          <w:i/>
          <w:sz w:val="24"/>
          <w:lang w:val="en-US"/>
        </w:rPr>
      </w:pPr>
      <w:r w:rsidRPr="00DE53A6">
        <w:rPr>
          <w:i/>
          <w:sz w:val="24"/>
          <w:lang w:val="en-US"/>
        </w:rPr>
        <w:t xml:space="preserve">Whether I should be granted Incremental Credit as per paragraph 18.9.19 of the Pay Research Bureau (PRB) Report 2013 for the Bachelor in science degree in Management awarded to me in December 2015 or be paid the relevant non-pensionable lump sum for same as per para. 18.9.16 (v) of the PRB Report 2016. </w:t>
      </w:r>
    </w:p>
    <w:p w:rsidR="005470FA" w:rsidRPr="006668BB" w:rsidRDefault="005470FA" w:rsidP="00F146B9">
      <w:pPr>
        <w:spacing w:after="0"/>
        <w:jc w:val="both"/>
        <w:rPr>
          <w:sz w:val="24"/>
          <w:lang w:val="en-US"/>
        </w:rPr>
      </w:pPr>
    </w:p>
    <w:p w:rsidR="00E43F48" w:rsidRDefault="00E43F48" w:rsidP="00F146B9">
      <w:pPr>
        <w:spacing w:after="0"/>
        <w:jc w:val="both"/>
        <w:rPr>
          <w:sz w:val="24"/>
          <w:lang w:val="en-US"/>
        </w:rPr>
      </w:pPr>
    </w:p>
    <w:p w:rsidR="005470FA" w:rsidRDefault="00E43F48" w:rsidP="00F146B9">
      <w:pPr>
        <w:spacing w:after="0"/>
        <w:jc w:val="both"/>
        <w:rPr>
          <w:sz w:val="24"/>
          <w:lang w:val="en-US"/>
        </w:rPr>
      </w:pPr>
      <w:r>
        <w:rPr>
          <w:sz w:val="24"/>
          <w:lang w:val="en-US"/>
        </w:rPr>
        <w:tab/>
        <w:t xml:space="preserve">The Disputant was assisted by his trade union representative Mr N. Gopee. Whereas, the Respondent was assisted by </w:t>
      </w:r>
      <w:r w:rsidR="00D01059">
        <w:rPr>
          <w:sz w:val="24"/>
          <w:lang w:val="en-US"/>
        </w:rPr>
        <w:t xml:space="preserve">Miss B. H. Maherally, </w:t>
      </w:r>
      <w:r>
        <w:rPr>
          <w:sz w:val="24"/>
          <w:lang w:val="en-US"/>
        </w:rPr>
        <w:t xml:space="preserve">State Counsel instructed by </w:t>
      </w:r>
      <w:r w:rsidR="00D01059">
        <w:rPr>
          <w:sz w:val="24"/>
          <w:lang w:val="en-US"/>
        </w:rPr>
        <w:t xml:space="preserve">Ms A. </w:t>
      </w:r>
      <w:proofErr w:type="spellStart"/>
      <w:r w:rsidR="00D01059">
        <w:rPr>
          <w:sz w:val="24"/>
          <w:lang w:val="en-US"/>
        </w:rPr>
        <w:lastRenderedPageBreak/>
        <w:t>Mohun</w:t>
      </w:r>
      <w:proofErr w:type="spellEnd"/>
      <w:r w:rsidR="00D01059">
        <w:rPr>
          <w:sz w:val="24"/>
          <w:lang w:val="en-US"/>
        </w:rPr>
        <w:t xml:space="preserve">, </w:t>
      </w:r>
      <w:r>
        <w:rPr>
          <w:sz w:val="24"/>
          <w:lang w:val="en-US"/>
        </w:rPr>
        <w:t xml:space="preserve">State Attorney. </w:t>
      </w:r>
      <w:r w:rsidR="005470FA">
        <w:rPr>
          <w:sz w:val="24"/>
          <w:lang w:val="en-US"/>
        </w:rPr>
        <w:t>The Respondent has</w:t>
      </w:r>
      <w:r w:rsidR="00D01059">
        <w:rPr>
          <w:sz w:val="24"/>
          <w:lang w:val="en-US"/>
        </w:rPr>
        <w:t>, in its Statement of Reply,</w:t>
      </w:r>
      <w:r w:rsidR="005470FA">
        <w:rPr>
          <w:sz w:val="24"/>
          <w:lang w:val="en-US"/>
        </w:rPr>
        <w:t xml:space="preserve"> raised a threefold Preliminary Objection in Law to the dispute in t</w:t>
      </w:r>
      <w:r w:rsidR="00D01059">
        <w:rPr>
          <w:sz w:val="24"/>
          <w:lang w:val="en-US"/>
        </w:rPr>
        <w:t>he present matter. This states</w:t>
      </w:r>
      <w:r w:rsidR="005470FA">
        <w:rPr>
          <w:sz w:val="24"/>
          <w:lang w:val="en-US"/>
        </w:rPr>
        <w:t xml:space="preserve"> as follows:</w:t>
      </w:r>
    </w:p>
    <w:p w:rsidR="005470FA" w:rsidRPr="00DE53A6" w:rsidRDefault="005470FA" w:rsidP="00F146B9">
      <w:pPr>
        <w:spacing w:after="0"/>
        <w:jc w:val="both"/>
        <w:rPr>
          <w:sz w:val="24"/>
          <w:lang w:val="en-US"/>
        </w:rPr>
      </w:pPr>
    </w:p>
    <w:p w:rsidR="005470FA" w:rsidRPr="00DE53A6" w:rsidRDefault="005470FA" w:rsidP="00F17900">
      <w:pPr>
        <w:spacing w:after="0"/>
        <w:ind w:left="720" w:right="900"/>
        <w:jc w:val="both"/>
        <w:rPr>
          <w:i/>
          <w:sz w:val="24"/>
          <w:lang w:val="en-US"/>
        </w:rPr>
      </w:pPr>
      <w:r w:rsidRPr="00DE53A6">
        <w:rPr>
          <w:i/>
          <w:sz w:val="24"/>
          <w:lang w:val="en-US"/>
        </w:rPr>
        <w:t>Respondent avers that the Tribunal has no jurisdiction to deal with the present matter inasmuch as-</w:t>
      </w:r>
    </w:p>
    <w:p w:rsidR="005470FA" w:rsidRPr="00DE53A6" w:rsidRDefault="005470FA" w:rsidP="00F17900">
      <w:pPr>
        <w:spacing w:after="0"/>
        <w:ind w:right="900"/>
        <w:jc w:val="both"/>
        <w:rPr>
          <w:i/>
          <w:sz w:val="24"/>
          <w:lang w:val="en-US"/>
        </w:rPr>
      </w:pPr>
    </w:p>
    <w:p w:rsidR="00F17900" w:rsidRDefault="00817EE3" w:rsidP="00817EE3">
      <w:pPr>
        <w:pStyle w:val="ListParagraph"/>
        <w:numPr>
          <w:ilvl w:val="0"/>
          <w:numId w:val="1"/>
        </w:numPr>
        <w:spacing w:after="0"/>
        <w:ind w:right="900"/>
        <w:jc w:val="both"/>
        <w:rPr>
          <w:i/>
          <w:sz w:val="24"/>
          <w:lang w:val="en-US"/>
        </w:rPr>
      </w:pPr>
      <w:r w:rsidRPr="00DE53A6">
        <w:rPr>
          <w:i/>
          <w:sz w:val="24"/>
          <w:lang w:val="en-US"/>
        </w:rPr>
        <w:t>i</w:t>
      </w:r>
      <w:r w:rsidR="005470FA" w:rsidRPr="00DE53A6">
        <w:rPr>
          <w:i/>
          <w:sz w:val="24"/>
          <w:lang w:val="en-US"/>
        </w:rPr>
        <w:t>t does not constitute a labour dispute as defined in Section 2 of the Employment Relations Act, in particular paragraph (b) of the said</w:t>
      </w:r>
      <w:r w:rsidR="00F17900" w:rsidRPr="00DE53A6">
        <w:rPr>
          <w:i/>
          <w:sz w:val="24"/>
          <w:lang w:val="en-US"/>
        </w:rPr>
        <w:t xml:space="preserve"> definition, since the Disputant has exercised an option to be governed by the recommendations made in the Pay Research Bureau Report 2016;</w:t>
      </w:r>
    </w:p>
    <w:p w:rsidR="00DE53A6" w:rsidRPr="00DE53A6" w:rsidRDefault="00DE53A6" w:rsidP="00DE53A6">
      <w:pPr>
        <w:pStyle w:val="ListParagraph"/>
        <w:spacing w:after="0"/>
        <w:ind w:left="1440" w:right="900"/>
        <w:jc w:val="both"/>
        <w:rPr>
          <w:i/>
          <w:sz w:val="24"/>
          <w:lang w:val="en-US"/>
        </w:rPr>
      </w:pPr>
    </w:p>
    <w:p w:rsidR="00F17900" w:rsidRDefault="00817EE3" w:rsidP="00817EE3">
      <w:pPr>
        <w:pStyle w:val="ListParagraph"/>
        <w:numPr>
          <w:ilvl w:val="0"/>
          <w:numId w:val="1"/>
        </w:numPr>
        <w:spacing w:after="0"/>
        <w:ind w:right="900"/>
        <w:jc w:val="both"/>
        <w:rPr>
          <w:i/>
          <w:sz w:val="24"/>
          <w:lang w:val="en-US"/>
        </w:rPr>
      </w:pPr>
      <w:r w:rsidRPr="00DE53A6">
        <w:rPr>
          <w:i/>
          <w:sz w:val="24"/>
          <w:lang w:val="en-US"/>
        </w:rPr>
        <w:t>t</w:t>
      </w:r>
      <w:r w:rsidR="00F17900" w:rsidRPr="00DE53A6">
        <w:rPr>
          <w:i/>
          <w:sz w:val="24"/>
          <w:lang w:val="en-US"/>
        </w:rPr>
        <w:t>he terms of reference read together with the prayer at paragraph 17 of the Disputant’s statement of case would require a fundamental change or departure from the relevant recommendations of the Pay Research Bureau Report 2016; and</w:t>
      </w:r>
    </w:p>
    <w:p w:rsidR="00DE53A6" w:rsidRPr="00DE53A6" w:rsidRDefault="00DE53A6" w:rsidP="00DE53A6">
      <w:pPr>
        <w:pStyle w:val="ListParagraph"/>
        <w:spacing w:after="0"/>
        <w:ind w:left="1440" w:right="900"/>
        <w:jc w:val="both"/>
        <w:rPr>
          <w:i/>
          <w:sz w:val="24"/>
          <w:lang w:val="en-US"/>
        </w:rPr>
      </w:pPr>
    </w:p>
    <w:p w:rsidR="00F17900" w:rsidRPr="00DE53A6" w:rsidRDefault="00817EE3" w:rsidP="00F17900">
      <w:pPr>
        <w:pStyle w:val="ListParagraph"/>
        <w:numPr>
          <w:ilvl w:val="0"/>
          <w:numId w:val="1"/>
        </w:numPr>
        <w:spacing w:after="0"/>
        <w:ind w:right="900"/>
        <w:jc w:val="both"/>
        <w:rPr>
          <w:i/>
          <w:sz w:val="24"/>
          <w:lang w:val="en-US"/>
        </w:rPr>
      </w:pPr>
      <w:r w:rsidRPr="00DE53A6">
        <w:rPr>
          <w:i/>
          <w:sz w:val="24"/>
          <w:lang w:val="en-US"/>
        </w:rPr>
        <w:t>t</w:t>
      </w:r>
      <w:r w:rsidR="00F17900" w:rsidRPr="00DE53A6">
        <w:rPr>
          <w:i/>
          <w:sz w:val="24"/>
          <w:lang w:val="en-US"/>
        </w:rPr>
        <w:t xml:space="preserve">he Disputant is seeking to challenge an administrative decision. </w:t>
      </w:r>
    </w:p>
    <w:p w:rsidR="00F17900" w:rsidRPr="00DE53A6" w:rsidRDefault="00F17900" w:rsidP="00F17900">
      <w:pPr>
        <w:spacing w:after="0"/>
        <w:ind w:right="900"/>
        <w:jc w:val="both"/>
        <w:rPr>
          <w:i/>
          <w:sz w:val="24"/>
          <w:lang w:val="en-US"/>
        </w:rPr>
      </w:pPr>
    </w:p>
    <w:p w:rsidR="00F17900" w:rsidRPr="00817EE3" w:rsidRDefault="00F17900" w:rsidP="00F17900">
      <w:pPr>
        <w:spacing w:after="0"/>
        <w:ind w:left="720" w:right="900"/>
        <w:jc w:val="both"/>
        <w:rPr>
          <w:i/>
          <w:lang w:val="en-US"/>
        </w:rPr>
      </w:pPr>
      <w:r w:rsidRPr="00DE53A6">
        <w:rPr>
          <w:i/>
          <w:sz w:val="24"/>
          <w:lang w:val="en-US"/>
        </w:rPr>
        <w:t>Respondent therefore moves that the present matter be set aside</w:t>
      </w:r>
      <w:r w:rsidRPr="00817EE3">
        <w:rPr>
          <w:i/>
          <w:lang w:val="en-US"/>
        </w:rPr>
        <w:t xml:space="preserve">. </w:t>
      </w:r>
    </w:p>
    <w:p w:rsidR="00F17900" w:rsidRDefault="00F17900" w:rsidP="00F17900">
      <w:pPr>
        <w:spacing w:after="0"/>
        <w:jc w:val="both"/>
        <w:rPr>
          <w:sz w:val="24"/>
          <w:lang w:val="en-US"/>
        </w:rPr>
      </w:pPr>
    </w:p>
    <w:p w:rsidR="00F17900" w:rsidRDefault="00F17900" w:rsidP="00F17900">
      <w:pPr>
        <w:spacing w:after="0"/>
        <w:jc w:val="both"/>
        <w:rPr>
          <w:sz w:val="24"/>
          <w:lang w:val="en-US"/>
        </w:rPr>
      </w:pPr>
    </w:p>
    <w:p w:rsidR="00F17900" w:rsidRDefault="00F17900" w:rsidP="00F17900">
      <w:pPr>
        <w:spacing w:after="0"/>
        <w:jc w:val="both"/>
        <w:rPr>
          <w:sz w:val="24"/>
          <w:lang w:val="en-US"/>
        </w:rPr>
      </w:pPr>
      <w:r>
        <w:rPr>
          <w:sz w:val="24"/>
          <w:lang w:val="en-US"/>
        </w:rPr>
        <w:tab/>
        <w:t xml:space="preserve">The matter was therefore fixed for arguments on the Preliminary Objection in Law raised by the Respondent. </w:t>
      </w:r>
    </w:p>
    <w:p w:rsidR="00F17900" w:rsidRDefault="00F17900" w:rsidP="00F17900">
      <w:pPr>
        <w:spacing w:after="0"/>
        <w:jc w:val="both"/>
        <w:rPr>
          <w:sz w:val="24"/>
          <w:lang w:val="en-US"/>
        </w:rPr>
      </w:pPr>
    </w:p>
    <w:p w:rsidR="002C6837" w:rsidRDefault="002C6837" w:rsidP="00F17900">
      <w:pPr>
        <w:spacing w:after="0"/>
        <w:jc w:val="both"/>
        <w:rPr>
          <w:sz w:val="24"/>
          <w:lang w:val="en-US"/>
        </w:rPr>
      </w:pPr>
    </w:p>
    <w:p w:rsidR="00B956CC" w:rsidRDefault="002C6837" w:rsidP="00F17900">
      <w:pPr>
        <w:spacing w:after="0"/>
        <w:jc w:val="both"/>
        <w:rPr>
          <w:sz w:val="24"/>
          <w:lang w:val="en-US"/>
        </w:rPr>
      </w:pPr>
      <w:r>
        <w:rPr>
          <w:sz w:val="24"/>
          <w:lang w:val="en-US"/>
        </w:rPr>
        <w:tab/>
        <w:t xml:space="preserve">The Respondent called its representative, Mrs </w:t>
      </w:r>
      <w:proofErr w:type="spellStart"/>
      <w:r>
        <w:rPr>
          <w:sz w:val="24"/>
          <w:lang w:val="en-US"/>
        </w:rPr>
        <w:t>Sattamah</w:t>
      </w:r>
      <w:proofErr w:type="spellEnd"/>
      <w:r>
        <w:rPr>
          <w:sz w:val="24"/>
          <w:lang w:val="en-US"/>
        </w:rPr>
        <w:t xml:space="preserve"> </w:t>
      </w:r>
      <w:proofErr w:type="spellStart"/>
      <w:r>
        <w:rPr>
          <w:sz w:val="24"/>
          <w:lang w:val="en-US"/>
        </w:rPr>
        <w:t>Millien</w:t>
      </w:r>
      <w:proofErr w:type="spellEnd"/>
      <w:r>
        <w:rPr>
          <w:sz w:val="24"/>
          <w:lang w:val="en-US"/>
        </w:rPr>
        <w:t xml:space="preserve">, Ag. Manager Human Resource at the Ministry of Civil Service and Administrative Reforms, to adduce evidence in support of the Preliminary Objections. The representative notably </w:t>
      </w:r>
      <w:r w:rsidR="00B84DEB">
        <w:rPr>
          <w:sz w:val="24"/>
          <w:lang w:val="en-US"/>
        </w:rPr>
        <w:t>produced</w:t>
      </w:r>
      <w:r w:rsidR="003A7263">
        <w:rPr>
          <w:sz w:val="24"/>
          <w:lang w:val="en-US"/>
        </w:rPr>
        <w:t xml:space="preserve"> a copy of the original of the Option F</w:t>
      </w:r>
      <w:r w:rsidR="00B84DEB">
        <w:rPr>
          <w:sz w:val="24"/>
          <w:lang w:val="en-US"/>
        </w:rPr>
        <w:t xml:space="preserve">orm signed by the Disputant (Document A) on 15 April 2016. She also produced Circular </w:t>
      </w:r>
      <w:r w:rsidR="00766B92">
        <w:rPr>
          <w:sz w:val="24"/>
          <w:lang w:val="en-US"/>
        </w:rPr>
        <w:t xml:space="preserve">Note </w:t>
      </w:r>
      <w:r w:rsidR="00B84DEB">
        <w:rPr>
          <w:sz w:val="24"/>
          <w:lang w:val="en-US"/>
        </w:rPr>
        <w:t xml:space="preserve">No. 6 of 2016 dated 7 April 2016 (Document B) issued by the Ministry of Civil Service and Administrative Reforms (“MCSAR”) for </w:t>
      </w:r>
      <w:r w:rsidR="00E43F48">
        <w:rPr>
          <w:sz w:val="24"/>
          <w:lang w:val="en-US"/>
        </w:rPr>
        <w:t>implemen</w:t>
      </w:r>
      <w:r w:rsidR="00B84DEB">
        <w:rPr>
          <w:sz w:val="24"/>
          <w:lang w:val="en-US"/>
        </w:rPr>
        <w:t xml:space="preserve">tation of the </w:t>
      </w:r>
      <w:r w:rsidR="00B84DEB" w:rsidRPr="006A5A03">
        <w:rPr>
          <w:i/>
          <w:sz w:val="24"/>
          <w:lang w:val="en-US"/>
        </w:rPr>
        <w:t>Pay Research Bureau</w:t>
      </w:r>
      <w:r w:rsidR="00B84DEB">
        <w:rPr>
          <w:sz w:val="24"/>
          <w:lang w:val="en-US"/>
        </w:rPr>
        <w:t xml:space="preserve"> (“</w:t>
      </w:r>
      <w:r w:rsidR="00B84DEB" w:rsidRPr="006A5A03">
        <w:rPr>
          <w:i/>
          <w:sz w:val="24"/>
          <w:lang w:val="en-US"/>
        </w:rPr>
        <w:t>PRB</w:t>
      </w:r>
      <w:r w:rsidR="00B84DEB">
        <w:rPr>
          <w:sz w:val="24"/>
          <w:lang w:val="en-US"/>
        </w:rPr>
        <w:t xml:space="preserve">”) </w:t>
      </w:r>
      <w:r w:rsidR="00B84DEB" w:rsidRPr="006A5A03">
        <w:rPr>
          <w:i/>
          <w:sz w:val="24"/>
          <w:lang w:val="en-US"/>
        </w:rPr>
        <w:t>Report 2016</w:t>
      </w:r>
      <w:r w:rsidR="00B84DEB">
        <w:rPr>
          <w:sz w:val="24"/>
          <w:lang w:val="en-US"/>
        </w:rPr>
        <w:t>; Circular Note No. 16 of 2016 dated 17 October 2016 (Document C) from MCSAR pertainin</w:t>
      </w:r>
      <w:r w:rsidR="00E43F48">
        <w:rPr>
          <w:sz w:val="24"/>
          <w:lang w:val="en-US"/>
        </w:rPr>
        <w:t>g to the Addendum Report; Circu</w:t>
      </w:r>
      <w:r w:rsidR="00B84DEB">
        <w:rPr>
          <w:sz w:val="24"/>
          <w:lang w:val="en-US"/>
        </w:rPr>
        <w:t>lar Note No.1</w:t>
      </w:r>
      <w:r w:rsidR="00E43F48">
        <w:rPr>
          <w:sz w:val="24"/>
          <w:lang w:val="en-US"/>
        </w:rPr>
        <w:t xml:space="preserve"> of 2017 dated 3 February 2017 (Document D) from MCSAR pertaining to implementations of the </w:t>
      </w:r>
      <w:r w:rsidR="00E43F48" w:rsidRPr="00CA09FE">
        <w:rPr>
          <w:i/>
          <w:sz w:val="24"/>
          <w:lang w:val="en-US"/>
        </w:rPr>
        <w:t>PRB</w:t>
      </w:r>
      <w:r w:rsidR="00E43F48">
        <w:rPr>
          <w:sz w:val="24"/>
          <w:lang w:val="en-US"/>
        </w:rPr>
        <w:t xml:space="preserve"> recommendations regarding </w:t>
      </w:r>
      <w:r w:rsidR="00220884">
        <w:rPr>
          <w:sz w:val="24"/>
          <w:lang w:val="en-US"/>
        </w:rPr>
        <w:t>H</w:t>
      </w:r>
      <w:r w:rsidR="00E43F48">
        <w:rPr>
          <w:sz w:val="24"/>
          <w:lang w:val="en-US"/>
        </w:rPr>
        <w:t xml:space="preserve">igher </w:t>
      </w:r>
      <w:r w:rsidR="00220884">
        <w:rPr>
          <w:sz w:val="24"/>
          <w:lang w:val="en-US"/>
        </w:rPr>
        <w:t>Q</w:t>
      </w:r>
      <w:r w:rsidR="00E43F48">
        <w:rPr>
          <w:sz w:val="24"/>
          <w:lang w:val="en-US"/>
        </w:rPr>
        <w:t xml:space="preserve">ualification </w:t>
      </w:r>
      <w:r w:rsidR="00220884">
        <w:rPr>
          <w:sz w:val="24"/>
          <w:lang w:val="en-US"/>
        </w:rPr>
        <w:t>I</w:t>
      </w:r>
      <w:r w:rsidR="00E43F48">
        <w:rPr>
          <w:sz w:val="24"/>
          <w:lang w:val="en-US"/>
        </w:rPr>
        <w:t>nc</w:t>
      </w:r>
      <w:r w:rsidR="00220884">
        <w:rPr>
          <w:sz w:val="24"/>
          <w:lang w:val="en-US"/>
        </w:rPr>
        <w:t>entive</w:t>
      </w:r>
      <w:r w:rsidR="00AF58B2">
        <w:rPr>
          <w:sz w:val="24"/>
          <w:lang w:val="en-US"/>
        </w:rPr>
        <w:t>s</w:t>
      </w:r>
      <w:r w:rsidR="00220884">
        <w:rPr>
          <w:sz w:val="24"/>
          <w:lang w:val="en-US"/>
        </w:rPr>
        <w:t xml:space="preserve"> (“HQI”)</w:t>
      </w:r>
      <w:r w:rsidR="00E43F48">
        <w:rPr>
          <w:sz w:val="24"/>
          <w:lang w:val="en-US"/>
        </w:rPr>
        <w:t>.</w:t>
      </w:r>
      <w:r w:rsidR="004709E9">
        <w:rPr>
          <w:sz w:val="24"/>
          <w:lang w:val="en-US"/>
        </w:rPr>
        <w:t xml:space="preserve"> On being questioned</w:t>
      </w:r>
      <w:r w:rsidR="00D01059">
        <w:rPr>
          <w:sz w:val="24"/>
          <w:lang w:val="en-US"/>
        </w:rPr>
        <w:t xml:space="preserve"> by the Disputant’s representative on</w:t>
      </w:r>
      <w:r w:rsidR="004709E9">
        <w:rPr>
          <w:sz w:val="24"/>
          <w:lang w:val="en-US"/>
        </w:rPr>
        <w:t xml:space="preserve"> whether there is a smooth transitional mechanism as recommended by the </w:t>
      </w:r>
      <w:r w:rsidR="004709E9" w:rsidRPr="006A5A03">
        <w:rPr>
          <w:i/>
          <w:sz w:val="24"/>
          <w:lang w:val="en-US"/>
        </w:rPr>
        <w:t xml:space="preserve">PRB </w:t>
      </w:r>
      <w:r w:rsidR="004709E9">
        <w:rPr>
          <w:sz w:val="24"/>
          <w:lang w:val="en-US"/>
        </w:rPr>
        <w:t xml:space="preserve">at </w:t>
      </w:r>
      <w:r w:rsidR="004709E9" w:rsidRPr="00C0677D">
        <w:rPr>
          <w:i/>
          <w:sz w:val="24"/>
          <w:lang w:val="en-US"/>
        </w:rPr>
        <w:t>paragraph 18.9.18A</w:t>
      </w:r>
      <w:r w:rsidR="004709E9">
        <w:rPr>
          <w:sz w:val="24"/>
          <w:lang w:val="en-US"/>
        </w:rPr>
        <w:t xml:space="preserve"> in its report, Mrs </w:t>
      </w:r>
      <w:proofErr w:type="spellStart"/>
      <w:r w:rsidR="004709E9">
        <w:rPr>
          <w:sz w:val="24"/>
          <w:lang w:val="en-US"/>
        </w:rPr>
        <w:t>Millien</w:t>
      </w:r>
      <w:proofErr w:type="spellEnd"/>
      <w:r w:rsidR="004709E9">
        <w:rPr>
          <w:sz w:val="24"/>
          <w:lang w:val="en-US"/>
        </w:rPr>
        <w:t xml:space="preserve"> referred to the Standing Committee set up under aforesaid paragraph of the Addendum Report, where regulations should be devised</w:t>
      </w:r>
      <w:r w:rsidR="00626E7B">
        <w:rPr>
          <w:sz w:val="24"/>
          <w:lang w:val="en-US"/>
        </w:rPr>
        <w:t xml:space="preserve"> to deal with the award of</w:t>
      </w:r>
      <w:r w:rsidR="00927323">
        <w:rPr>
          <w:sz w:val="24"/>
          <w:lang w:val="en-US"/>
        </w:rPr>
        <w:t xml:space="preserve"> </w:t>
      </w:r>
      <w:r w:rsidR="00410B20">
        <w:rPr>
          <w:sz w:val="24"/>
          <w:lang w:val="en-US"/>
        </w:rPr>
        <w:t>HQI</w:t>
      </w:r>
      <w:r w:rsidR="00927323">
        <w:rPr>
          <w:sz w:val="24"/>
          <w:lang w:val="en-US"/>
        </w:rPr>
        <w:t xml:space="preserve">; the Standing Committee did make recommendations wherever necessary. </w:t>
      </w:r>
    </w:p>
    <w:p w:rsidR="00B956CC" w:rsidRDefault="00B956CC" w:rsidP="00F17900">
      <w:pPr>
        <w:spacing w:after="0"/>
        <w:jc w:val="both"/>
        <w:rPr>
          <w:sz w:val="24"/>
          <w:lang w:val="en-US"/>
        </w:rPr>
      </w:pPr>
    </w:p>
    <w:p w:rsidR="00B956CC" w:rsidRDefault="00B956CC" w:rsidP="00F17900">
      <w:pPr>
        <w:spacing w:after="0"/>
        <w:jc w:val="both"/>
        <w:rPr>
          <w:sz w:val="24"/>
          <w:lang w:val="en-US"/>
        </w:rPr>
      </w:pPr>
    </w:p>
    <w:p w:rsidR="00F16D13" w:rsidRDefault="00B956CC" w:rsidP="00F17900">
      <w:pPr>
        <w:spacing w:after="0"/>
        <w:jc w:val="both"/>
        <w:rPr>
          <w:sz w:val="24"/>
          <w:lang w:val="en-US"/>
        </w:rPr>
      </w:pPr>
      <w:r>
        <w:rPr>
          <w:sz w:val="24"/>
          <w:lang w:val="en-US"/>
        </w:rPr>
        <w:tab/>
        <w:t xml:space="preserve">State Counsel for the Respondent </w:t>
      </w:r>
      <w:r w:rsidR="002754B4">
        <w:rPr>
          <w:sz w:val="24"/>
          <w:lang w:val="en-US"/>
        </w:rPr>
        <w:t xml:space="preserve">has, in relation to the first limb of the Preliminary Objection, notably submitted that the present matter does not constitute a labour dispute referring to the definition of same in the </w:t>
      </w:r>
      <w:r w:rsidR="002754B4" w:rsidRPr="002754B4">
        <w:rPr>
          <w:i/>
          <w:sz w:val="24"/>
          <w:lang w:val="en-US"/>
        </w:rPr>
        <w:t>Act</w:t>
      </w:r>
      <w:r w:rsidR="00D01059">
        <w:rPr>
          <w:sz w:val="24"/>
          <w:lang w:val="en-US"/>
        </w:rPr>
        <w:t xml:space="preserve"> -</w:t>
      </w:r>
      <w:r w:rsidR="002754B4">
        <w:rPr>
          <w:sz w:val="24"/>
          <w:lang w:val="en-US"/>
        </w:rPr>
        <w:t xml:space="preserve"> in particular paragraph (b)</w:t>
      </w:r>
      <w:r w:rsidR="00D01059">
        <w:rPr>
          <w:sz w:val="24"/>
          <w:lang w:val="en-US"/>
        </w:rPr>
        <w:t>,</w:t>
      </w:r>
      <w:r w:rsidR="002754B4">
        <w:rPr>
          <w:sz w:val="24"/>
          <w:lang w:val="en-US"/>
        </w:rPr>
        <w:t xml:space="preserve"> as the Disputant has opted to be governed by the recommendations made in the </w:t>
      </w:r>
      <w:r w:rsidR="002754B4" w:rsidRPr="00C0677D">
        <w:rPr>
          <w:i/>
          <w:sz w:val="24"/>
          <w:lang w:val="en-US"/>
        </w:rPr>
        <w:t>PRB Report</w:t>
      </w:r>
      <w:r w:rsidR="00C0677D">
        <w:rPr>
          <w:sz w:val="24"/>
          <w:lang w:val="en-US"/>
        </w:rPr>
        <w:t xml:space="preserve"> </w:t>
      </w:r>
      <w:r w:rsidR="00C0677D" w:rsidRPr="00C0677D">
        <w:rPr>
          <w:i/>
          <w:sz w:val="24"/>
          <w:lang w:val="en-US"/>
        </w:rPr>
        <w:t>2016</w:t>
      </w:r>
      <w:r w:rsidR="002754B4" w:rsidRPr="00C0677D">
        <w:rPr>
          <w:i/>
          <w:sz w:val="24"/>
          <w:lang w:val="en-US"/>
        </w:rPr>
        <w:t xml:space="preserve"> </w:t>
      </w:r>
      <w:r w:rsidR="007A4E9E">
        <w:rPr>
          <w:sz w:val="24"/>
          <w:lang w:val="en-US"/>
        </w:rPr>
        <w:t>as witnessed by the Option F</w:t>
      </w:r>
      <w:r w:rsidR="002754B4">
        <w:rPr>
          <w:sz w:val="24"/>
          <w:lang w:val="en-US"/>
        </w:rPr>
        <w:t xml:space="preserve">orm produced. According to Circular Note No. 6 of 2016, the effective date for the implementation of the </w:t>
      </w:r>
      <w:r w:rsidR="002754B4" w:rsidRPr="00C0677D">
        <w:rPr>
          <w:i/>
          <w:sz w:val="24"/>
          <w:lang w:val="en-US"/>
        </w:rPr>
        <w:t>PRB Report 2016</w:t>
      </w:r>
      <w:r w:rsidR="002754B4">
        <w:rPr>
          <w:sz w:val="24"/>
          <w:lang w:val="en-US"/>
        </w:rPr>
        <w:t xml:space="preserve"> is 1 January 2016. The Disputant has averred that he qualifies for an increment under the relevant recommendations at paragraph 3 of his Statement of Case. The issue is not about eligibility</w:t>
      </w:r>
      <w:r w:rsidR="001A06AB">
        <w:rPr>
          <w:sz w:val="24"/>
          <w:lang w:val="en-US"/>
        </w:rPr>
        <w:t>, but relates</w:t>
      </w:r>
      <w:r w:rsidR="00F16D13">
        <w:rPr>
          <w:sz w:val="24"/>
          <w:lang w:val="en-US"/>
        </w:rPr>
        <w:t xml:space="preserve"> to remuneration or allowance. The Disputant is asking for the increment as per the </w:t>
      </w:r>
      <w:r w:rsidR="00F16D13" w:rsidRPr="00C0677D">
        <w:rPr>
          <w:i/>
          <w:sz w:val="24"/>
          <w:lang w:val="en-US"/>
        </w:rPr>
        <w:t>PRB Report 2013</w:t>
      </w:r>
      <w:r w:rsidR="00F16D13">
        <w:rPr>
          <w:sz w:val="24"/>
          <w:lang w:val="en-US"/>
        </w:rPr>
        <w:t xml:space="preserve"> when he is being governed by the </w:t>
      </w:r>
      <w:r w:rsidR="00F16D13" w:rsidRPr="00C0677D">
        <w:rPr>
          <w:i/>
          <w:sz w:val="24"/>
          <w:lang w:val="en-US"/>
        </w:rPr>
        <w:t>PRB Report 2016</w:t>
      </w:r>
      <w:r w:rsidR="00F16D13">
        <w:rPr>
          <w:sz w:val="24"/>
          <w:lang w:val="en-US"/>
        </w:rPr>
        <w:t xml:space="preserve">. State Counsel referred to the ruling of the Tribunal in </w:t>
      </w:r>
      <w:r w:rsidR="00F16D13" w:rsidRPr="00C929E4">
        <w:rPr>
          <w:i/>
          <w:sz w:val="24"/>
          <w:lang w:val="en-US"/>
        </w:rPr>
        <w:t>S. Dawon and Mauritius Institute of Training and Development (ERT/RN 163/15 to ERT/RN 170/15)</w:t>
      </w:r>
      <w:r w:rsidR="00F16D13">
        <w:rPr>
          <w:sz w:val="24"/>
          <w:lang w:val="en-US"/>
        </w:rPr>
        <w:t xml:space="preserve">. </w:t>
      </w:r>
      <w:r w:rsidR="00D01059">
        <w:rPr>
          <w:sz w:val="24"/>
          <w:lang w:val="en-US"/>
        </w:rPr>
        <w:t>She submitted that t</w:t>
      </w:r>
      <w:r w:rsidR="00F16D13">
        <w:rPr>
          <w:sz w:val="24"/>
          <w:lang w:val="en-US"/>
        </w:rPr>
        <w:t xml:space="preserve">he matter is purely and simply related to remuneration. An extract from Hansard relating to </w:t>
      </w:r>
      <w:r w:rsidR="00F16D13" w:rsidRPr="00C0677D">
        <w:rPr>
          <w:i/>
          <w:sz w:val="24"/>
          <w:lang w:val="en-US"/>
        </w:rPr>
        <w:t>Debate No. 15 of 13.06.03</w:t>
      </w:r>
      <w:r w:rsidR="00F16D13">
        <w:rPr>
          <w:sz w:val="24"/>
          <w:lang w:val="en-US"/>
        </w:rPr>
        <w:t xml:space="preserve"> was produced in relation to an amendment brought to the </w:t>
      </w:r>
      <w:r w:rsidR="00F16D13" w:rsidRPr="00C0677D">
        <w:rPr>
          <w:i/>
          <w:sz w:val="24"/>
          <w:lang w:val="en-US"/>
        </w:rPr>
        <w:t>Industrial Relations Act</w:t>
      </w:r>
      <w:r w:rsidR="00F16D13">
        <w:rPr>
          <w:sz w:val="24"/>
          <w:lang w:val="en-US"/>
        </w:rPr>
        <w:t xml:space="preserve"> in 2003. </w:t>
      </w:r>
    </w:p>
    <w:p w:rsidR="00F16D13" w:rsidRDefault="00F16D13" w:rsidP="00F17900">
      <w:pPr>
        <w:spacing w:after="0"/>
        <w:jc w:val="both"/>
        <w:rPr>
          <w:sz w:val="24"/>
          <w:lang w:val="en-US"/>
        </w:rPr>
      </w:pPr>
    </w:p>
    <w:p w:rsidR="00F16D13" w:rsidRDefault="00F16D13" w:rsidP="00F17900">
      <w:pPr>
        <w:spacing w:after="0"/>
        <w:jc w:val="both"/>
        <w:rPr>
          <w:sz w:val="24"/>
          <w:lang w:val="en-US"/>
        </w:rPr>
      </w:pPr>
    </w:p>
    <w:p w:rsidR="00976E94" w:rsidRDefault="00F16D13" w:rsidP="00F17900">
      <w:pPr>
        <w:spacing w:after="0"/>
        <w:jc w:val="both"/>
        <w:rPr>
          <w:sz w:val="24"/>
          <w:lang w:val="en-US"/>
        </w:rPr>
      </w:pPr>
      <w:r>
        <w:rPr>
          <w:sz w:val="24"/>
          <w:lang w:val="en-US"/>
        </w:rPr>
        <w:tab/>
        <w:t xml:space="preserve">State Counsel has further submitted from the definition of remuneration in the </w:t>
      </w:r>
      <w:r w:rsidRPr="00D01059">
        <w:rPr>
          <w:i/>
          <w:sz w:val="24"/>
          <w:lang w:val="en-US"/>
        </w:rPr>
        <w:t>Employment Rights Act</w:t>
      </w:r>
      <w:r>
        <w:rPr>
          <w:sz w:val="24"/>
          <w:lang w:val="en-US"/>
        </w:rPr>
        <w:t xml:space="preserve"> and produced the definition of the term </w:t>
      </w:r>
      <w:r w:rsidR="00410B20">
        <w:rPr>
          <w:sz w:val="24"/>
          <w:lang w:val="en-US"/>
        </w:rPr>
        <w:t>‘</w:t>
      </w:r>
      <w:r w:rsidRPr="00D20C9C">
        <w:rPr>
          <w:i/>
          <w:sz w:val="24"/>
          <w:lang w:val="en-US"/>
        </w:rPr>
        <w:t>emoluments</w:t>
      </w:r>
      <w:r w:rsidR="00410B20">
        <w:rPr>
          <w:sz w:val="24"/>
          <w:lang w:val="en-US"/>
        </w:rPr>
        <w:t>’</w:t>
      </w:r>
      <w:r>
        <w:rPr>
          <w:sz w:val="24"/>
          <w:lang w:val="en-US"/>
        </w:rPr>
        <w:t xml:space="preserve"> from </w:t>
      </w:r>
      <w:r w:rsidRPr="00F17B50">
        <w:rPr>
          <w:i/>
          <w:sz w:val="24"/>
          <w:lang w:val="en-US"/>
        </w:rPr>
        <w:t>Stroud’s Judicial Dictionary of Words and</w:t>
      </w:r>
      <w:r w:rsidR="00410B20" w:rsidRPr="00F17B50">
        <w:rPr>
          <w:i/>
          <w:sz w:val="24"/>
          <w:lang w:val="en-US"/>
        </w:rPr>
        <w:t xml:space="preserve"> Phrases</w:t>
      </w:r>
      <w:r w:rsidR="00410B20">
        <w:rPr>
          <w:sz w:val="24"/>
          <w:lang w:val="en-US"/>
        </w:rPr>
        <w:t>, submitting that ‘</w:t>
      </w:r>
      <w:r w:rsidR="00410B20" w:rsidRPr="00D20C9C">
        <w:rPr>
          <w:i/>
          <w:sz w:val="24"/>
          <w:lang w:val="en-US"/>
        </w:rPr>
        <w:t>emoluments</w:t>
      </w:r>
      <w:r w:rsidR="00410B20">
        <w:rPr>
          <w:sz w:val="24"/>
          <w:lang w:val="en-US"/>
        </w:rPr>
        <w:t xml:space="preserve">’ has a wide definition. It is her humble submission that the HQI, which is also a lump sum payment, is part of emoluments. The dispute concerns whether HQI will apply or increments; the increment, according to the ruling, is part of remuneration or allowance of any kind. The Disputant is therefore debarred from reporting a dispute having exercised his option to be governed by the recommendations of the </w:t>
      </w:r>
      <w:r w:rsidR="00410B20" w:rsidRPr="00171AF6">
        <w:rPr>
          <w:i/>
          <w:sz w:val="24"/>
          <w:lang w:val="en-US"/>
        </w:rPr>
        <w:t>PRB Report</w:t>
      </w:r>
      <w:r w:rsidR="00410B20">
        <w:rPr>
          <w:sz w:val="24"/>
          <w:lang w:val="en-US"/>
        </w:rPr>
        <w:t xml:space="preserve">. </w:t>
      </w:r>
    </w:p>
    <w:p w:rsidR="00976E94" w:rsidRDefault="00976E94" w:rsidP="00F17900">
      <w:pPr>
        <w:spacing w:after="0"/>
        <w:jc w:val="both"/>
        <w:rPr>
          <w:sz w:val="24"/>
          <w:lang w:val="en-US"/>
        </w:rPr>
      </w:pPr>
    </w:p>
    <w:p w:rsidR="00976E94" w:rsidRDefault="00976E94" w:rsidP="00F17900">
      <w:pPr>
        <w:spacing w:after="0"/>
        <w:jc w:val="both"/>
        <w:rPr>
          <w:sz w:val="24"/>
          <w:lang w:val="en-US"/>
        </w:rPr>
      </w:pPr>
    </w:p>
    <w:p w:rsidR="00171AF6" w:rsidRDefault="00976E94" w:rsidP="00F17900">
      <w:pPr>
        <w:spacing w:after="0"/>
        <w:jc w:val="both"/>
        <w:rPr>
          <w:sz w:val="24"/>
          <w:lang w:val="en-US"/>
        </w:rPr>
      </w:pPr>
      <w:r>
        <w:rPr>
          <w:sz w:val="24"/>
          <w:lang w:val="en-US"/>
        </w:rPr>
        <w:tab/>
        <w:t>State Counsel chose</w:t>
      </w:r>
      <w:r w:rsidR="00170FD5">
        <w:rPr>
          <w:sz w:val="24"/>
          <w:lang w:val="en-US"/>
        </w:rPr>
        <w:t xml:space="preserve"> to argue</w:t>
      </w:r>
      <w:r>
        <w:rPr>
          <w:sz w:val="24"/>
          <w:lang w:val="en-US"/>
        </w:rPr>
        <w:t xml:space="preserve"> the second and third limbs of the Preliminary objection together. </w:t>
      </w:r>
      <w:r w:rsidR="00170FD5">
        <w:rPr>
          <w:sz w:val="24"/>
          <w:lang w:val="en-US"/>
        </w:rPr>
        <w:t>Reference was made to paragraph 17 of the Dispu</w:t>
      </w:r>
      <w:r w:rsidR="001C3A49">
        <w:rPr>
          <w:sz w:val="24"/>
          <w:lang w:val="en-US"/>
        </w:rPr>
        <w:t>tant’s Statement of Case, where</w:t>
      </w:r>
      <w:r w:rsidR="00170FD5">
        <w:rPr>
          <w:sz w:val="24"/>
          <w:lang w:val="en-US"/>
        </w:rPr>
        <w:t xml:space="preserve">by the Disputant is praying to be awarded an incremental credit for his higher qualification in line with </w:t>
      </w:r>
      <w:r w:rsidR="00170FD5" w:rsidRPr="00C0677D">
        <w:rPr>
          <w:i/>
          <w:sz w:val="24"/>
          <w:lang w:val="en-US"/>
        </w:rPr>
        <w:t xml:space="preserve">paragraph 18.9.19 </w:t>
      </w:r>
      <w:r w:rsidR="00170FD5">
        <w:rPr>
          <w:sz w:val="24"/>
          <w:lang w:val="en-US"/>
        </w:rPr>
        <w:t xml:space="preserve">of the </w:t>
      </w:r>
      <w:r w:rsidR="00170FD5" w:rsidRPr="00C0677D">
        <w:rPr>
          <w:i/>
          <w:sz w:val="24"/>
          <w:lang w:val="en-US"/>
        </w:rPr>
        <w:t>PRB Report 2013</w:t>
      </w:r>
      <w:r w:rsidR="00170FD5">
        <w:rPr>
          <w:sz w:val="24"/>
          <w:lang w:val="en-US"/>
        </w:rPr>
        <w:t xml:space="preserve">. A copy of </w:t>
      </w:r>
      <w:r w:rsidR="00170FD5" w:rsidRPr="00C0677D">
        <w:rPr>
          <w:i/>
          <w:sz w:val="24"/>
          <w:lang w:val="en-US"/>
        </w:rPr>
        <w:t>paragraph 21.27</w:t>
      </w:r>
      <w:r w:rsidR="00170FD5">
        <w:rPr>
          <w:sz w:val="24"/>
          <w:lang w:val="en-US"/>
        </w:rPr>
        <w:t xml:space="preserve"> of the </w:t>
      </w:r>
      <w:r w:rsidR="00170FD5" w:rsidRPr="00C0677D">
        <w:rPr>
          <w:i/>
          <w:sz w:val="24"/>
          <w:lang w:val="en-US"/>
        </w:rPr>
        <w:t>PRB Report 2016</w:t>
      </w:r>
      <w:r w:rsidR="00170FD5">
        <w:rPr>
          <w:sz w:val="24"/>
          <w:lang w:val="en-US"/>
        </w:rPr>
        <w:t xml:space="preserve"> was produced refer</w:t>
      </w:r>
      <w:r w:rsidR="001C3A49">
        <w:rPr>
          <w:sz w:val="24"/>
          <w:lang w:val="en-US"/>
        </w:rPr>
        <w:t>ring to the recommendation that</w:t>
      </w:r>
      <w:r w:rsidR="00170FD5">
        <w:rPr>
          <w:sz w:val="24"/>
          <w:lang w:val="en-US"/>
        </w:rPr>
        <w:t xml:space="preserve"> the matter should be referred to the High Powered Committee (“HPC”) where there would be a fundamental change or departure from the main recommendation of the 2016 Report</w:t>
      </w:r>
      <w:r w:rsidR="00675BA3">
        <w:rPr>
          <w:sz w:val="24"/>
          <w:lang w:val="en-US"/>
        </w:rPr>
        <w:t xml:space="preserve">. According to paragraph 2 of the Disputant’s Statement of Case, the matter has already been referred to the HPC and a decision </w:t>
      </w:r>
      <w:r w:rsidR="001C3A49">
        <w:rPr>
          <w:sz w:val="24"/>
          <w:lang w:val="en-US"/>
        </w:rPr>
        <w:t>was taken.</w:t>
      </w:r>
      <w:r w:rsidR="00675BA3">
        <w:rPr>
          <w:sz w:val="24"/>
          <w:lang w:val="en-US"/>
        </w:rPr>
        <w:t xml:space="preserve"> </w:t>
      </w:r>
      <w:r w:rsidR="001C3A49">
        <w:rPr>
          <w:sz w:val="24"/>
          <w:lang w:val="en-US"/>
        </w:rPr>
        <w:t>T</w:t>
      </w:r>
      <w:r w:rsidR="00675BA3">
        <w:rPr>
          <w:sz w:val="24"/>
          <w:lang w:val="en-US"/>
        </w:rPr>
        <w:t>his administrative decision is</w:t>
      </w:r>
      <w:r w:rsidR="001C3A49">
        <w:rPr>
          <w:sz w:val="24"/>
          <w:lang w:val="en-US"/>
        </w:rPr>
        <w:t xml:space="preserve"> now</w:t>
      </w:r>
      <w:r w:rsidR="00675BA3">
        <w:rPr>
          <w:sz w:val="24"/>
          <w:lang w:val="en-US"/>
        </w:rPr>
        <w:t xml:space="preserve"> being contested before the Tribunal. In relation to the third limb, State Counsel submitted that it appears that a decision was taken by the Standing Committee (set up under </w:t>
      </w:r>
      <w:r w:rsidR="00675BA3" w:rsidRPr="00C0677D">
        <w:rPr>
          <w:i/>
          <w:sz w:val="24"/>
          <w:lang w:val="en-US"/>
        </w:rPr>
        <w:t>paragraph 18.9.18</w:t>
      </w:r>
      <w:r w:rsidR="00675BA3">
        <w:rPr>
          <w:sz w:val="24"/>
          <w:lang w:val="en-US"/>
        </w:rPr>
        <w:t xml:space="preserve"> of the </w:t>
      </w:r>
      <w:r w:rsidR="00675BA3" w:rsidRPr="00C0677D">
        <w:rPr>
          <w:i/>
          <w:sz w:val="24"/>
          <w:lang w:val="en-US"/>
        </w:rPr>
        <w:t>PRB Report 2016</w:t>
      </w:r>
      <w:r w:rsidR="00675BA3">
        <w:rPr>
          <w:sz w:val="24"/>
          <w:lang w:val="en-US"/>
        </w:rPr>
        <w:t xml:space="preserve">) referring to </w:t>
      </w:r>
      <w:r w:rsidR="00C0677D">
        <w:rPr>
          <w:sz w:val="24"/>
          <w:lang w:val="en-US"/>
        </w:rPr>
        <w:t>a letter dated 8 August 2016 annexed as Document 3 to</w:t>
      </w:r>
      <w:r w:rsidR="00675BA3">
        <w:rPr>
          <w:sz w:val="24"/>
          <w:lang w:val="en-US"/>
        </w:rPr>
        <w:t xml:space="preserve"> the Disputant’s Statement of Case</w:t>
      </w:r>
      <w:r w:rsidR="00C0677D">
        <w:rPr>
          <w:sz w:val="24"/>
          <w:lang w:val="en-US"/>
        </w:rPr>
        <w:t>;</w:t>
      </w:r>
      <w:r w:rsidR="00675BA3">
        <w:rPr>
          <w:sz w:val="24"/>
          <w:lang w:val="en-US"/>
        </w:rPr>
        <w:t xml:space="preserve"> this </w:t>
      </w:r>
      <w:r w:rsidR="00675BA3">
        <w:rPr>
          <w:sz w:val="24"/>
          <w:lang w:val="en-US"/>
        </w:rPr>
        <w:lastRenderedPageBreak/>
        <w:t>decision is being presently contested before the Tribunal, which is not the proper forum to do so.</w:t>
      </w:r>
      <w:r w:rsidR="00171AF6">
        <w:rPr>
          <w:sz w:val="24"/>
          <w:lang w:val="en-US"/>
        </w:rPr>
        <w:t xml:space="preserve"> </w:t>
      </w:r>
    </w:p>
    <w:p w:rsidR="00171AF6" w:rsidRDefault="00171AF6" w:rsidP="00F17900">
      <w:pPr>
        <w:spacing w:after="0"/>
        <w:jc w:val="both"/>
        <w:rPr>
          <w:sz w:val="24"/>
          <w:lang w:val="en-US"/>
        </w:rPr>
      </w:pPr>
    </w:p>
    <w:p w:rsidR="00171AF6" w:rsidRDefault="00171AF6" w:rsidP="00F17900">
      <w:pPr>
        <w:spacing w:after="0"/>
        <w:jc w:val="both"/>
        <w:rPr>
          <w:sz w:val="24"/>
          <w:lang w:val="en-US"/>
        </w:rPr>
      </w:pPr>
    </w:p>
    <w:p w:rsidR="00ED2403" w:rsidRDefault="00DB7BB5" w:rsidP="00F17900">
      <w:pPr>
        <w:spacing w:after="0"/>
        <w:jc w:val="both"/>
        <w:rPr>
          <w:sz w:val="24"/>
          <w:lang w:val="en-US"/>
        </w:rPr>
      </w:pPr>
      <w:r>
        <w:rPr>
          <w:sz w:val="24"/>
          <w:lang w:val="en-US"/>
        </w:rPr>
        <w:tab/>
        <w:t xml:space="preserve">Mr N. Gopee has made a statement on behalf of the Disputant in reply to the arguments of the Respondent. Under the first limb of the Preliminary Objection, </w:t>
      </w:r>
      <w:r w:rsidR="003A7263">
        <w:rPr>
          <w:sz w:val="24"/>
          <w:lang w:val="en-US"/>
        </w:rPr>
        <w:t>Mr Gopee stated that it is not disputed that the Disputant signed an Option Form</w:t>
      </w:r>
      <w:r w:rsidR="00AA5FCC">
        <w:rPr>
          <w:sz w:val="24"/>
          <w:lang w:val="en-US"/>
        </w:rPr>
        <w:t xml:space="preserve"> and offered his consent to be governed by the recommendations of the </w:t>
      </w:r>
      <w:r w:rsidR="00AA5FCC" w:rsidRPr="006C1D42">
        <w:rPr>
          <w:i/>
          <w:sz w:val="24"/>
          <w:lang w:val="en-US"/>
        </w:rPr>
        <w:t>PRB</w:t>
      </w:r>
      <w:r w:rsidR="00AA5FCC">
        <w:rPr>
          <w:sz w:val="24"/>
          <w:lang w:val="en-US"/>
        </w:rPr>
        <w:t xml:space="preserve"> in its 2016 report. However, this does not debar the Disputant from disputing the</w:t>
      </w:r>
      <w:r w:rsidR="00403432">
        <w:rPr>
          <w:sz w:val="24"/>
          <w:lang w:val="en-US"/>
        </w:rPr>
        <w:t xml:space="preserve"> interpretation of any of the</w:t>
      </w:r>
      <w:r w:rsidR="00AA5FCC">
        <w:rPr>
          <w:sz w:val="24"/>
          <w:lang w:val="en-US"/>
        </w:rPr>
        <w:t xml:space="preserve"> recommendations of the report</w:t>
      </w:r>
      <w:r w:rsidR="00403432">
        <w:rPr>
          <w:sz w:val="24"/>
          <w:lang w:val="en-US"/>
        </w:rPr>
        <w:t xml:space="preserve"> so long as the dispute does not relate to the substance of the report. The present dispute was not rejected by the President of the CCM nor did the Respondent submit any Preliminary Objection at that instant. Due process requires that the Respondent raises the objections in </w:t>
      </w:r>
      <w:r w:rsidR="00403432" w:rsidRPr="00403432">
        <w:rPr>
          <w:i/>
          <w:sz w:val="24"/>
          <w:lang w:val="en-US"/>
        </w:rPr>
        <w:t>limine litis</w:t>
      </w:r>
      <w:r w:rsidR="00403432">
        <w:rPr>
          <w:sz w:val="24"/>
          <w:lang w:val="en-US"/>
        </w:rPr>
        <w:t xml:space="preserve"> at that stage. </w:t>
      </w:r>
    </w:p>
    <w:p w:rsidR="00ED2403" w:rsidRDefault="00ED2403" w:rsidP="00F17900">
      <w:pPr>
        <w:spacing w:after="0"/>
        <w:jc w:val="both"/>
        <w:rPr>
          <w:sz w:val="24"/>
          <w:lang w:val="en-US"/>
        </w:rPr>
      </w:pPr>
    </w:p>
    <w:p w:rsidR="00ED2403" w:rsidRDefault="00ED2403" w:rsidP="00F17900">
      <w:pPr>
        <w:spacing w:after="0"/>
        <w:jc w:val="both"/>
        <w:rPr>
          <w:sz w:val="24"/>
          <w:lang w:val="en-US"/>
        </w:rPr>
      </w:pPr>
    </w:p>
    <w:p w:rsidR="001F50FA" w:rsidRDefault="00ED2403" w:rsidP="00ED2403">
      <w:pPr>
        <w:spacing w:after="0"/>
        <w:ind w:firstLine="720"/>
        <w:jc w:val="both"/>
        <w:rPr>
          <w:sz w:val="24"/>
          <w:lang w:val="en-US"/>
        </w:rPr>
      </w:pPr>
      <w:r>
        <w:rPr>
          <w:sz w:val="24"/>
          <w:lang w:val="en-US"/>
        </w:rPr>
        <w:t>Mr Gopee has stated that t</w:t>
      </w:r>
      <w:r w:rsidR="00337804">
        <w:rPr>
          <w:sz w:val="24"/>
          <w:lang w:val="en-US"/>
        </w:rPr>
        <w:t xml:space="preserve">he present case concerns the erroneous application of the </w:t>
      </w:r>
      <w:r w:rsidR="00337804" w:rsidRPr="006C1D42">
        <w:rPr>
          <w:i/>
          <w:sz w:val="24"/>
          <w:lang w:val="en-US"/>
        </w:rPr>
        <w:t>PRB</w:t>
      </w:r>
      <w:r w:rsidR="00337804">
        <w:rPr>
          <w:sz w:val="24"/>
          <w:lang w:val="en-US"/>
        </w:rPr>
        <w:t xml:space="preserve"> recommendation regarding HQI in light of </w:t>
      </w:r>
      <w:r w:rsidR="00337804" w:rsidRPr="00337804">
        <w:rPr>
          <w:i/>
          <w:sz w:val="24"/>
          <w:lang w:val="en-US"/>
        </w:rPr>
        <w:t>paragraph 18.9.18A</w:t>
      </w:r>
      <w:r w:rsidR="00337804">
        <w:rPr>
          <w:sz w:val="24"/>
          <w:lang w:val="en-US"/>
        </w:rPr>
        <w:t xml:space="preserve"> of the </w:t>
      </w:r>
      <w:r w:rsidR="00337804" w:rsidRPr="00337804">
        <w:rPr>
          <w:i/>
          <w:sz w:val="24"/>
          <w:lang w:val="en-US"/>
        </w:rPr>
        <w:t>Addendum Report</w:t>
      </w:r>
      <w:r w:rsidR="00337804">
        <w:rPr>
          <w:sz w:val="24"/>
          <w:lang w:val="en-US"/>
        </w:rPr>
        <w:t xml:space="preserve"> (copy of which was produced). Owing to the confusion that HQI might create, the </w:t>
      </w:r>
      <w:r w:rsidR="00337804" w:rsidRPr="00337804">
        <w:rPr>
          <w:i/>
          <w:sz w:val="24"/>
          <w:lang w:val="en-US"/>
        </w:rPr>
        <w:t>PRB</w:t>
      </w:r>
      <w:r w:rsidR="00337804">
        <w:rPr>
          <w:sz w:val="24"/>
          <w:lang w:val="en-US"/>
        </w:rPr>
        <w:t xml:space="preserve"> has entrusted the Standing Committee to look into the smoot</w:t>
      </w:r>
      <w:r w:rsidR="00DF2088">
        <w:rPr>
          <w:sz w:val="24"/>
          <w:lang w:val="en-US"/>
        </w:rPr>
        <w:t>h</w:t>
      </w:r>
      <w:r w:rsidR="00337804">
        <w:rPr>
          <w:sz w:val="24"/>
          <w:lang w:val="en-US"/>
        </w:rPr>
        <w:t xml:space="preserve"> transition mechanism so </w:t>
      </w:r>
      <w:r w:rsidR="00FD3D1A">
        <w:rPr>
          <w:sz w:val="24"/>
          <w:lang w:val="en-US"/>
        </w:rPr>
        <w:t>that</w:t>
      </w:r>
      <w:r w:rsidR="00337804">
        <w:rPr>
          <w:sz w:val="24"/>
          <w:lang w:val="en-US"/>
        </w:rPr>
        <w:t xml:space="preserve"> there </w:t>
      </w:r>
      <w:r w:rsidR="00DF2088">
        <w:rPr>
          <w:sz w:val="24"/>
          <w:lang w:val="en-US"/>
        </w:rPr>
        <w:t>is no</w:t>
      </w:r>
      <w:r w:rsidR="00FD3D1A">
        <w:rPr>
          <w:sz w:val="24"/>
          <w:lang w:val="en-US"/>
        </w:rPr>
        <w:t xml:space="preserve"> </w:t>
      </w:r>
      <w:r w:rsidR="00337804">
        <w:rPr>
          <w:sz w:val="24"/>
          <w:lang w:val="en-US"/>
        </w:rPr>
        <w:t>dispute over either incremental credit or HQI.</w:t>
      </w:r>
      <w:r w:rsidR="00DF2088">
        <w:rPr>
          <w:sz w:val="24"/>
          <w:lang w:val="en-US"/>
        </w:rPr>
        <w:t xml:space="preserve"> The </w:t>
      </w:r>
      <w:r w:rsidR="00DF2088" w:rsidRPr="006D2B17">
        <w:rPr>
          <w:i/>
          <w:sz w:val="24"/>
          <w:lang w:val="en-US"/>
        </w:rPr>
        <w:t>Act</w:t>
      </w:r>
      <w:r w:rsidR="00DF2088">
        <w:rPr>
          <w:sz w:val="24"/>
          <w:lang w:val="en-US"/>
        </w:rPr>
        <w:t xml:space="preserve"> restricts disputes over the substance of the recommendation as far as remuneration and allowance is concerned, but this cannot be construed as a bar to the right of the Disputant to report a dispute over the applicability and implementation of the recommendation. The Disputant </w:t>
      </w:r>
      <w:r>
        <w:rPr>
          <w:sz w:val="24"/>
          <w:lang w:val="en-US"/>
        </w:rPr>
        <w:t xml:space="preserve">contends that the recommendation is wrongly being implemented. A public officer is not debarred from reporting a dispute over the applicability, interpretation and implementation of the recommendation of the </w:t>
      </w:r>
      <w:r w:rsidRPr="00ED2403">
        <w:rPr>
          <w:i/>
          <w:sz w:val="24"/>
          <w:lang w:val="en-US"/>
        </w:rPr>
        <w:t>PRB</w:t>
      </w:r>
      <w:r>
        <w:rPr>
          <w:sz w:val="24"/>
          <w:lang w:val="en-US"/>
        </w:rPr>
        <w:t>.</w:t>
      </w:r>
      <w:r w:rsidR="004730A9">
        <w:rPr>
          <w:sz w:val="24"/>
          <w:lang w:val="en-US"/>
        </w:rPr>
        <w:t xml:space="preserve"> The jurisdiction of the Tribunal can only be disputed on grounds as set out in </w:t>
      </w:r>
      <w:r w:rsidR="004730A9" w:rsidRPr="004730A9">
        <w:rPr>
          <w:i/>
          <w:sz w:val="24"/>
          <w:lang w:val="en-US"/>
        </w:rPr>
        <w:t>section 71</w:t>
      </w:r>
      <w:r w:rsidR="004730A9">
        <w:rPr>
          <w:sz w:val="24"/>
          <w:lang w:val="en-US"/>
        </w:rPr>
        <w:t xml:space="preserve"> of the </w:t>
      </w:r>
      <w:r w:rsidR="004730A9" w:rsidRPr="004730A9">
        <w:rPr>
          <w:i/>
          <w:sz w:val="24"/>
          <w:lang w:val="en-US"/>
        </w:rPr>
        <w:t>Act</w:t>
      </w:r>
      <w:r w:rsidR="004730A9">
        <w:rPr>
          <w:sz w:val="24"/>
          <w:lang w:val="en-US"/>
        </w:rPr>
        <w:t xml:space="preserve">, which does not apply to the present dispute. </w:t>
      </w:r>
      <w:r w:rsidR="001F50FA">
        <w:rPr>
          <w:sz w:val="24"/>
          <w:lang w:val="en-US"/>
        </w:rPr>
        <w:t xml:space="preserve">Under </w:t>
      </w:r>
      <w:r w:rsidR="001F50FA" w:rsidRPr="001F50FA">
        <w:rPr>
          <w:i/>
          <w:sz w:val="24"/>
          <w:lang w:val="en-US"/>
        </w:rPr>
        <w:t>section 97</w:t>
      </w:r>
      <w:r w:rsidR="001F50FA">
        <w:rPr>
          <w:sz w:val="24"/>
          <w:lang w:val="en-US"/>
        </w:rPr>
        <w:t xml:space="preserve"> of the </w:t>
      </w:r>
      <w:r w:rsidR="001F50FA" w:rsidRPr="001F50FA">
        <w:rPr>
          <w:i/>
          <w:sz w:val="24"/>
          <w:lang w:val="en-US"/>
        </w:rPr>
        <w:t>Act</w:t>
      </w:r>
      <w:r w:rsidR="001F50FA">
        <w:rPr>
          <w:sz w:val="24"/>
          <w:lang w:val="en-US"/>
        </w:rPr>
        <w:t xml:space="preserve">, the Tribunal has to maintain good employment relations. </w:t>
      </w:r>
    </w:p>
    <w:p w:rsidR="001F50FA" w:rsidRDefault="001F50FA" w:rsidP="001F50FA">
      <w:pPr>
        <w:spacing w:after="0"/>
        <w:jc w:val="both"/>
        <w:rPr>
          <w:sz w:val="24"/>
          <w:lang w:val="en-US"/>
        </w:rPr>
      </w:pPr>
    </w:p>
    <w:p w:rsidR="001F50FA" w:rsidRDefault="001F50FA" w:rsidP="001F50FA">
      <w:pPr>
        <w:spacing w:after="0"/>
        <w:jc w:val="both"/>
        <w:rPr>
          <w:sz w:val="24"/>
          <w:lang w:val="en-US"/>
        </w:rPr>
      </w:pPr>
    </w:p>
    <w:p w:rsidR="002C6837" w:rsidRDefault="001F50FA" w:rsidP="001F50FA">
      <w:pPr>
        <w:spacing w:after="0"/>
        <w:jc w:val="both"/>
        <w:rPr>
          <w:sz w:val="24"/>
          <w:lang w:val="en-US"/>
        </w:rPr>
      </w:pPr>
      <w:r>
        <w:rPr>
          <w:sz w:val="24"/>
          <w:lang w:val="en-US"/>
        </w:rPr>
        <w:tab/>
        <w:t xml:space="preserve">Under the second limb of the Preliminary Objection, Mr Gopee stated that </w:t>
      </w:r>
      <w:r w:rsidR="0004478B">
        <w:rPr>
          <w:sz w:val="24"/>
          <w:lang w:val="en-US"/>
        </w:rPr>
        <w:t xml:space="preserve">the prayer </w:t>
      </w:r>
      <w:r w:rsidR="00255145">
        <w:rPr>
          <w:sz w:val="24"/>
          <w:lang w:val="en-US"/>
        </w:rPr>
        <w:t>o</w:t>
      </w:r>
      <w:r w:rsidR="0004478B">
        <w:rPr>
          <w:sz w:val="24"/>
          <w:lang w:val="en-US"/>
        </w:rPr>
        <w:t>f</w:t>
      </w:r>
      <w:r w:rsidR="00255145">
        <w:rPr>
          <w:sz w:val="24"/>
          <w:lang w:val="en-US"/>
        </w:rPr>
        <w:t xml:space="preserve"> the Disputant</w:t>
      </w:r>
      <w:r w:rsidR="0004478B">
        <w:rPr>
          <w:sz w:val="24"/>
          <w:lang w:val="en-US"/>
        </w:rPr>
        <w:t xml:space="preserve"> at paragraph 17 of his Statement of Case does not motivate a fundamental change in the substance of the relevant recommendation of the </w:t>
      </w:r>
      <w:r w:rsidR="0004478B" w:rsidRPr="0004478B">
        <w:rPr>
          <w:i/>
          <w:sz w:val="24"/>
          <w:lang w:val="en-US"/>
        </w:rPr>
        <w:t>PRB Report 2016</w:t>
      </w:r>
      <w:r w:rsidR="0004478B">
        <w:rPr>
          <w:sz w:val="24"/>
          <w:lang w:val="en-US"/>
        </w:rPr>
        <w:t xml:space="preserve"> nor does it motivate any departure from same as claimed by the Respondent. </w:t>
      </w:r>
      <w:r w:rsidR="006D2B17">
        <w:rPr>
          <w:sz w:val="24"/>
          <w:lang w:val="en-US"/>
        </w:rPr>
        <w:t xml:space="preserve">He produced a copy of </w:t>
      </w:r>
      <w:r w:rsidR="006D2B17" w:rsidRPr="006D2B17">
        <w:rPr>
          <w:i/>
          <w:sz w:val="24"/>
          <w:lang w:val="en-US"/>
        </w:rPr>
        <w:t xml:space="preserve">paragraph 21.7 </w:t>
      </w:r>
      <w:r w:rsidR="006D2B17">
        <w:rPr>
          <w:sz w:val="24"/>
          <w:lang w:val="en-US"/>
        </w:rPr>
        <w:t xml:space="preserve">of the </w:t>
      </w:r>
      <w:r w:rsidR="006D2B17" w:rsidRPr="006D2B17">
        <w:rPr>
          <w:i/>
          <w:sz w:val="24"/>
          <w:lang w:val="en-US"/>
        </w:rPr>
        <w:t>PRB Report 2016</w:t>
      </w:r>
      <w:r w:rsidR="006D2B17">
        <w:rPr>
          <w:sz w:val="24"/>
          <w:lang w:val="en-US"/>
        </w:rPr>
        <w:t xml:space="preserve"> relating to the effective date of the 2016 report. He referred to the definition of the word ‘</w:t>
      </w:r>
      <w:r w:rsidR="006D2B17" w:rsidRPr="00C04DF3">
        <w:rPr>
          <w:i/>
          <w:sz w:val="24"/>
          <w:lang w:val="en-US"/>
        </w:rPr>
        <w:t>prospectively</w:t>
      </w:r>
      <w:r w:rsidR="006D2B17">
        <w:rPr>
          <w:sz w:val="24"/>
          <w:lang w:val="en-US"/>
        </w:rPr>
        <w:t xml:space="preserve">’ in the case of </w:t>
      </w:r>
      <w:r w:rsidR="006D2B17" w:rsidRPr="006D2B17">
        <w:rPr>
          <w:i/>
          <w:sz w:val="24"/>
          <w:lang w:val="en-US"/>
        </w:rPr>
        <w:t>Government Services</w:t>
      </w:r>
      <w:r w:rsidR="00304CA3">
        <w:rPr>
          <w:i/>
          <w:sz w:val="24"/>
          <w:lang w:val="en-US"/>
        </w:rPr>
        <w:t xml:space="preserve"> Employees</w:t>
      </w:r>
      <w:r w:rsidR="006D2B17" w:rsidRPr="006D2B17">
        <w:rPr>
          <w:i/>
          <w:sz w:val="24"/>
          <w:lang w:val="en-US"/>
        </w:rPr>
        <w:t xml:space="preserve"> Association and The State of Mauritius as represented by the Mauritius Fire</w:t>
      </w:r>
      <w:r w:rsidR="00304CA3">
        <w:rPr>
          <w:i/>
          <w:sz w:val="24"/>
          <w:lang w:val="en-US"/>
        </w:rPr>
        <w:t xml:space="preserve"> and Rescue</w:t>
      </w:r>
      <w:r w:rsidR="006D2B17" w:rsidRPr="006D2B17">
        <w:rPr>
          <w:i/>
          <w:sz w:val="24"/>
          <w:lang w:val="en-US"/>
        </w:rPr>
        <w:t xml:space="preserve"> Services</w:t>
      </w:r>
      <w:r w:rsidR="006D2B17">
        <w:rPr>
          <w:sz w:val="24"/>
          <w:lang w:val="en-US"/>
        </w:rPr>
        <w:t xml:space="preserve"> (</w:t>
      </w:r>
      <w:r w:rsidR="006D2B17" w:rsidRPr="006D2B17">
        <w:rPr>
          <w:i/>
          <w:sz w:val="24"/>
          <w:lang w:val="en-US"/>
        </w:rPr>
        <w:t>ERT/RN 65/17</w:t>
      </w:r>
      <w:r w:rsidR="006D2B17">
        <w:rPr>
          <w:sz w:val="24"/>
          <w:lang w:val="en-US"/>
        </w:rPr>
        <w:t>). He also submitted</w:t>
      </w:r>
      <w:r w:rsidR="00F02CFA">
        <w:rPr>
          <w:sz w:val="24"/>
          <w:lang w:val="en-US"/>
        </w:rPr>
        <w:t xml:space="preserve"> a copy of</w:t>
      </w:r>
      <w:r w:rsidR="006D2B17">
        <w:rPr>
          <w:sz w:val="24"/>
          <w:lang w:val="en-US"/>
        </w:rPr>
        <w:t xml:space="preserve"> </w:t>
      </w:r>
      <w:r w:rsidR="006D2B17" w:rsidRPr="006D2B17">
        <w:rPr>
          <w:i/>
          <w:sz w:val="24"/>
          <w:lang w:val="en-US"/>
        </w:rPr>
        <w:t>paragraph 18.9.16 (v)</w:t>
      </w:r>
      <w:r w:rsidR="006D2B17">
        <w:rPr>
          <w:sz w:val="24"/>
          <w:lang w:val="en-US"/>
        </w:rPr>
        <w:t xml:space="preserve"> of the </w:t>
      </w:r>
      <w:r w:rsidR="006D2B17" w:rsidRPr="006D2B17">
        <w:rPr>
          <w:i/>
          <w:sz w:val="24"/>
          <w:lang w:val="en-US"/>
        </w:rPr>
        <w:t>PRB Report 2016</w:t>
      </w:r>
      <w:r w:rsidR="006D2B17">
        <w:rPr>
          <w:sz w:val="24"/>
          <w:lang w:val="en-US"/>
        </w:rPr>
        <w:t xml:space="preserve"> dealing with HQI. </w:t>
      </w:r>
      <w:r w:rsidR="007D03AA">
        <w:rPr>
          <w:sz w:val="24"/>
          <w:lang w:val="en-US"/>
        </w:rPr>
        <w:t xml:space="preserve">Under the third limb of the Preliminary Objections, the Disputant has contended that </w:t>
      </w:r>
      <w:r w:rsidR="00FD3D1A">
        <w:rPr>
          <w:sz w:val="24"/>
          <w:lang w:val="en-US"/>
        </w:rPr>
        <w:t>he is</w:t>
      </w:r>
      <w:r w:rsidR="007D03AA">
        <w:rPr>
          <w:sz w:val="24"/>
          <w:lang w:val="en-US"/>
        </w:rPr>
        <w:t xml:space="preserve"> not challenging the administrative decision of the HPC but just simply disputing the implementation, applicability and interpretation. Mr Gopee also stated that </w:t>
      </w:r>
      <w:r w:rsidR="007D03AA">
        <w:rPr>
          <w:sz w:val="24"/>
          <w:lang w:val="en-US"/>
        </w:rPr>
        <w:lastRenderedPageBreak/>
        <w:t xml:space="preserve">definition of remuneration under the </w:t>
      </w:r>
      <w:r w:rsidR="007D03AA" w:rsidRPr="00F02CFA">
        <w:rPr>
          <w:i/>
          <w:sz w:val="24"/>
          <w:lang w:val="en-US"/>
        </w:rPr>
        <w:t xml:space="preserve">Employment Rights Act </w:t>
      </w:r>
      <w:r w:rsidR="007D03AA" w:rsidRPr="00F02CFA">
        <w:rPr>
          <w:sz w:val="24"/>
          <w:lang w:val="en-US"/>
        </w:rPr>
        <w:t>does</w:t>
      </w:r>
      <w:r w:rsidR="007D03AA">
        <w:rPr>
          <w:sz w:val="24"/>
          <w:lang w:val="en-US"/>
        </w:rPr>
        <w:t xml:space="preserve"> not apply to public officers and applies to the private sector. </w:t>
      </w:r>
      <w:r w:rsidR="006D2B17">
        <w:rPr>
          <w:sz w:val="24"/>
          <w:lang w:val="en-US"/>
        </w:rPr>
        <w:t xml:space="preserve">  </w:t>
      </w:r>
      <w:r w:rsidR="0004478B">
        <w:rPr>
          <w:sz w:val="24"/>
          <w:lang w:val="en-US"/>
        </w:rPr>
        <w:t xml:space="preserve"> </w:t>
      </w:r>
      <w:r w:rsidR="00255145">
        <w:rPr>
          <w:sz w:val="24"/>
          <w:lang w:val="en-US"/>
        </w:rPr>
        <w:t xml:space="preserve"> </w:t>
      </w:r>
      <w:r>
        <w:rPr>
          <w:sz w:val="24"/>
          <w:lang w:val="en-US"/>
        </w:rPr>
        <w:t xml:space="preserve">  </w:t>
      </w:r>
      <w:r w:rsidR="004730A9">
        <w:rPr>
          <w:sz w:val="24"/>
          <w:lang w:val="en-US"/>
        </w:rPr>
        <w:t xml:space="preserve"> </w:t>
      </w:r>
      <w:r w:rsidR="00ED2403">
        <w:rPr>
          <w:sz w:val="24"/>
          <w:lang w:val="en-US"/>
        </w:rPr>
        <w:t xml:space="preserve"> </w:t>
      </w:r>
      <w:r w:rsidR="00DF2088">
        <w:rPr>
          <w:sz w:val="24"/>
          <w:lang w:val="en-US"/>
        </w:rPr>
        <w:t xml:space="preserve">  </w:t>
      </w:r>
      <w:r w:rsidR="00337804">
        <w:rPr>
          <w:sz w:val="24"/>
          <w:lang w:val="en-US"/>
        </w:rPr>
        <w:t xml:space="preserve">   </w:t>
      </w:r>
      <w:r w:rsidR="00403432">
        <w:rPr>
          <w:sz w:val="24"/>
          <w:lang w:val="en-US"/>
        </w:rPr>
        <w:t xml:space="preserve"> </w:t>
      </w:r>
      <w:r w:rsidR="003A7263">
        <w:rPr>
          <w:sz w:val="24"/>
          <w:lang w:val="en-US"/>
        </w:rPr>
        <w:t xml:space="preserve"> </w:t>
      </w:r>
      <w:r w:rsidR="00C0677D">
        <w:rPr>
          <w:sz w:val="24"/>
          <w:lang w:val="en-US"/>
        </w:rPr>
        <w:t xml:space="preserve"> </w:t>
      </w:r>
      <w:r w:rsidR="00675BA3">
        <w:rPr>
          <w:sz w:val="24"/>
          <w:lang w:val="en-US"/>
        </w:rPr>
        <w:t xml:space="preserve">  </w:t>
      </w:r>
      <w:r w:rsidR="00976E94">
        <w:rPr>
          <w:sz w:val="24"/>
          <w:lang w:val="en-US"/>
        </w:rPr>
        <w:t xml:space="preserve"> </w:t>
      </w:r>
      <w:r w:rsidR="00410B20">
        <w:rPr>
          <w:sz w:val="24"/>
          <w:lang w:val="en-US"/>
        </w:rPr>
        <w:t xml:space="preserve">   </w:t>
      </w:r>
      <w:r w:rsidR="00F16D13">
        <w:rPr>
          <w:sz w:val="24"/>
          <w:lang w:val="en-US"/>
        </w:rPr>
        <w:t xml:space="preserve">  </w:t>
      </w:r>
      <w:r w:rsidR="002754B4">
        <w:rPr>
          <w:sz w:val="24"/>
          <w:lang w:val="en-US"/>
        </w:rPr>
        <w:t xml:space="preserve">    </w:t>
      </w:r>
      <w:r w:rsidR="00626E7B">
        <w:rPr>
          <w:sz w:val="24"/>
          <w:lang w:val="en-US"/>
        </w:rPr>
        <w:t xml:space="preserve"> </w:t>
      </w:r>
      <w:r w:rsidR="004709E9">
        <w:rPr>
          <w:sz w:val="24"/>
          <w:lang w:val="en-US"/>
        </w:rPr>
        <w:t xml:space="preserve"> </w:t>
      </w:r>
      <w:r w:rsidR="00766B92">
        <w:rPr>
          <w:sz w:val="24"/>
          <w:lang w:val="en-US"/>
        </w:rPr>
        <w:t xml:space="preserve"> </w:t>
      </w:r>
      <w:r w:rsidR="00E43F48">
        <w:rPr>
          <w:sz w:val="24"/>
          <w:lang w:val="en-US"/>
        </w:rPr>
        <w:t xml:space="preserve">  </w:t>
      </w:r>
      <w:r w:rsidR="00B84DEB">
        <w:rPr>
          <w:sz w:val="24"/>
          <w:lang w:val="en-US"/>
        </w:rPr>
        <w:t xml:space="preserve">   </w:t>
      </w:r>
      <w:r w:rsidR="002C6837">
        <w:rPr>
          <w:sz w:val="24"/>
          <w:lang w:val="en-US"/>
        </w:rPr>
        <w:t xml:space="preserve">  </w:t>
      </w:r>
    </w:p>
    <w:p w:rsidR="00F17900" w:rsidRDefault="00F17900" w:rsidP="00F17900">
      <w:pPr>
        <w:spacing w:after="0"/>
        <w:jc w:val="both"/>
        <w:rPr>
          <w:sz w:val="24"/>
          <w:lang w:val="en-US"/>
        </w:rPr>
      </w:pPr>
    </w:p>
    <w:p w:rsidR="004034F7" w:rsidRDefault="004034F7" w:rsidP="00F17900">
      <w:pPr>
        <w:spacing w:after="0"/>
        <w:jc w:val="both"/>
        <w:rPr>
          <w:sz w:val="24"/>
          <w:lang w:val="en-US"/>
        </w:rPr>
      </w:pPr>
    </w:p>
    <w:p w:rsidR="004034F7" w:rsidRDefault="004034F7" w:rsidP="00F17900">
      <w:pPr>
        <w:spacing w:after="0"/>
        <w:jc w:val="both"/>
        <w:rPr>
          <w:sz w:val="24"/>
          <w:lang w:val="en-US"/>
        </w:rPr>
      </w:pPr>
      <w:r>
        <w:rPr>
          <w:sz w:val="24"/>
          <w:lang w:val="en-US"/>
        </w:rPr>
        <w:tab/>
        <w:t>The Res</w:t>
      </w:r>
      <w:r w:rsidR="00CB11A8">
        <w:rPr>
          <w:sz w:val="24"/>
          <w:lang w:val="en-US"/>
        </w:rPr>
        <w:t>pondent, under the first limb of</w:t>
      </w:r>
      <w:r>
        <w:rPr>
          <w:sz w:val="24"/>
          <w:lang w:val="en-US"/>
        </w:rPr>
        <w:t xml:space="preserve"> the Preliminary Objection in Law, contends that the dispute does not constitute a labour dispute as defined at paragraph (b) of the </w:t>
      </w:r>
      <w:r w:rsidR="00C545A5">
        <w:rPr>
          <w:sz w:val="24"/>
          <w:lang w:val="en-US"/>
        </w:rPr>
        <w:t>meaning</w:t>
      </w:r>
      <w:r>
        <w:rPr>
          <w:sz w:val="24"/>
          <w:lang w:val="en-US"/>
        </w:rPr>
        <w:t xml:space="preserve"> of labour dispute under </w:t>
      </w:r>
      <w:r w:rsidR="006426AC" w:rsidRPr="006426AC">
        <w:rPr>
          <w:i/>
          <w:sz w:val="24"/>
          <w:lang w:val="en-US"/>
        </w:rPr>
        <w:t>section 2</w:t>
      </w:r>
      <w:r w:rsidR="006426AC">
        <w:rPr>
          <w:sz w:val="24"/>
          <w:lang w:val="en-US"/>
        </w:rPr>
        <w:t xml:space="preserve"> of </w:t>
      </w:r>
      <w:r>
        <w:rPr>
          <w:sz w:val="24"/>
          <w:lang w:val="en-US"/>
        </w:rPr>
        <w:t xml:space="preserve">the </w:t>
      </w:r>
      <w:r w:rsidRPr="004034F7">
        <w:rPr>
          <w:i/>
          <w:sz w:val="24"/>
          <w:lang w:val="en-US"/>
        </w:rPr>
        <w:t>Act</w:t>
      </w:r>
      <w:r>
        <w:rPr>
          <w:sz w:val="24"/>
          <w:lang w:val="en-US"/>
        </w:rPr>
        <w:t>. In fact, the Respondent is referring to the following provision of the law:</w:t>
      </w:r>
    </w:p>
    <w:p w:rsidR="004034F7" w:rsidRPr="006426AC" w:rsidRDefault="004034F7" w:rsidP="00F17900">
      <w:pPr>
        <w:spacing w:after="0"/>
        <w:jc w:val="both"/>
        <w:rPr>
          <w:lang w:val="en-US"/>
        </w:rPr>
      </w:pPr>
    </w:p>
    <w:p w:rsidR="004034F7" w:rsidRPr="004034F7" w:rsidRDefault="004034F7" w:rsidP="003C08F0">
      <w:pPr>
        <w:spacing w:after="0"/>
        <w:ind w:right="900"/>
        <w:jc w:val="both"/>
        <w:rPr>
          <w:rFonts w:cs="ArialMT"/>
          <w:i/>
          <w:lang w:val="en-US"/>
        </w:rPr>
      </w:pPr>
      <w:r>
        <w:rPr>
          <w:sz w:val="24"/>
          <w:lang w:val="en-US"/>
        </w:rPr>
        <w:tab/>
      </w:r>
      <w:r w:rsidRPr="004034F7">
        <w:rPr>
          <w:rFonts w:cs="ArialMT"/>
          <w:i/>
          <w:lang w:val="en-US"/>
        </w:rPr>
        <w:t>“labour dispute” –</w:t>
      </w:r>
    </w:p>
    <w:p w:rsidR="004034F7" w:rsidRPr="004034F7" w:rsidRDefault="004034F7" w:rsidP="003C08F0">
      <w:pPr>
        <w:spacing w:after="0"/>
        <w:ind w:right="900"/>
        <w:jc w:val="both"/>
        <w:rPr>
          <w:rFonts w:cs="ArialMT"/>
          <w:i/>
          <w:lang w:val="en-US"/>
        </w:rPr>
      </w:pPr>
      <w:r w:rsidRPr="004034F7">
        <w:rPr>
          <w:rFonts w:cs="ArialMT"/>
          <w:i/>
          <w:lang w:val="en-US"/>
        </w:rPr>
        <w:tab/>
      </w:r>
      <w:r w:rsidRPr="004034F7">
        <w:rPr>
          <w:rFonts w:cs="ArialMT"/>
          <w:i/>
          <w:lang w:val="en-US"/>
        </w:rPr>
        <w:tab/>
        <w:t>…</w:t>
      </w:r>
    </w:p>
    <w:p w:rsidR="004034F7" w:rsidRPr="004034F7" w:rsidRDefault="004034F7" w:rsidP="003C08F0">
      <w:pPr>
        <w:autoSpaceDE w:val="0"/>
        <w:autoSpaceDN w:val="0"/>
        <w:adjustRightInd w:val="0"/>
        <w:spacing w:after="0" w:line="240" w:lineRule="auto"/>
        <w:ind w:left="2160" w:right="900" w:hanging="720"/>
        <w:jc w:val="both"/>
        <w:rPr>
          <w:rFonts w:cs="ArialMT"/>
          <w:i/>
          <w:lang w:val="en-US"/>
        </w:rPr>
      </w:pPr>
      <w:r w:rsidRPr="004034F7">
        <w:rPr>
          <w:rFonts w:cs="ArialMT"/>
          <w:i/>
          <w:lang w:val="en-US"/>
        </w:rPr>
        <w:t>(b)</w:t>
      </w:r>
      <w:r w:rsidRPr="004034F7">
        <w:rPr>
          <w:rFonts w:cs="ArialMT"/>
          <w:i/>
          <w:lang w:val="en-US"/>
        </w:rPr>
        <w:tab/>
        <w:t>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w:t>
      </w:r>
    </w:p>
    <w:p w:rsidR="004034F7" w:rsidRDefault="004034F7" w:rsidP="00F17900">
      <w:pPr>
        <w:spacing w:after="0"/>
        <w:jc w:val="both"/>
        <w:rPr>
          <w:sz w:val="24"/>
          <w:lang w:val="en-US"/>
        </w:rPr>
      </w:pPr>
    </w:p>
    <w:p w:rsidR="004034F7" w:rsidRDefault="004034F7" w:rsidP="00F17900">
      <w:pPr>
        <w:spacing w:after="0"/>
        <w:jc w:val="both"/>
        <w:rPr>
          <w:sz w:val="24"/>
          <w:lang w:val="en-US"/>
        </w:rPr>
      </w:pPr>
    </w:p>
    <w:p w:rsidR="004034F7" w:rsidRDefault="004034F7" w:rsidP="00F17900">
      <w:pPr>
        <w:spacing w:after="0"/>
        <w:jc w:val="both"/>
        <w:rPr>
          <w:sz w:val="24"/>
          <w:lang w:val="en-US"/>
        </w:rPr>
      </w:pPr>
      <w:r>
        <w:rPr>
          <w:sz w:val="24"/>
          <w:lang w:val="en-US"/>
        </w:rPr>
        <w:tab/>
        <w:t xml:space="preserve">As per the Terms of Reference of the present matter, the Tribunal is being asked to enquire into whether the Disputant should be granted incremental credit as per </w:t>
      </w:r>
      <w:r w:rsidRPr="004034F7">
        <w:rPr>
          <w:i/>
          <w:sz w:val="24"/>
          <w:lang w:val="en-US"/>
        </w:rPr>
        <w:t xml:space="preserve">paragraph 18.9.19 </w:t>
      </w:r>
      <w:r>
        <w:rPr>
          <w:sz w:val="24"/>
          <w:lang w:val="en-US"/>
        </w:rPr>
        <w:t xml:space="preserve">of the </w:t>
      </w:r>
      <w:r w:rsidRPr="004034F7">
        <w:rPr>
          <w:i/>
          <w:sz w:val="24"/>
          <w:lang w:val="en-US"/>
        </w:rPr>
        <w:t>PRB Report 2013</w:t>
      </w:r>
      <w:r>
        <w:rPr>
          <w:sz w:val="24"/>
          <w:lang w:val="en-US"/>
        </w:rPr>
        <w:t xml:space="preserve"> for the BSc in Management awarded to him in December 2015 or be paid a </w:t>
      </w:r>
      <w:r w:rsidR="00F176E8">
        <w:rPr>
          <w:sz w:val="24"/>
          <w:lang w:val="en-US"/>
        </w:rPr>
        <w:t xml:space="preserve">non-pensionable </w:t>
      </w:r>
      <w:r>
        <w:rPr>
          <w:sz w:val="24"/>
          <w:lang w:val="en-US"/>
        </w:rPr>
        <w:t xml:space="preserve">lump sum for same in accordance with </w:t>
      </w:r>
      <w:r w:rsidRPr="004034F7">
        <w:rPr>
          <w:i/>
          <w:sz w:val="24"/>
          <w:lang w:val="en-US"/>
        </w:rPr>
        <w:t>paragraph 18.9.16 (v)</w:t>
      </w:r>
      <w:r>
        <w:rPr>
          <w:sz w:val="24"/>
          <w:lang w:val="en-US"/>
        </w:rPr>
        <w:t xml:space="preserve"> of the </w:t>
      </w:r>
      <w:r w:rsidRPr="004034F7">
        <w:rPr>
          <w:i/>
          <w:sz w:val="24"/>
          <w:lang w:val="en-US"/>
        </w:rPr>
        <w:t>PRB Report 2016</w:t>
      </w:r>
      <w:r>
        <w:rPr>
          <w:sz w:val="24"/>
          <w:lang w:val="en-US"/>
        </w:rPr>
        <w:t xml:space="preserve">. </w:t>
      </w:r>
    </w:p>
    <w:p w:rsidR="004034F7" w:rsidRDefault="004034F7" w:rsidP="00F17900">
      <w:pPr>
        <w:spacing w:after="0"/>
        <w:jc w:val="both"/>
        <w:rPr>
          <w:sz w:val="24"/>
          <w:lang w:val="en-US"/>
        </w:rPr>
      </w:pPr>
    </w:p>
    <w:p w:rsidR="004034F7" w:rsidRDefault="004034F7" w:rsidP="00F17900">
      <w:pPr>
        <w:spacing w:after="0"/>
        <w:jc w:val="both"/>
        <w:rPr>
          <w:sz w:val="24"/>
          <w:lang w:val="en-US"/>
        </w:rPr>
      </w:pPr>
    </w:p>
    <w:p w:rsidR="003C08F0" w:rsidRDefault="003C08F0" w:rsidP="00F17900">
      <w:pPr>
        <w:spacing w:after="0"/>
        <w:jc w:val="both"/>
        <w:rPr>
          <w:sz w:val="24"/>
          <w:lang w:val="en-US"/>
        </w:rPr>
      </w:pPr>
      <w:r>
        <w:rPr>
          <w:sz w:val="24"/>
          <w:lang w:val="en-US"/>
        </w:rPr>
        <w:tab/>
        <w:t xml:space="preserve">It should also be noted that the Disputant, in his Statement of Case, is praying for </w:t>
      </w:r>
      <w:r w:rsidR="00D76096">
        <w:rPr>
          <w:sz w:val="24"/>
          <w:lang w:val="en-US"/>
        </w:rPr>
        <w:t>‘</w:t>
      </w:r>
      <w:r w:rsidRPr="003C08F0">
        <w:rPr>
          <w:i/>
          <w:sz w:val="24"/>
          <w:lang w:val="en-US"/>
        </w:rPr>
        <w:t>the Tribunal to reinstate him in his right to be awarded an incremental credit for his higher qualification in line with paragraph 18.9.19 under Recommendation 7 of PRB Report 201</w:t>
      </w:r>
      <w:r w:rsidR="00453E99">
        <w:rPr>
          <w:i/>
          <w:sz w:val="24"/>
          <w:lang w:val="en-US"/>
        </w:rPr>
        <w:t>3</w:t>
      </w:r>
      <w:r w:rsidR="00D76096">
        <w:rPr>
          <w:sz w:val="24"/>
          <w:lang w:val="en-US"/>
        </w:rPr>
        <w:t>’</w:t>
      </w:r>
      <w:r>
        <w:rPr>
          <w:sz w:val="24"/>
          <w:lang w:val="en-US"/>
        </w:rPr>
        <w:t xml:space="preserve">.     </w:t>
      </w:r>
    </w:p>
    <w:p w:rsidR="003C08F0" w:rsidRDefault="003C08F0" w:rsidP="00F17900">
      <w:pPr>
        <w:spacing w:after="0"/>
        <w:jc w:val="both"/>
        <w:rPr>
          <w:sz w:val="24"/>
          <w:lang w:val="en-US"/>
        </w:rPr>
      </w:pPr>
    </w:p>
    <w:p w:rsidR="003C08F0" w:rsidRDefault="003C08F0" w:rsidP="00F17900">
      <w:pPr>
        <w:spacing w:after="0"/>
        <w:jc w:val="both"/>
        <w:rPr>
          <w:sz w:val="24"/>
          <w:lang w:val="en-US"/>
        </w:rPr>
      </w:pPr>
    </w:p>
    <w:p w:rsidR="004034F7" w:rsidRDefault="004034F7" w:rsidP="00F17900">
      <w:pPr>
        <w:spacing w:after="0"/>
        <w:jc w:val="both"/>
        <w:rPr>
          <w:sz w:val="24"/>
          <w:lang w:val="en-US"/>
        </w:rPr>
      </w:pPr>
      <w:r>
        <w:rPr>
          <w:sz w:val="24"/>
          <w:lang w:val="en-US"/>
        </w:rPr>
        <w:tab/>
        <w:t>It is useful to set out the aforesaid paragraphs of the</w:t>
      </w:r>
      <w:r w:rsidR="003C08F0">
        <w:rPr>
          <w:sz w:val="24"/>
          <w:lang w:val="en-US"/>
        </w:rPr>
        <w:t xml:space="preserve"> aforementioned</w:t>
      </w:r>
      <w:r>
        <w:rPr>
          <w:sz w:val="24"/>
          <w:lang w:val="en-US"/>
        </w:rPr>
        <w:t xml:space="preserve"> </w:t>
      </w:r>
      <w:r w:rsidRPr="003C08F0">
        <w:rPr>
          <w:i/>
          <w:sz w:val="24"/>
          <w:lang w:val="en-US"/>
        </w:rPr>
        <w:t>PRB Reports</w:t>
      </w:r>
      <w:r>
        <w:rPr>
          <w:sz w:val="24"/>
          <w:lang w:val="en-US"/>
        </w:rPr>
        <w:t xml:space="preserve">. </w:t>
      </w:r>
      <w:r w:rsidRPr="003C08F0">
        <w:rPr>
          <w:i/>
          <w:sz w:val="24"/>
          <w:lang w:val="en-US"/>
        </w:rPr>
        <w:t>Paragraph 18.9.19</w:t>
      </w:r>
      <w:r>
        <w:rPr>
          <w:sz w:val="24"/>
          <w:lang w:val="en-US"/>
        </w:rPr>
        <w:t xml:space="preserve"> of the </w:t>
      </w:r>
      <w:r w:rsidRPr="003C08F0">
        <w:rPr>
          <w:i/>
          <w:sz w:val="24"/>
          <w:lang w:val="en-US"/>
        </w:rPr>
        <w:t>PRB Report 2013 Volume 1</w:t>
      </w:r>
      <w:r>
        <w:rPr>
          <w:sz w:val="24"/>
          <w:lang w:val="en-US"/>
        </w:rPr>
        <w:t xml:space="preserve"> provides as follows:</w:t>
      </w:r>
    </w:p>
    <w:p w:rsidR="004034F7" w:rsidRPr="006668BB" w:rsidRDefault="003C08F0" w:rsidP="00F17900">
      <w:pPr>
        <w:spacing w:after="0"/>
        <w:jc w:val="both"/>
        <w:rPr>
          <w:lang w:val="en-US"/>
        </w:rPr>
      </w:pPr>
      <w:r>
        <w:rPr>
          <w:sz w:val="24"/>
          <w:lang w:val="en-US"/>
        </w:rPr>
        <w:tab/>
      </w:r>
    </w:p>
    <w:p w:rsidR="006A62C5" w:rsidRPr="00CE61C5" w:rsidRDefault="003C08F0" w:rsidP="006A62C5">
      <w:pPr>
        <w:pStyle w:val="Default"/>
        <w:rPr>
          <w:rFonts w:asciiTheme="minorHAnsi" w:hAnsiTheme="minorHAnsi"/>
          <w:i/>
          <w:sz w:val="22"/>
          <w:szCs w:val="22"/>
        </w:rPr>
      </w:pPr>
      <w:r>
        <w:tab/>
      </w:r>
      <w:r w:rsidR="006A62C5" w:rsidRPr="00CE61C5">
        <w:rPr>
          <w:rFonts w:asciiTheme="minorHAnsi" w:hAnsiTheme="minorHAnsi"/>
          <w:b/>
          <w:bCs/>
          <w:i/>
          <w:sz w:val="22"/>
          <w:szCs w:val="22"/>
        </w:rPr>
        <w:t xml:space="preserve">Recommendation 7 </w:t>
      </w:r>
    </w:p>
    <w:p w:rsidR="006A62C5" w:rsidRPr="00CE61C5" w:rsidRDefault="006A62C5" w:rsidP="006A62C5">
      <w:pPr>
        <w:pStyle w:val="Default"/>
        <w:ind w:firstLine="720"/>
        <w:rPr>
          <w:rFonts w:asciiTheme="minorHAnsi" w:hAnsiTheme="minorHAnsi"/>
          <w:b/>
          <w:bCs/>
          <w:i/>
          <w:sz w:val="22"/>
          <w:szCs w:val="22"/>
        </w:rPr>
      </w:pPr>
    </w:p>
    <w:p w:rsidR="006A62C5" w:rsidRPr="00CE61C5" w:rsidRDefault="006A62C5" w:rsidP="00CE61C5">
      <w:pPr>
        <w:pStyle w:val="Default"/>
        <w:ind w:left="2160" w:right="900" w:hanging="1440"/>
        <w:jc w:val="both"/>
        <w:rPr>
          <w:rFonts w:asciiTheme="minorHAnsi" w:hAnsiTheme="minorHAnsi"/>
          <w:i/>
          <w:sz w:val="22"/>
          <w:szCs w:val="22"/>
        </w:rPr>
      </w:pPr>
      <w:r w:rsidRPr="00CE61C5">
        <w:rPr>
          <w:rFonts w:asciiTheme="minorHAnsi" w:hAnsiTheme="minorHAnsi"/>
          <w:b/>
          <w:bCs/>
          <w:i/>
          <w:sz w:val="22"/>
          <w:szCs w:val="22"/>
        </w:rPr>
        <w:t xml:space="preserve">18.9.19 </w:t>
      </w:r>
      <w:r w:rsidRPr="00CE61C5">
        <w:rPr>
          <w:rFonts w:asciiTheme="minorHAnsi" w:hAnsiTheme="minorHAnsi"/>
          <w:b/>
          <w:bCs/>
          <w:i/>
          <w:sz w:val="22"/>
          <w:szCs w:val="22"/>
        </w:rPr>
        <w:tab/>
        <w:t xml:space="preserve">We recommend the grant of one incremental credit for each level of additional qualification obtained, whether partly relevant or not, subject to a maximum of three, as follows: </w:t>
      </w:r>
    </w:p>
    <w:p w:rsidR="006A62C5" w:rsidRPr="00CE61C5" w:rsidRDefault="006A62C5" w:rsidP="00CE61C5">
      <w:pPr>
        <w:pStyle w:val="Default"/>
        <w:ind w:right="900"/>
        <w:jc w:val="both"/>
        <w:rPr>
          <w:rFonts w:asciiTheme="minorHAnsi" w:hAnsiTheme="minorHAnsi"/>
          <w:i/>
          <w:sz w:val="22"/>
          <w:szCs w:val="22"/>
        </w:rPr>
      </w:pPr>
    </w:p>
    <w:p w:rsidR="003C08F0" w:rsidRPr="00CE61C5" w:rsidRDefault="00D173EF" w:rsidP="00CE61C5">
      <w:pPr>
        <w:spacing w:after="0"/>
        <w:ind w:left="1440" w:right="900" w:firstLine="720"/>
        <w:jc w:val="both"/>
        <w:rPr>
          <w:b/>
          <w:bCs/>
          <w:i/>
        </w:rPr>
      </w:pPr>
      <w:r w:rsidRPr="00CE61C5">
        <w:rPr>
          <w:b/>
          <w:bCs/>
          <w:i/>
        </w:rPr>
        <w:t>(a)</w:t>
      </w:r>
      <w:r w:rsidRPr="00CE61C5">
        <w:rPr>
          <w:b/>
          <w:bCs/>
          <w:i/>
        </w:rPr>
        <w:tab/>
      </w:r>
      <w:r w:rsidR="006A62C5" w:rsidRPr="00CE61C5">
        <w:rPr>
          <w:b/>
          <w:bCs/>
          <w:i/>
        </w:rPr>
        <w:t xml:space="preserve">Bachelor Degree </w:t>
      </w:r>
      <w:r w:rsidRPr="00CE61C5">
        <w:rPr>
          <w:b/>
          <w:bCs/>
          <w:i/>
        </w:rPr>
        <w:tab/>
      </w:r>
      <w:r w:rsidR="006A62C5" w:rsidRPr="00CE61C5">
        <w:rPr>
          <w:b/>
          <w:bCs/>
          <w:i/>
        </w:rPr>
        <w:t xml:space="preserve">- </w:t>
      </w:r>
      <w:r w:rsidRPr="00CE61C5">
        <w:rPr>
          <w:b/>
          <w:bCs/>
          <w:i/>
        </w:rPr>
        <w:tab/>
      </w:r>
      <w:r w:rsidR="006A62C5" w:rsidRPr="00CE61C5">
        <w:rPr>
          <w:b/>
          <w:bCs/>
          <w:i/>
        </w:rPr>
        <w:t>One increment</w:t>
      </w:r>
    </w:p>
    <w:p w:rsidR="006A62C5" w:rsidRPr="00CE61C5" w:rsidRDefault="006A62C5" w:rsidP="00CE61C5">
      <w:pPr>
        <w:pStyle w:val="Default"/>
        <w:ind w:left="2880" w:right="900" w:hanging="720"/>
        <w:jc w:val="both"/>
        <w:rPr>
          <w:rFonts w:asciiTheme="minorHAnsi" w:hAnsiTheme="minorHAnsi"/>
          <w:i/>
          <w:sz w:val="22"/>
          <w:szCs w:val="22"/>
        </w:rPr>
      </w:pPr>
      <w:r w:rsidRPr="00CE61C5">
        <w:rPr>
          <w:rFonts w:asciiTheme="minorHAnsi" w:hAnsiTheme="minorHAnsi"/>
          <w:b/>
          <w:bCs/>
          <w:i/>
          <w:sz w:val="22"/>
          <w:szCs w:val="22"/>
        </w:rPr>
        <w:t xml:space="preserve">(b) </w:t>
      </w:r>
      <w:r w:rsidR="00D173EF" w:rsidRPr="00CE61C5">
        <w:rPr>
          <w:rFonts w:asciiTheme="minorHAnsi" w:hAnsiTheme="minorHAnsi"/>
          <w:b/>
          <w:bCs/>
          <w:i/>
          <w:sz w:val="22"/>
          <w:szCs w:val="22"/>
        </w:rPr>
        <w:tab/>
        <w:t>Master’</w:t>
      </w:r>
      <w:r w:rsidRPr="00CE61C5">
        <w:rPr>
          <w:rFonts w:asciiTheme="minorHAnsi" w:hAnsiTheme="minorHAnsi"/>
          <w:b/>
          <w:bCs/>
          <w:i/>
          <w:sz w:val="22"/>
          <w:szCs w:val="22"/>
        </w:rPr>
        <w:t xml:space="preserve">s Degree </w:t>
      </w:r>
      <w:r w:rsidR="00D173EF" w:rsidRPr="00CE61C5">
        <w:rPr>
          <w:rFonts w:asciiTheme="minorHAnsi" w:hAnsiTheme="minorHAnsi"/>
          <w:b/>
          <w:bCs/>
          <w:i/>
          <w:sz w:val="22"/>
          <w:szCs w:val="22"/>
        </w:rPr>
        <w:tab/>
      </w:r>
      <w:r w:rsidRPr="00CE61C5">
        <w:rPr>
          <w:rFonts w:asciiTheme="minorHAnsi" w:hAnsiTheme="minorHAnsi"/>
          <w:b/>
          <w:bCs/>
          <w:i/>
          <w:sz w:val="22"/>
          <w:szCs w:val="22"/>
        </w:rPr>
        <w:t xml:space="preserve">- </w:t>
      </w:r>
      <w:r w:rsidR="00D173EF" w:rsidRPr="00CE61C5">
        <w:rPr>
          <w:rFonts w:asciiTheme="minorHAnsi" w:hAnsiTheme="minorHAnsi"/>
          <w:b/>
          <w:bCs/>
          <w:i/>
          <w:sz w:val="22"/>
          <w:szCs w:val="22"/>
        </w:rPr>
        <w:tab/>
      </w:r>
      <w:r w:rsidRPr="00CE61C5">
        <w:rPr>
          <w:rFonts w:asciiTheme="minorHAnsi" w:hAnsiTheme="minorHAnsi"/>
          <w:b/>
          <w:bCs/>
          <w:i/>
          <w:sz w:val="22"/>
          <w:szCs w:val="22"/>
        </w:rPr>
        <w:t xml:space="preserve">Two increments [inclusive of the increment at (a)] </w:t>
      </w:r>
    </w:p>
    <w:p w:rsidR="006A62C5" w:rsidRPr="00CE61C5" w:rsidRDefault="006A62C5" w:rsidP="00CE61C5">
      <w:pPr>
        <w:spacing w:after="0"/>
        <w:ind w:left="2880" w:right="900" w:hanging="720"/>
        <w:jc w:val="both"/>
        <w:rPr>
          <w:b/>
          <w:bCs/>
          <w:i/>
        </w:rPr>
      </w:pPr>
      <w:r w:rsidRPr="00CE61C5">
        <w:rPr>
          <w:b/>
          <w:bCs/>
          <w:i/>
        </w:rPr>
        <w:lastRenderedPageBreak/>
        <w:t xml:space="preserve">(c) </w:t>
      </w:r>
      <w:r w:rsidR="00CE61C5" w:rsidRPr="00CE61C5">
        <w:rPr>
          <w:b/>
          <w:bCs/>
          <w:i/>
        </w:rPr>
        <w:tab/>
      </w:r>
      <w:r w:rsidRPr="00CE61C5">
        <w:rPr>
          <w:b/>
          <w:bCs/>
          <w:i/>
        </w:rPr>
        <w:t xml:space="preserve">Doctorate and above </w:t>
      </w:r>
      <w:r w:rsidR="00D173EF" w:rsidRPr="00CE61C5">
        <w:rPr>
          <w:b/>
          <w:bCs/>
          <w:i/>
        </w:rPr>
        <w:tab/>
      </w:r>
      <w:r w:rsidRPr="00CE61C5">
        <w:rPr>
          <w:b/>
          <w:bCs/>
          <w:i/>
        </w:rPr>
        <w:t xml:space="preserve">- </w:t>
      </w:r>
      <w:r w:rsidR="00D173EF" w:rsidRPr="00CE61C5">
        <w:rPr>
          <w:b/>
          <w:bCs/>
          <w:i/>
        </w:rPr>
        <w:tab/>
      </w:r>
      <w:r w:rsidRPr="00CE61C5">
        <w:rPr>
          <w:b/>
          <w:bCs/>
          <w:i/>
        </w:rPr>
        <w:t>Three increments [inclusive of the two increments at (b)]</w:t>
      </w:r>
    </w:p>
    <w:p w:rsidR="00D173EF" w:rsidRDefault="00D173EF" w:rsidP="00D173EF">
      <w:pPr>
        <w:spacing w:after="0"/>
        <w:jc w:val="both"/>
        <w:rPr>
          <w:bCs/>
          <w:sz w:val="24"/>
        </w:rPr>
      </w:pPr>
    </w:p>
    <w:p w:rsidR="00D173EF" w:rsidRDefault="00D173EF" w:rsidP="00D173EF">
      <w:pPr>
        <w:spacing w:after="0"/>
        <w:jc w:val="both"/>
        <w:rPr>
          <w:bCs/>
          <w:sz w:val="24"/>
        </w:rPr>
      </w:pPr>
    </w:p>
    <w:p w:rsidR="00D173EF" w:rsidRDefault="00D173EF" w:rsidP="00D173EF">
      <w:pPr>
        <w:spacing w:after="0"/>
        <w:jc w:val="both"/>
        <w:rPr>
          <w:bCs/>
          <w:sz w:val="24"/>
        </w:rPr>
      </w:pPr>
      <w:r>
        <w:rPr>
          <w:bCs/>
          <w:sz w:val="24"/>
        </w:rPr>
        <w:tab/>
        <w:t xml:space="preserve">Moreover, </w:t>
      </w:r>
      <w:r w:rsidRPr="00D173EF">
        <w:rPr>
          <w:bCs/>
          <w:i/>
          <w:sz w:val="24"/>
        </w:rPr>
        <w:t>paragraph 18.9.16 (v)</w:t>
      </w:r>
      <w:r>
        <w:rPr>
          <w:bCs/>
          <w:sz w:val="24"/>
        </w:rPr>
        <w:t xml:space="preserve"> of the </w:t>
      </w:r>
      <w:r w:rsidRPr="00D173EF">
        <w:rPr>
          <w:bCs/>
          <w:i/>
          <w:sz w:val="24"/>
        </w:rPr>
        <w:t>PRB Report 2016</w:t>
      </w:r>
      <w:r w:rsidR="00CE61C5">
        <w:rPr>
          <w:bCs/>
          <w:sz w:val="24"/>
        </w:rPr>
        <w:t xml:space="preserve"> </w:t>
      </w:r>
      <w:r w:rsidR="00CE61C5" w:rsidRPr="006E0FB9">
        <w:rPr>
          <w:bCs/>
          <w:i/>
          <w:sz w:val="24"/>
        </w:rPr>
        <w:t>Volume 1</w:t>
      </w:r>
      <w:r w:rsidR="006E0FB9">
        <w:rPr>
          <w:bCs/>
          <w:sz w:val="24"/>
        </w:rPr>
        <w:t xml:space="preserve"> has to be considered in the whole of </w:t>
      </w:r>
      <w:r w:rsidR="006E0FB9" w:rsidRPr="006E0FB9">
        <w:rPr>
          <w:bCs/>
          <w:i/>
          <w:sz w:val="24"/>
        </w:rPr>
        <w:t>paragraph 1</w:t>
      </w:r>
      <w:r w:rsidR="006E0FB9">
        <w:rPr>
          <w:bCs/>
          <w:i/>
          <w:sz w:val="24"/>
        </w:rPr>
        <w:t>8</w:t>
      </w:r>
      <w:r w:rsidR="006E0FB9" w:rsidRPr="006E0FB9">
        <w:rPr>
          <w:bCs/>
          <w:i/>
          <w:sz w:val="24"/>
        </w:rPr>
        <w:t>.9.16</w:t>
      </w:r>
      <w:r w:rsidR="006E0FB9">
        <w:rPr>
          <w:bCs/>
          <w:sz w:val="24"/>
        </w:rPr>
        <w:t xml:space="preserve"> and this</w:t>
      </w:r>
      <w:r w:rsidR="00CE61C5">
        <w:rPr>
          <w:bCs/>
          <w:sz w:val="24"/>
        </w:rPr>
        <w:t xml:space="preserve"> provides</w:t>
      </w:r>
      <w:r>
        <w:rPr>
          <w:bCs/>
          <w:sz w:val="24"/>
        </w:rPr>
        <w:t xml:space="preserve"> as follows:</w:t>
      </w:r>
    </w:p>
    <w:p w:rsidR="00D173EF" w:rsidRPr="00984B1F" w:rsidRDefault="00D173EF" w:rsidP="00D173EF">
      <w:pPr>
        <w:spacing w:after="0"/>
        <w:jc w:val="both"/>
        <w:rPr>
          <w:bCs/>
        </w:rPr>
      </w:pPr>
    </w:p>
    <w:p w:rsidR="00D173EF" w:rsidRPr="00CE61C5" w:rsidRDefault="00D173EF" w:rsidP="00D173EF">
      <w:pPr>
        <w:autoSpaceDE w:val="0"/>
        <w:autoSpaceDN w:val="0"/>
        <w:adjustRightInd w:val="0"/>
        <w:spacing w:after="0" w:line="240" w:lineRule="auto"/>
        <w:rPr>
          <w:rFonts w:cs="Arial"/>
          <w:b/>
          <w:bCs/>
          <w:i/>
          <w:lang w:val="en-US"/>
        </w:rPr>
      </w:pPr>
      <w:r>
        <w:rPr>
          <w:bCs/>
          <w:sz w:val="24"/>
        </w:rPr>
        <w:tab/>
      </w:r>
      <w:r w:rsidRPr="00CE61C5">
        <w:rPr>
          <w:rFonts w:cs="Arial"/>
          <w:b/>
          <w:bCs/>
          <w:i/>
          <w:lang w:val="en-US"/>
        </w:rPr>
        <w:t>Recommendation 4</w:t>
      </w:r>
    </w:p>
    <w:p w:rsidR="00D173EF" w:rsidRPr="00CE61C5" w:rsidRDefault="00D173EF" w:rsidP="00D173EF">
      <w:pPr>
        <w:autoSpaceDE w:val="0"/>
        <w:autoSpaceDN w:val="0"/>
        <w:adjustRightInd w:val="0"/>
        <w:spacing w:after="0" w:line="240" w:lineRule="auto"/>
        <w:rPr>
          <w:rFonts w:cs="Arial"/>
          <w:b/>
          <w:bCs/>
          <w:i/>
          <w:lang w:val="en-US"/>
        </w:rPr>
      </w:pPr>
    </w:p>
    <w:p w:rsidR="00D173EF" w:rsidRPr="00B950D0" w:rsidRDefault="00D173EF" w:rsidP="00B950D0">
      <w:pPr>
        <w:autoSpaceDE w:val="0"/>
        <w:autoSpaceDN w:val="0"/>
        <w:adjustRightInd w:val="0"/>
        <w:spacing w:after="0" w:line="240" w:lineRule="auto"/>
        <w:ind w:left="2160" w:right="900" w:hanging="1440"/>
        <w:jc w:val="both"/>
        <w:rPr>
          <w:rFonts w:cs="Arial"/>
          <w:b/>
          <w:bCs/>
          <w:i/>
          <w:lang w:val="en-US"/>
        </w:rPr>
      </w:pPr>
      <w:r w:rsidRPr="00B950D0">
        <w:rPr>
          <w:rFonts w:cs="Arial"/>
          <w:b/>
          <w:bCs/>
          <w:i/>
          <w:lang w:val="en-US"/>
        </w:rPr>
        <w:t xml:space="preserve">18.9.16 </w:t>
      </w:r>
      <w:r w:rsidRPr="00B950D0">
        <w:rPr>
          <w:rFonts w:cs="Arial"/>
          <w:b/>
          <w:bCs/>
          <w:i/>
          <w:lang w:val="en-US"/>
        </w:rPr>
        <w:tab/>
        <w:t>We recommend the payment of lump sum rates of Higher Qualification Incentives (HQI) as per table at (v) for qualifications which are directly relevant to the performance of the duties of the grade and are higher than the qualifications specified in the scheme of service for the grade and subject to the following conditions:</w:t>
      </w:r>
    </w:p>
    <w:p w:rsidR="00D173EF" w:rsidRPr="00B950D0" w:rsidRDefault="00D173EF" w:rsidP="00B950D0">
      <w:pPr>
        <w:autoSpaceDE w:val="0"/>
        <w:autoSpaceDN w:val="0"/>
        <w:adjustRightInd w:val="0"/>
        <w:spacing w:after="0" w:line="240" w:lineRule="auto"/>
        <w:ind w:left="2160" w:right="900" w:hanging="1440"/>
        <w:jc w:val="both"/>
        <w:rPr>
          <w:rFonts w:cs="Arial"/>
          <w:b/>
          <w:bCs/>
          <w:i/>
          <w:lang w:val="en-US"/>
        </w:rPr>
      </w:pPr>
    </w:p>
    <w:p w:rsidR="00D173EF" w:rsidRPr="00B950D0" w:rsidRDefault="00D173EF" w:rsidP="00B950D0">
      <w:pPr>
        <w:autoSpaceDE w:val="0"/>
        <w:autoSpaceDN w:val="0"/>
        <w:adjustRightInd w:val="0"/>
        <w:spacing w:after="0" w:line="240" w:lineRule="auto"/>
        <w:ind w:left="3600" w:right="900" w:hanging="720"/>
        <w:jc w:val="both"/>
        <w:rPr>
          <w:rFonts w:cs="Arial"/>
          <w:b/>
          <w:bCs/>
          <w:i/>
          <w:lang w:val="en-US"/>
        </w:rPr>
      </w:pPr>
      <w:r w:rsidRPr="00B950D0">
        <w:rPr>
          <w:rFonts w:cs="Arial"/>
          <w:b/>
          <w:bCs/>
          <w:i/>
          <w:lang w:val="en-US"/>
        </w:rPr>
        <w:t xml:space="preserve">(i) </w:t>
      </w:r>
      <w:r w:rsidRPr="00B950D0">
        <w:rPr>
          <w:rFonts w:cs="Arial"/>
          <w:b/>
          <w:bCs/>
          <w:i/>
          <w:lang w:val="en-US"/>
        </w:rPr>
        <w:tab/>
        <w:t>the additional qualifications are obtained following an examination and are duly recognised by the Mauritius Qualifications Authority or the Tertiary Education Commission;</w:t>
      </w:r>
    </w:p>
    <w:p w:rsidR="00D173EF" w:rsidRPr="00B950D0" w:rsidRDefault="00D173EF" w:rsidP="00B950D0">
      <w:pPr>
        <w:autoSpaceDE w:val="0"/>
        <w:autoSpaceDN w:val="0"/>
        <w:adjustRightInd w:val="0"/>
        <w:spacing w:after="0" w:line="240" w:lineRule="auto"/>
        <w:ind w:right="900"/>
        <w:jc w:val="both"/>
        <w:rPr>
          <w:rFonts w:cs="Arial"/>
          <w:b/>
          <w:bCs/>
          <w:i/>
          <w:lang w:val="en-US"/>
        </w:rPr>
      </w:pPr>
    </w:p>
    <w:p w:rsidR="00D173EF" w:rsidRDefault="00D173EF" w:rsidP="00B950D0">
      <w:pPr>
        <w:autoSpaceDE w:val="0"/>
        <w:autoSpaceDN w:val="0"/>
        <w:adjustRightInd w:val="0"/>
        <w:spacing w:after="0" w:line="240" w:lineRule="auto"/>
        <w:ind w:left="3600" w:right="900" w:hanging="720"/>
        <w:jc w:val="both"/>
        <w:rPr>
          <w:rFonts w:cs="Arial"/>
          <w:b/>
          <w:bCs/>
          <w:i/>
          <w:lang w:val="en-US"/>
        </w:rPr>
      </w:pPr>
      <w:r w:rsidRPr="00B950D0">
        <w:rPr>
          <w:rFonts w:cs="Arial"/>
          <w:b/>
          <w:bCs/>
          <w:i/>
          <w:lang w:val="en-US"/>
        </w:rPr>
        <w:t xml:space="preserve">(ii) </w:t>
      </w:r>
      <w:r w:rsidRPr="00B950D0">
        <w:rPr>
          <w:rFonts w:cs="Arial"/>
          <w:b/>
          <w:bCs/>
          <w:i/>
          <w:lang w:val="en-US"/>
        </w:rPr>
        <w:tab/>
        <w:t>where different qualifications are laid down in</w:t>
      </w:r>
      <w:r w:rsidR="00000396">
        <w:rPr>
          <w:rFonts w:cs="Arial"/>
          <w:b/>
          <w:bCs/>
          <w:i/>
          <w:lang w:val="en-US"/>
        </w:rPr>
        <w:t xml:space="preserve"> a</w:t>
      </w:r>
      <w:r w:rsidRPr="00B950D0">
        <w:rPr>
          <w:rFonts w:cs="Arial"/>
          <w:b/>
          <w:bCs/>
          <w:i/>
          <w:lang w:val="en-US"/>
        </w:rPr>
        <w:t xml:space="preserve"> particular scheme of service, the highest one would be taken as the basic qualification for the purpose of determining eligibility for payment of HQI;</w:t>
      </w:r>
    </w:p>
    <w:p w:rsidR="00302BC5" w:rsidRPr="00B950D0" w:rsidRDefault="00302BC5" w:rsidP="00B950D0">
      <w:pPr>
        <w:autoSpaceDE w:val="0"/>
        <w:autoSpaceDN w:val="0"/>
        <w:adjustRightInd w:val="0"/>
        <w:spacing w:after="0" w:line="240" w:lineRule="auto"/>
        <w:ind w:left="3600" w:right="900" w:hanging="720"/>
        <w:jc w:val="both"/>
        <w:rPr>
          <w:rFonts w:cs="Arial"/>
          <w:b/>
          <w:bCs/>
          <w:i/>
          <w:lang w:val="en-US"/>
        </w:rPr>
      </w:pPr>
    </w:p>
    <w:p w:rsidR="00D173EF" w:rsidRDefault="00D173EF" w:rsidP="00B950D0">
      <w:pPr>
        <w:autoSpaceDE w:val="0"/>
        <w:autoSpaceDN w:val="0"/>
        <w:adjustRightInd w:val="0"/>
        <w:spacing w:after="0" w:line="240" w:lineRule="auto"/>
        <w:ind w:left="3600" w:right="900" w:hanging="720"/>
        <w:jc w:val="both"/>
        <w:rPr>
          <w:rFonts w:cs="Arial"/>
          <w:b/>
          <w:bCs/>
          <w:i/>
          <w:lang w:val="en-US"/>
        </w:rPr>
      </w:pPr>
      <w:r w:rsidRPr="00B950D0">
        <w:rPr>
          <w:rFonts w:cs="Arial"/>
          <w:b/>
          <w:bCs/>
          <w:i/>
          <w:lang w:val="en-US"/>
        </w:rPr>
        <w:t xml:space="preserve">(iii) </w:t>
      </w:r>
      <w:r w:rsidRPr="00B950D0">
        <w:rPr>
          <w:rFonts w:cs="Arial"/>
          <w:b/>
          <w:bCs/>
          <w:i/>
          <w:lang w:val="en-US"/>
        </w:rPr>
        <w:tab/>
        <w:t>only officers holding a substantive appointment would be considered for the grant of HQI for additional qualifications;</w:t>
      </w:r>
    </w:p>
    <w:p w:rsidR="00B950D0" w:rsidRPr="00B950D0" w:rsidRDefault="00B950D0" w:rsidP="00B950D0">
      <w:pPr>
        <w:autoSpaceDE w:val="0"/>
        <w:autoSpaceDN w:val="0"/>
        <w:adjustRightInd w:val="0"/>
        <w:spacing w:after="0" w:line="240" w:lineRule="auto"/>
        <w:ind w:left="3600" w:right="900" w:hanging="720"/>
        <w:jc w:val="both"/>
        <w:rPr>
          <w:rFonts w:cs="Arial"/>
          <w:b/>
          <w:bCs/>
          <w:i/>
          <w:lang w:val="en-US"/>
        </w:rPr>
      </w:pPr>
    </w:p>
    <w:p w:rsidR="00D173EF" w:rsidRDefault="00D173EF" w:rsidP="00B950D0">
      <w:pPr>
        <w:autoSpaceDE w:val="0"/>
        <w:autoSpaceDN w:val="0"/>
        <w:adjustRightInd w:val="0"/>
        <w:spacing w:after="0" w:line="240" w:lineRule="auto"/>
        <w:ind w:left="3600" w:right="900" w:hanging="720"/>
        <w:jc w:val="both"/>
        <w:rPr>
          <w:rFonts w:cs="Arial"/>
          <w:b/>
          <w:bCs/>
          <w:i/>
          <w:lang w:val="en-US"/>
        </w:rPr>
      </w:pPr>
      <w:r w:rsidRPr="00B950D0">
        <w:rPr>
          <w:rFonts w:cs="Arial"/>
          <w:b/>
          <w:bCs/>
          <w:i/>
          <w:lang w:val="en-US"/>
        </w:rPr>
        <w:t xml:space="preserve">(iv) </w:t>
      </w:r>
      <w:r w:rsidRPr="00B950D0">
        <w:rPr>
          <w:rFonts w:cs="Arial"/>
          <w:b/>
          <w:bCs/>
          <w:i/>
          <w:lang w:val="en-US"/>
        </w:rPr>
        <w:tab/>
        <w:t>officers who have already benefited from the payment of HQI for additional qualifications in one capacity would not be granted HQI anew for the same qualifications in another capacity;</w:t>
      </w:r>
    </w:p>
    <w:p w:rsidR="00B950D0" w:rsidRPr="00B950D0" w:rsidRDefault="00B950D0" w:rsidP="00B950D0">
      <w:pPr>
        <w:autoSpaceDE w:val="0"/>
        <w:autoSpaceDN w:val="0"/>
        <w:adjustRightInd w:val="0"/>
        <w:spacing w:after="0" w:line="240" w:lineRule="auto"/>
        <w:ind w:left="3600" w:right="900" w:hanging="720"/>
        <w:jc w:val="both"/>
        <w:rPr>
          <w:rFonts w:cs="Arial"/>
          <w:b/>
          <w:bCs/>
          <w:i/>
          <w:lang w:val="en-US"/>
        </w:rPr>
      </w:pPr>
    </w:p>
    <w:p w:rsidR="00D173EF" w:rsidRPr="00B950D0" w:rsidRDefault="00D173EF" w:rsidP="00B950D0">
      <w:pPr>
        <w:autoSpaceDE w:val="0"/>
        <w:autoSpaceDN w:val="0"/>
        <w:adjustRightInd w:val="0"/>
        <w:spacing w:after="0" w:line="240" w:lineRule="auto"/>
        <w:ind w:left="2160" w:right="900" w:firstLine="720"/>
        <w:jc w:val="both"/>
        <w:rPr>
          <w:rFonts w:cs="Arial"/>
          <w:b/>
          <w:bCs/>
          <w:i/>
          <w:lang w:val="en-US"/>
        </w:rPr>
      </w:pPr>
      <w:r w:rsidRPr="00B950D0">
        <w:rPr>
          <w:rFonts w:cs="Arial"/>
          <w:b/>
          <w:bCs/>
          <w:i/>
          <w:lang w:val="en-US"/>
        </w:rPr>
        <w:t xml:space="preserve">(v) </w:t>
      </w:r>
      <w:r w:rsidRPr="00B950D0">
        <w:rPr>
          <w:rFonts w:cs="Arial"/>
          <w:b/>
          <w:bCs/>
          <w:i/>
          <w:lang w:val="en-US"/>
        </w:rPr>
        <w:tab/>
        <w:t>the payment of a lump sum rate of HQI for additional</w:t>
      </w:r>
    </w:p>
    <w:p w:rsidR="00D173EF" w:rsidRPr="00B950D0" w:rsidRDefault="00D173EF" w:rsidP="00B950D0">
      <w:pPr>
        <w:autoSpaceDE w:val="0"/>
        <w:autoSpaceDN w:val="0"/>
        <w:adjustRightInd w:val="0"/>
        <w:spacing w:after="0" w:line="240" w:lineRule="auto"/>
        <w:ind w:left="2880" w:right="900" w:firstLine="720"/>
        <w:jc w:val="both"/>
        <w:rPr>
          <w:rFonts w:cs="Arial"/>
          <w:b/>
          <w:bCs/>
          <w:i/>
          <w:lang w:val="en-US"/>
        </w:rPr>
      </w:pPr>
      <w:r w:rsidRPr="00B950D0">
        <w:rPr>
          <w:rFonts w:cs="Arial"/>
          <w:b/>
          <w:bCs/>
          <w:i/>
          <w:lang w:val="en-US"/>
        </w:rPr>
        <w:t>qualifications should be as follows:</w:t>
      </w:r>
    </w:p>
    <w:p w:rsidR="00D173EF" w:rsidRPr="00B950D0" w:rsidRDefault="00D173EF" w:rsidP="00B950D0">
      <w:pPr>
        <w:autoSpaceDE w:val="0"/>
        <w:autoSpaceDN w:val="0"/>
        <w:adjustRightInd w:val="0"/>
        <w:spacing w:after="0" w:line="240" w:lineRule="auto"/>
        <w:ind w:right="900"/>
        <w:jc w:val="both"/>
        <w:rPr>
          <w:rFonts w:cs="Arial"/>
          <w:b/>
          <w:bCs/>
          <w:i/>
          <w:lang w:val="en-US"/>
        </w:rPr>
      </w:pPr>
    </w:p>
    <w:tbl>
      <w:tblPr>
        <w:tblStyle w:val="TableGrid"/>
        <w:tblpPr w:leftFromText="180" w:rightFromText="180" w:vertAnchor="text" w:horzAnchor="margin" w:tblpXSpec="right" w:tblpY="145"/>
        <w:tblW w:w="0" w:type="auto"/>
        <w:tblLook w:val="04A0" w:firstRow="1" w:lastRow="0" w:firstColumn="1" w:lastColumn="0" w:noHBand="0" w:noVBand="1"/>
      </w:tblPr>
      <w:tblGrid>
        <w:gridCol w:w="4765"/>
        <w:gridCol w:w="2340"/>
      </w:tblGrid>
      <w:tr w:rsidR="00B950D0" w:rsidRPr="00B950D0" w:rsidTr="00C41BB0">
        <w:trPr>
          <w:trHeight w:val="440"/>
        </w:trPr>
        <w:tc>
          <w:tcPr>
            <w:tcW w:w="4765" w:type="dxa"/>
          </w:tcPr>
          <w:p w:rsidR="00B950D0" w:rsidRPr="00B950D0" w:rsidRDefault="00B950D0" w:rsidP="00B950D0">
            <w:pPr>
              <w:autoSpaceDE w:val="0"/>
              <w:autoSpaceDN w:val="0"/>
              <w:adjustRightInd w:val="0"/>
              <w:ind w:right="900"/>
              <w:jc w:val="center"/>
              <w:rPr>
                <w:rFonts w:cs="Arial"/>
                <w:b/>
                <w:bCs/>
                <w:i/>
                <w:lang w:val="en-US"/>
              </w:rPr>
            </w:pPr>
            <w:r w:rsidRPr="00B950D0">
              <w:rPr>
                <w:rFonts w:cs="Arial"/>
                <w:b/>
                <w:bCs/>
                <w:i/>
                <w:lang w:val="en-US"/>
              </w:rPr>
              <w:t>Qualification</w:t>
            </w:r>
          </w:p>
        </w:tc>
        <w:tc>
          <w:tcPr>
            <w:tcW w:w="2340" w:type="dxa"/>
          </w:tcPr>
          <w:p w:rsidR="00B950D0" w:rsidRPr="00B950D0" w:rsidRDefault="00467CD3" w:rsidP="00B950D0">
            <w:pPr>
              <w:autoSpaceDE w:val="0"/>
              <w:autoSpaceDN w:val="0"/>
              <w:adjustRightInd w:val="0"/>
              <w:ind w:right="900"/>
              <w:jc w:val="center"/>
              <w:rPr>
                <w:rFonts w:cs="Arial"/>
                <w:b/>
                <w:bCs/>
                <w:i/>
                <w:lang w:val="en-US"/>
              </w:rPr>
            </w:pPr>
            <w:r>
              <w:rPr>
                <w:rFonts w:cs="Arial"/>
                <w:b/>
                <w:bCs/>
                <w:i/>
                <w:lang w:val="en-US"/>
              </w:rPr>
              <w:t xml:space="preserve">Amount </w:t>
            </w:r>
            <w:r w:rsidR="00B950D0" w:rsidRPr="00B950D0">
              <w:rPr>
                <w:rFonts w:cs="Arial"/>
                <w:b/>
                <w:bCs/>
                <w:i/>
                <w:lang w:val="en-US"/>
              </w:rPr>
              <w:t>(Rs)</w:t>
            </w:r>
          </w:p>
        </w:tc>
      </w:tr>
      <w:tr w:rsidR="00B950D0" w:rsidRPr="00B950D0" w:rsidTr="00467CD3">
        <w:trPr>
          <w:trHeight w:val="719"/>
        </w:trPr>
        <w:tc>
          <w:tcPr>
            <w:tcW w:w="4765" w:type="dxa"/>
          </w:tcPr>
          <w:p w:rsidR="00B950D0" w:rsidRPr="00B950D0" w:rsidRDefault="00B950D0" w:rsidP="00B950D0">
            <w:pPr>
              <w:autoSpaceDE w:val="0"/>
              <w:autoSpaceDN w:val="0"/>
              <w:adjustRightInd w:val="0"/>
              <w:ind w:right="900"/>
              <w:jc w:val="both"/>
              <w:rPr>
                <w:rFonts w:cs="Arial"/>
                <w:b/>
                <w:bCs/>
                <w:i/>
                <w:lang w:val="en-US"/>
              </w:rPr>
            </w:pPr>
            <w:r w:rsidRPr="00B950D0">
              <w:rPr>
                <w:rFonts w:cs="Arial"/>
                <w:b/>
                <w:bCs/>
                <w:i/>
                <w:lang w:val="en-US"/>
              </w:rPr>
              <w:t>Doctorate and above including specialist qualifications for medical profession.</w:t>
            </w:r>
          </w:p>
          <w:p w:rsidR="00B950D0" w:rsidRPr="00B950D0" w:rsidRDefault="00B950D0" w:rsidP="00B950D0">
            <w:pPr>
              <w:autoSpaceDE w:val="0"/>
              <w:autoSpaceDN w:val="0"/>
              <w:adjustRightInd w:val="0"/>
              <w:ind w:right="900"/>
              <w:jc w:val="both"/>
              <w:rPr>
                <w:rFonts w:cs="Arial"/>
                <w:b/>
                <w:bCs/>
                <w:i/>
                <w:lang w:val="en-US"/>
              </w:rPr>
            </w:pPr>
          </w:p>
        </w:tc>
        <w:tc>
          <w:tcPr>
            <w:tcW w:w="2340" w:type="dxa"/>
          </w:tcPr>
          <w:p w:rsidR="00B950D0" w:rsidRPr="00B950D0" w:rsidRDefault="00B950D0" w:rsidP="00B950D0">
            <w:pPr>
              <w:autoSpaceDE w:val="0"/>
              <w:autoSpaceDN w:val="0"/>
              <w:adjustRightInd w:val="0"/>
              <w:ind w:right="900"/>
              <w:jc w:val="center"/>
              <w:rPr>
                <w:rFonts w:cs="Arial"/>
                <w:b/>
                <w:bCs/>
                <w:i/>
                <w:lang w:val="en-US"/>
              </w:rPr>
            </w:pPr>
            <w:r w:rsidRPr="00B950D0">
              <w:rPr>
                <w:rFonts w:cs="Arial"/>
                <w:b/>
                <w:bCs/>
                <w:i/>
                <w:lang w:val="en-US"/>
              </w:rPr>
              <w:t>30000</w:t>
            </w:r>
          </w:p>
          <w:p w:rsidR="00B950D0" w:rsidRPr="00B950D0" w:rsidRDefault="00B950D0" w:rsidP="00B950D0">
            <w:pPr>
              <w:autoSpaceDE w:val="0"/>
              <w:autoSpaceDN w:val="0"/>
              <w:adjustRightInd w:val="0"/>
              <w:ind w:right="900"/>
              <w:jc w:val="both"/>
              <w:rPr>
                <w:rFonts w:cs="Arial"/>
                <w:b/>
                <w:bCs/>
                <w:i/>
                <w:lang w:val="en-US"/>
              </w:rPr>
            </w:pPr>
          </w:p>
        </w:tc>
      </w:tr>
      <w:tr w:rsidR="00B950D0" w:rsidRPr="00B950D0" w:rsidTr="00DF4FEF">
        <w:trPr>
          <w:trHeight w:val="340"/>
        </w:trPr>
        <w:tc>
          <w:tcPr>
            <w:tcW w:w="4765" w:type="dxa"/>
          </w:tcPr>
          <w:p w:rsidR="00B950D0" w:rsidRPr="00B950D0" w:rsidRDefault="00B950D0" w:rsidP="00B950D0">
            <w:pPr>
              <w:autoSpaceDE w:val="0"/>
              <w:autoSpaceDN w:val="0"/>
              <w:adjustRightInd w:val="0"/>
              <w:ind w:right="900"/>
              <w:jc w:val="both"/>
              <w:rPr>
                <w:rFonts w:cs="Arial"/>
                <w:b/>
                <w:bCs/>
                <w:i/>
                <w:lang w:val="en-US"/>
              </w:rPr>
            </w:pPr>
            <w:r w:rsidRPr="00B950D0">
              <w:rPr>
                <w:rFonts w:cs="Arial,Bold"/>
                <w:b/>
                <w:bCs/>
                <w:i/>
                <w:lang w:val="en-US"/>
              </w:rPr>
              <w:t>Master’s Degree</w:t>
            </w:r>
          </w:p>
        </w:tc>
        <w:tc>
          <w:tcPr>
            <w:tcW w:w="2340" w:type="dxa"/>
          </w:tcPr>
          <w:p w:rsidR="00B950D0" w:rsidRPr="00B950D0" w:rsidRDefault="00B950D0" w:rsidP="00B950D0">
            <w:pPr>
              <w:autoSpaceDE w:val="0"/>
              <w:autoSpaceDN w:val="0"/>
              <w:adjustRightInd w:val="0"/>
              <w:ind w:right="900"/>
              <w:jc w:val="center"/>
              <w:rPr>
                <w:rFonts w:cs="Arial"/>
                <w:b/>
                <w:bCs/>
                <w:i/>
                <w:lang w:val="en-US"/>
              </w:rPr>
            </w:pPr>
            <w:r w:rsidRPr="00B950D0">
              <w:rPr>
                <w:rFonts w:cs="Arial"/>
                <w:b/>
                <w:bCs/>
                <w:i/>
                <w:lang w:val="en-US"/>
              </w:rPr>
              <w:t>20000</w:t>
            </w:r>
          </w:p>
        </w:tc>
      </w:tr>
      <w:tr w:rsidR="00B950D0" w:rsidRPr="00B950D0" w:rsidTr="00DF4FEF">
        <w:trPr>
          <w:trHeight w:val="358"/>
        </w:trPr>
        <w:tc>
          <w:tcPr>
            <w:tcW w:w="4765" w:type="dxa"/>
          </w:tcPr>
          <w:p w:rsidR="00B950D0" w:rsidRPr="00B950D0" w:rsidRDefault="00B950D0" w:rsidP="00B950D0">
            <w:pPr>
              <w:autoSpaceDE w:val="0"/>
              <w:autoSpaceDN w:val="0"/>
              <w:adjustRightInd w:val="0"/>
              <w:ind w:right="900"/>
              <w:jc w:val="both"/>
              <w:rPr>
                <w:rFonts w:cs="Arial"/>
                <w:b/>
                <w:bCs/>
                <w:i/>
                <w:lang w:val="en-US"/>
              </w:rPr>
            </w:pPr>
            <w:r w:rsidRPr="00B950D0">
              <w:rPr>
                <w:rFonts w:cs="Arial"/>
                <w:b/>
                <w:bCs/>
                <w:i/>
                <w:lang w:val="en-US"/>
              </w:rPr>
              <w:t>Bachelor Degree</w:t>
            </w:r>
          </w:p>
        </w:tc>
        <w:tc>
          <w:tcPr>
            <w:tcW w:w="2340" w:type="dxa"/>
          </w:tcPr>
          <w:p w:rsidR="00B950D0" w:rsidRPr="00B950D0" w:rsidRDefault="00B950D0" w:rsidP="00B950D0">
            <w:pPr>
              <w:autoSpaceDE w:val="0"/>
              <w:autoSpaceDN w:val="0"/>
              <w:adjustRightInd w:val="0"/>
              <w:ind w:right="900"/>
              <w:jc w:val="center"/>
              <w:rPr>
                <w:rFonts w:cs="Arial"/>
                <w:b/>
                <w:bCs/>
                <w:i/>
                <w:lang w:val="en-US"/>
              </w:rPr>
            </w:pPr>
            <w:r w:rsidRPr="00B950D0">
              <w:rPr>
                <w:rFonts w:cs="Arial"/>
                <w:b/>
                <w:bCs/>
                <w:i/>
                <w:lang w:val="en-US"/>
              </w:rPr>
              <w:t>16000</w:t>
            </w:r>
          </w:p>
        </w:tc>
      </w:tr>
    </w:tbl>
    <w:p w:rsidR="00D173EF" w:rsidRPr="00B950D0" w:rsidRDefault="00D173EF" w:rsidP="00B950D0">
      <w:pPr>
        <w:autoSpaceDE w:val="0"/>
        <w:autoSpaceDN w:val="0"/>
        <w:adjustRightInd w:val="0"/>
        <w:spacing w:after="0" w:line="240" w:lineRule="auto"/>
        <w:ind w:right="900"/>
        <w:jc w:val="both"/>
        <w:rPr>
          <w:rFonts w:cs="Arial"/>
          <w:b/>
          <w:bCs/>
          <w:i/>
          <w:lang w:val="en-US"/>
        </w:rPr>
      </w:pPr>
      <w:r w:rsidRPr="00B950D0">
        <w:rPr>
          <w:rFonts w:cs="Arial"/>
          <w:b/>
          <w:bCs/>
          <w:i/>
          <w:lang w:val="en-US"/>
        </w:rPr>
        <w:tab/>
      </w:r>
      <w:r w:rsidRPr="00B950D0">
        <w:rPr>
          <w:rFonts w:cs="Arial"/>
          <w:b/>
          <w:bCs/>
          <w:i/>
          <w:lang w:val="en-US"/>
        </w:rPr>
        <w:tab/>
      </w:r>
      <w:r w:rsidRPr="00B950D0">
        <w:rPr>
          <w:rFonts w:cs="Arial"/>
          <w:b/>
          <w:bCs/>
          <w:i/>
          <w:lang w:val="en-US"/>
        </w:rPr>
        <w:tab/>
      </w:r>
    </w:p>
    <w:p w:rsidR="00D173EF" w:rsidRPr="00B950D0" w:rsidRDefault="00D173EF" w:rsidP="00B950D0">
      <w:pPr>
        <w:autoSpaceDE w:val="0"/>
        <w:autoSpaceDN w:val="0"/>
        <w:adjustRightInd w:val="0"/>
        <w:spacing w:after="0" w:line="240" w:lineRule="auto"/>
        <w:ind w:right="900"/>
        <w:jc w:val="both"/>
        <w:rPr>
          <w:rFonts w:cs="Arial"/>
          <w:b/>
          <w:bCs/>
          <w:i/>
          <w:lang w:val="en-US"/>
        </w:rPr>
      </w:pPr>
    </w:p>
    <w:p w:rsidR="00B950D0" w:rsidRPr="00B950D0" w:rsidRDefault="00B950D0" w:rsidP="00B950D0">
      <w:pPr>
        <w:autoSpaceDE w:val="0"/>
        <w:autoSpaceDN w:val="0"/>
        <w:adjustRightInd w:val="0"/>
        <w:spacing w:after="0" w:line="240" w:lineRule="auto"/>
        <w:ind w:left="3600" w:right="900" w:hanging="720"/>
        <w:jc w:val="both"/>
        <w:rPr>
          <w:rFonts w:cs="Arial"/>
          <w:b/>
          <w:bCs/>
          <w:i/>
          <w:lang w:val="en-US"/>
        </w:rPr>
      </w:pPr>
    </w:p>
    <w:p w:rsidR="00D173EF" w:rsidRPr="00B950D0" w:rsidRDefault="00D173EF" w:rsidP="00B950D0">
      <w:pPr>
        <w:autoSpaceDE w:val="0"/>
        <w:autoSpaceDN w:val="0"/>
        <w:adjustRightInd w:val="0"/>
        <w:spacing w:after="0" w:line="240" w:lineRule="auto"/>
        <w:ind w:left="3600" w:right="900" w:hanging="720"/>
        <w:jc w:val="both"/>
        <w:rPr>
          <w:rFonts w:cs="Arial"/>
          <w:b/>
          <w:bCs/>
          <w:i/>
          <w:lang w:val="en-US"/>
        </w:rPr>
      </w:pPr>
      <w:r w:rsidRPr="00B950D0">
        <w:rPr>
          <w:rFonts w:cs="Arial"/>
          <w:b/>
          <w:bCs/>
          <w:i/>
          <w:lang w:val="en-US"/>
        </w:rPr>
        <w:t xml:space="preserve">(vi) </w:t>
      </w:r>
      <w:r w:rsidRPr="00B950D0">
        <w:rPr>
          <w:rFonts w:cs="Arial"/>
          <w:b/>
          <w:bCs/>
          <w:i/>
          <w:lang w:val="en-US"/>
        </w:rPr>
        <w:tab/>
      </w:r>
      <w:r w:rsidRPr="00B950D0">
        <w:rPr>
          <w:rFonts w:cs="Arial"/>
          <w:b/>
          <w:bCs/>
          <w:i/>
          <w:lang w:val="en-US"/>
        </w:rPr>
        <w:lastRenderedPageBreak/>
        <w:t>an officer should not be eligible more than twice in his or her career.</w:t>
      </w:r>
    </w:p>
    <w:p w:rsidR="00F17900" w:rsidRDefault="00F17900" w:rsidP="00CE61C5">
      <w:pPr>
        <w:spacing w:after="0"/>
        <w:ind w:right="900"/>
        <w:jc w:val="both"/>
        <w:rPr>
          <w:bCs/>
          <w:sz w:val="24"/>
          <w:szCs w:val="24"/>
        </w:rPr>
      </w:pPr>
    </w:p>
    <w:p w:rsidR="00CE61C5" w:rsidRDefault="00CE61C5" w:rsidP="00CE61C5">
      <w:pPr>
        <w:spacing w:after="0"/>
        <w:ind w:right="900"/>
        <w:jc w:val="both"/>
        <w:rPr>
          <w:bCs/>
          <w:sz w:val="24"/>
          <w:szCs w:val="24"/>
        </w:rPr>
      </w:pPr>
    </w:p>
    <w:p w:rsidR="009B360D" w:rsidRDefault="00CE61C5" w:rsidP="00CE61C5">
      <w:pPr>
        <w:spacing w:after="0"/>
        <w:jc w:val="both"/>
        <w:rPr>
          <w:bCs/>
          <w:sz w:val="24"/>
          <w:szCs w:val="24"/>
        </w:rPr>
      </w:pPr>
      <w:r>
        <w:rPr>
          <w:bCs/>
          <w:sz w:val="24"/>
          <w:szCs w:val="24"/>
        </w:rPr>
        <w:tab/>
        <w:t xml:space="preserve">As is apparent from the above mentioned provisions of the </w:t>
      </w:r>
      <w:r w:rsidRPr="00CE61C5">
        <w:rPr>
          <w:bCs/>
          <w:i/>
          <w:sz w:val="24"/>
          <w:szCs w:val="24"/>
        </w:rPr>
        <w:t>PRB Reports</w:t>
      </w:r>
      <w:r>
        <w:rPr>
          <w:bCs/>
          <w:sz w:val="24"/>
          <w:szCs w:val="24"/>
        </w:rPr>
        <w:t xml:space="preserve">, the Disputant </w:t>
      </w:r>
      <w:r w:rsidR="00C229F7">
        <w:rPr>
          <w:bCs/>
          <w:sz w:val="24"/>
          <w:szCs w:val="24"/>
        </w:rPr>
        <w:t>is claiming</w:t>
      </w:r>
      <w:r>
        <w:rPr>
          <w:bCs/>
          <w:sz w:val="24"/>
          <w:szCs w:val="24"/>
        </w:rPr>
        <w:t xml:space="preserve"> increment</w:t>
      </w:r>
      <w:r w:rsidR="00C229F7">
        <w:rPr>
          <w:bCs/>
          <w:sz w:val="24"/>
          <w:szCs w:val="24"/>
        </w:rPr>
        <w:t>al credit</w:t>
      </w:r>
      <w:r>
        <w:rPr>
          <w:bCs/>
          <w:sz w:val="24"/>
          <w:szCs w:val="24"/>
        </w:rPr>
        <w:t xml:space="preserve"> depending on the qualification as per the 2013 report; </w:t>
      </w:r>
      <w:r w:rsidR="00C229F7">
        <w:rPr>
          <w:bCs/>
          <w:sz w:val="24"/>
          <w:szCs w:val="24"/>
        </w:rPr>
        <w:t>or</w:t>
      </w:r>
      <w:r>
        <w:rPr>
          <w:bCs/>
          <w:sz w:val="24"/>
          <w:szCs w:val="24"/>
        </w:rPr>
        <w:t xml:space="preserve"> the payment of a lump sum for HQI</w:t>
      </w:r>
      <w:r w:rsidR="009B360D">
        <w:rPr>
          <w:bCs/>
          <w:sz w:val="24"/>
          <w:szCs w:val="24"/>
        </w:rPr>
        <w:t xml:space="preserve"> pursuant to the conditions set out being fulfilled </w:t>
      </w:r>
      <w:r w:rsidR="0010377F">
        <w:rPr>
          <w:bCs/>
          <w:sz w:val="24"/>
          <w:szCs w:val="24"/>
        </w:rPr>
        <w:t>in accordance with</w:t>
      </w:r>
      <w:r w:rsidR="009B360D">
        <w:rPr>
          <w:bCs/>
          <w:sz w:val="24"/>
          <w:szCs w:val="24"/>
        </w:rPr>
        <w:t xml:space="preserve"> the 2016 report. </w:t>
      </w:r>
    </w:p>
    <w:p w:rsidR="009B360D" w:rsidRDefault="009B360D" w:rsidP="00CE61C5">
      <w:pPr>
        <w:spacing w:after="0"/>
        <w:jc w:val="both"/>
        <w:rPr>
          <w:bCs/>
          <w:sz w:val="24"/>
          <w:szCs w:val="24"/>
        </w:rPr>
      </w:pPr>
    </w:p>
    <w:p w:rsidR="009B360D" w:rsidRDefault="009B360D" w:rsidP="00CE61C5">
      <w:pPr>
        <w:spacing w:after="0"/>
        <w:jc w:val="both"/>
        <w:rPr>
          <w:bCs/>
          <w:sz w:val="24"/>
          <w:szCs w:val="24"/>
        </w:rPr>
      </w:pPr>
    </w:p>
    <w:p w:rsidR="0094659E" w:rsidRDefault="009B360D" w:rsidP="00CE61C5">
      <w:pPr>
        <w:spacing w:after="0"/>
        <w:jc w:val="both"/>
        <w:rPr>
          <w:sz w:val="24"/>
          <w:lang w:val="en-US"/>
        </w:rPr>
      </w:pPr>
      <w:r>
        <w:rPr>
          <w:bCs/>
          <w:sz w:val="24"/>
          <w:szCs w:val="24"/>
        </w:rPr>
        <w:tab/>
        <w:t xml:space="preserve">Would the recommendation of the payment of the increment pursuant to </w:t>
      </w:r>
      <w:r w:rsidRPr="003C08F0">
        <w:rPr>
          <w:i/>
          <w:sz w:val="24"/>
          <w:lang w:val="en-US"/>
        </w:rPr>
        <w:t>paragraph 18.9.19</w:t>
      </w:r>
      <w:r>
        <w:rPr>
          <w:sz w:val="24"/>
          <w:lang w:val="en-US"/>
        </w:rPr>
        <w:t xml:space="preserve"> of the </w:t>
      </w:r>
      <w:r w:rsidRPr="003C08F0">
        <w:rPr>
          <w:i/>
          <w:sz w:val="24"/>
          <w:lang w:val="en-US"/>
        </w:rPr>
        <w:t>PRB Report 2013</w:t>
      </w:r>
      <w:r>
        <w:rPr>
          <w:i/>
          <w:sz w:val="24"/>
          <w:lang w:val="en-US"/>
        </w:rPr>
        <w:t xml:space="preserve"> </w:t>
      </w:r>
      <w:r>
        <w:rPr>
          <w:sz w:val="24"/>
          <w:lang w:val="en-US"/>
        </w:rPr>
        <w:t>relate to ‘</w:t>
      </w:r>
      <w:r w:rsidRPr="009B360D">
        <w:rPr>
          <w:i/>
          <w:sz w:val="24"/>
          <w:lang w:val="en-US"/>
        </w:rPr>
        <w:t>remuneration or allowances of any kind</w:t>
      </w:r>
      <w:r>
        <w:rPr>
          <w:sz w:val="24"/>
          <w:lang w:val="en-US"/>
        </w:rPr>
        <w:t xml:space="preserve">’? </w:t>
      </w:r>
      <w:r w:rsidR="00FD390E">
        <w:rPr>
          <w:sz w:val="24"/>
          <w:lang w:val="en-US"/>
        </w:rPr>
        <w:t>I</w:t>
      </w:r>
      <w:r w:rsidR="00C545A5">
        <w:rPr>
          <w:sz w:val="24"/>
          <w:lang w:val="en-US"/>
        </w:rPr>
        <w:t>t should be noted that t</w:t>
      </w:r>
      <w:r w:rsidR="00C229F7">
        <w:rPr>
          <w:sz w:val="24"/>
          <w:lang w:val="en-US"/>
        </w:rPr>
        <w:t>his recommendation</w:t>
      </w:r>
      <w:r>
        <w:rPr>
          <w:sz w:val="24"/>
          <w:lang w:val="en-US"/>
        </w:rPr>
        <w:t xml:space="preserve"> directly</w:t>
      </w:r>
      <w:r w:rsidR="00C229F7">
        <w:rPr>
          <w:sz w:val="24"/>
          <w:lang w:val="en-US"/>
        </w:rPr>
        <w:t xml:space="preserve"> relates to</w:t>
      </w:r>
      <w:r>
        <w:rPr>
          <w:sz w:val="24"/>
          <w:lang w:val="en-US"/>
        </w:rPr>
        <w:t xml:space="preserve"> the issue of</w:t>
      </w:r>
      <w:r w:rsidR="00C229F7">
        <w:rPr>
          <w:sz w:val="24"/>
          <w:lang w:val="en-US"/>
        </w:rPr>
        <w:t xml:space="preserve"> the grant of</w:t>
      </w:r>
      <w:r>
        <w:rPr>
          <w:sz w:val="24"/>
          <w:lang w:val="en-US"/>
        </w:rPr>
        <w:t xml:space="preserve"> incremental credit. </w:t>
      </w:r>
      <w:r w:rsidR="00C545A5">
        <w:rPr>
          <w:sz w:val="24"/>
          <w:lang w:val="en-US"/>
        </w:rPr>
        <w:t>F</w:t>
      </w:r>
      <w:r w:rsidR="0094659E">
        <w:rPr>
          <w:sz w:val="24"/>
          <w:lang w:val="en-US"/>
        </w:rPr>
        <w:t xml:space="preserve">rom </w:t>
      </w:r>
      <w:r w:rsidR="0094659E" w:rsidRPr="0094659E">
        <w:rPr>
          <w:i/>
          <w:sz w:val="24"/>
          <w:lang w:val="en-US"/>
        </w:rPr>
        <w:t>paragraph 18.9.1</w:t>
      </w:r>
      <w:r w:rsidR="0094659E">
        <w:rPr>
          <w:sz w:val="24"/>
          <w:lang w:val="en-US"/>
        </w:rPr>
        <w:t xml:space="preserve"> of the </w:t>
      </w:r>
      <w:r w:rsidR="0094659E" w:rsidRPr="0094659E">
        <w:rPr>
          <w:i/>
          <w:sz w:val="24"/>
          <w:lang w:val="en-US"/>
        </w:rPr>
        <w:t>PRB Report 2013</w:t>
      </w:r>
      <w:r w:rsidR="00C545A5">
        <w:rPr>
          <w:sz w:val="24"/>
          <w:lang w:val="en-US"/>
        </w:rPr>
        <w:t>,</w:t>
      </w:r>
      <w:r w:rsidR="00C545A5">
        <w:rPr>
          <w:i/>
          <w:sz w:val="24"/>
          <w:lang w:val="en-US"/>
        </w:rPr>
        <w:t xml:space="preserve"> </w:t>
      </w:r>
      <w:r w:rsidR="00C545A5">
        <w:rPr>
          <w:sz w:val="24"/>
          <w:lang w:val="en-US"/>
        </w:rPr>
        <w:t>increment has been described as follows</w:t>
      </w:r>
      <w:r w:rsidR="0094659E">
        <w:rPr>
          <w:sz w:val="24"/>
          <w:lang w:val="en-US"/>
        </w:rPr>
        <w:t>:</w:t>
      </w:r>
      <w:r w:rsidR="00C545A5">
        <w:rPr>
          <w:sz w:val="24"/>
          <w:lang w:val="en-US"/>
        </w:rPr>
        <w:t xml:space="preserve"> </w:t>
      </w:r>
    </w:p>
    <w:p w:rsidR="0094659E" w:rsidRPr="006668BB" w:rsidRDefault="0094659E" w:rsidP="00CE61C5">
      <w:pPr>
        <w:spacing w:after="0"/>
        <w:jc w:val="both"/>
        <w:rPr>
          <w:lang w:val="en-US"/>
        </w:rPr>
      </w:pPr>
    </w:p>
    <w:p w:rsidR="0094659E" w:rsidRPr="0094659E" w:rsidRDefault="0094659E" w:rsidP="0094659E">
      <w:pPr>
        <w:pStyle w:val="Default"/>
        <w:ind w:firstLine="720"/>
        <w:rPr>
          <w:rFonts w:asciiTheme="minorHAnsi" w:hAnsiTheme="minorHAnsi"/>
          <w:b/>
          <w:bCs/>
          <w:i/>
          <w:sz w:val="22"/>
          <w:szCs w:val="22"/>
        </w:rPr>
      </w:pPr>
      <w:r w:rsidRPr="0094659E">
        <w:rPr>
          <w:rFonts w:asciiTheme="minorHAnsi" w:hAnsiTheme="minorHAnsi"/>
          <w:b/>
          <w:bCs/>
          <w:i/>
          <w:sz w:val="22"/>
          <w:szCs w:val="22"/>
        </w:rPr>
        <w:t>Increment</w:t>
      </w:r>
    </w:p>
    <w:p w:rsidR="0094659E" w:rsidRPr="0094659E" w:rsidRDefault="0094659E" w:rsidP="0094659E">
      <w:pPr>
        <w:pStyle w:val="Default"/>
        <w:ind w:firstLine="720"/>
        <w:rPr>
          <w:rFonts w:asciiTheme="minorHAnsi" w:hAnsiTheme="minorHAnsi"/>
          <w:i/>
          <w:sz w:val="22"/>
          <w:szCs w:val="22"/>
        </w:rPr>
      </w:pPr>
      <w:r w:rsidRPr="0094659E">
        <w:rPr>
          <w:rFonts w:asciiTheme="minorHAnsi" w:hAnsiTheme="minorHAnsi"/>
          <w:b/>
          <w:bCs/>
          <w:i/>
          <w:sz w:val="22"/>
          <w:szCs w:val="22"/>
        </w:rPr>
        <w:t xml:space="preserve"> </w:t>
      </w:r>
    </w:p>
    <w:p w:rsidR="0094659E" w:rsidRDefault="0094659E" w:rsidP="0094659E">
      <w:pPr>
        <w:pStyle w:val="Default"/>
        <w:ind w:left="2160" w:right="900" w:hanging="1440"/>
        <w:jc w:val="both"/>
        <w:rPr>
          <w:sz w:val="23"/>
          <w:szCs w:val="23"/>
        </w:rPr>
      </w:pPr>
      <w:r w:rsidRPr="0094659E">
        <w:rPr>
          <w:rFonts w:asciiTheme="minorHAnsi" w:hAnsiTheme="minorHAnsi"/>
          <w:i/>
          <w:sz w:val="22"/>
          <w:szCs w:val="22"/>
        </w:rPr>
        <w:t xml:space="preserve">18.9.1 </w:t>
      </w:r>
      <w:r w:rsidRPr="0094659E">
        <w:rPr>
          <w:rFonts w:asciiTheme="minorHAnsi" w:hAnsiTheme="minorHAnsi"/>
          <w:i/>
          <w:sz w:val="22"/>
          <w:szCs w:val="22"/>
        </w:rPr>
        <w:tab/>
        <w:t xml:space="preserve">Most of the grades in the Public Sector have the salaries which are in scales. A salary scale has an initial and a top salary point. Movement from the initial to the top salary point is incremental. A few grades have a flat salary (one point salary). When the salary of an officer is on an incremental scale, the holder is not entitled to draw any increment as of right. An officer, on appointment, is granted the initial salary of the salary scale of the grade. The guaranteed salary for an incumbent in the grade is the initial salary and any movement in the scale has to be earned. Increment is a method for rewarding those who have demonstrated adequate yearly progress and whose work and conduct have been satisfactory. </w:t>
      </w:r>
    </w:p>
    <w:p w:rsidR="00CE61C5" w:rsidRPr="00CE61C5" w:rsidRDefault="00CE61C5" w:rsidP="00CE61C5">
      <w:pPr>
        <w:spacing w:after="0"/>
        <w:jc w:val="both"/>
        <w:rPr>
          <w:sz w:val="24"/>
          <w:szCs w:val="24"/>
          <w:lang w:val="en-US"/>
        </w:rPr>
      </w:pPr>
    </w:p>
    <w:p w:rsidR="00F17900" w:rsidRDefault="00F17900" w:rsidP="00F17900">
      <w:pPr>
        <w:spacing w:after="0"/>
        <w:jc w:val="both"/>
        <w:rPr>
          <w:sz w:val="24"/>
          <w:lang w:val="en-US"/>
        </w:rPr>
      </w:pPr>
    </w:p>
    <w:p w:rsidR="00CB6C0A" w:rsidRDefault="0094659E" w:rsidP="00F17900">
      <w:pPr>
        <w:spacing w:after="0"/>
        <w:jc w:val="both"/>
        <w:rPr>
          <w:sz w:val="24"/>
          <w:lang w:val="en-US"/>
        </w:rPr>
      </w:pPr>
      <w:r>
        <w:rPr>
          <w:sz w:val="24"/>
          <w:lang w:val="en-US"/>
        </w:rPr>
        <w:tab/>
        <w:t xml:space="preserve">A similar description of increment has also been offered by the </w:t>
      </w:r>
      <w:r w:rsidRPr="0094659E">
        <w:rPr>
          <w:i/>
          <w:sz w:val="24"/>
          <w:lang w:val="en-US"/>
        </w:rPr>
        <w:t>PRB</w:t>
      </w:r>
      <w:r>
        <w:rPr>
          <w:sz w:val="24"/>
          <w:lang w:val="en-US"/>
        </w:rPr>
        <w:t xml:space="preserve"> at </w:t>
      </w:r>
      <w:r w:rsidRPr="0094659E">
        <w:rPr>
          <w:i/>
          <w:sz w:val="24"/>
          <w:lang w:val="en-US"/>
        </w:rPr>
        <w:t>paragraph 18.9.1</w:t>
      </w:r>
      <w:r>
        <w:rPr>
          <w:sz w:val="24"/>
          <w:lang w:val="en-US"/>
        </w:rPr>
        <w:t xml:space="preserve"> of its 2016 report.</w:t>
      </w:r>
      <w:r w:rsidR="00884333">
        <w:rPr>
          <w:sz w:val="24"/>
          <w:lang w:val="en-US"/>
        </w:rPr>
        <w:t xml:space="preserve"> As may</w:t>
      </w:r>
      <w:r>
        <w:rPr>
          <w:sz w:val="24"/>
          <w:lang w:val="en-US"/>
        </w:rPr>
        <w:t xml:space="preserve"> be gleaned f</w:t>
      </w:r>
      <w:r w:rsidR="00884333">
        <w:rPr>
          <w:sz w:val="24"/>
          <w:lang w:val="en-US"/>
        </w:rPr>
        <w:t xml:space="preserve">rom this </w:t>
      </w:r>
      <w:r w:rsidR="00897C00">
        <w:rPr>
          <w:sz w:val="24"/>
          <w:lang w:val="en-US"/>
        </w:rPr>
        <w:t>description</w:t>
      </w:r>
      <w:r w:rsidR="00884333">
        <w:rPr>
          <w:sz w:val="24"/>
          <w:lang w:val="en-US"/>
        </w:rPr>
        <w:t>, increment</w:t>
      </w:r>
      <w:r>
        <w:rPr>
          <w:sz w:val="24"/>
          <w:lang w:val="en-US"/>
        </w:rPr>
        <w:t xml:space="preserve"> </w:t>
      </w:r>
      <w:r w:rsidR="00897C00">
        <w:rPr>
          <w:sz w:val="24"/>
          <w:lang w:val="en-US"/>
        </w:rPr>
        <w:t>is</w:t>
      </w:r>
      <w:r>
        <w:rPr>
          <w:sz w:val="24"/>
          <w:lang w:val="en-US"/>
        </w:rPr>
        <w:t xml:space="preserve"> directly rel</w:t>
      </w:r>
      <w:r w:rsidR="00884333">
        <w:rPr>
          <w:sz w:val="24"/>
          <w:lang w:val="en-US"/>
        </w:rPr>
        <w:t>ated to salary</w:t>
      </w:r>
      <w:r>
        <w:rPr>
          <w:sz w:val="24"/>
          <w:lang w:val="en-US"/>
        </w:rPr>
        <w:t xml:space="preserve">. </w:t>
      </w:r>
      <w:r w:rsidR="00CB6C0A">
        <w:rPr>
          <w:sz w:val="24"/>
          <w:lang w:val="en-US"/>
        </w:rPr>
        <w:t>Would it therefore fall under the ambit of the term ‘</w:t>
      </w:r>
      <w:r w:rsidR="00CB6C0A" w:rsidRPr="00C229F7">
        <w:rPr>
          <w:i/>
          <w:sz w:val="24"/>
          <w:lang w:val="en-US"/>
        </w:rPr>
        <w:t>remuneration</w:t>
      </w:r>
      <w:r w:rsidR="00CB6C0A">
        <w:rPr>
          <w:sz w:val="24"/>
          <w:lang w:val="en-US"/>
        </w:rPr>
        <w:t>’? A</w:t>
      </w:r>
      <w:r>
        <w:rPr>
          <w:sz w:val="24"/>
          <w:lang w:val="en-US"/>
        </w:rPr>
        <w:t>lthough the term ‘</w:t>
      </w:r>
      <w:r w:rsidRPr="00CB6C0A">
        <w:rPr>
          <w:i/>
          <w:sz w:val="24"/>
          <w:lang w:val="en-US"/>
        </w:rPr>
        <w:t>remuneration</w:t>
      </w:r>
      <w:r>
        <w:rPr>
          <w:sz w:val="24"/>
          <w:lang w:val="en-US"/>
        </w:rPr>
        <w:t xml:space="preserve">’ has not been defined in the </w:t>
      </w:r>
      <w:r w:rsidRPr="00CB6C0A">
        <w:rPr>
          <w:i/>
          <w:sz w:val="24"/>
          <w:lang w:val="en-US"/>
        </w:rPr>
        <w:t>Act</w:t>
      </w:r>
      <w:r>
        <w:rPr>
          <w:sz w:val="24"/>
          <w:lang w:val="en-US"/>
        </w:rPr>
        <w:t xml:space="preserve">, the following may be noted from what the Supreme Court stated in </w:t>
      </w:r>
      <w:r w:rsidR="00CB6C0A" w:rsidRPr="00CB6C0A">
        <w:rPr>
          <w:i/>
          <w:sz w:val="24"/>
          <w:lang w:val="en-US"/>
        </w:rPr>
        <w:t xml:space="preserve">A.J. </w:t>
      </w:r>
      <w:proofErr w:type="spellStart"/>
      <w:r w:rsidR="00CB6C0A" w:rsidRPr="00CB6C0A">
        <w:rPr>
          <w:i/>
          <w:sz w:val="24"/>
          <w:lang w:val="en-US"/>
        </w:rPr>
        <w:t>Maurel</w:t>
      </w:r>
      <w:proofErr w:type="spellEnd"/>
      <w:r w:rsidR="00CB6C0A" w:rsidRPr="00CB6C0A">
        <w:rPr>
          <w:i/>
          <w:sz w:val="24"/>
          <w:lang w:val="en-US"/>
        </w:rPr>
        <w:t xml:space="preserve"> Con</w:t>
      </w:r>
      <w:r w:rsidR="006621AE">
        <w:rPr>
          <w:i/>
          <w:sz w:val="24"/>
          <w:lang w:val="en-US"/>
        </w:rPr>
        <w:t>s</w:t>
      </w:r>
      <w:r w:rsidR="00CB6C0A" w:rsidRPr="00CB6C0A">
        <w:rPr>
          <w:i/>
          <w:sz w:val="24"/>
          <w:lang w:val="en-US"/>
        </w:rPr>
        <w:t xml:space="preserve">truction Ltee v </w:t>
      </w:r>
      <w:proofErr w:type="spellStart"/>
      <w:r w:rsidR="00CB6C0A" w:rsidRPr="00CB6C0A">
        <w:rPr>
          <w:i/>
          <w:sz w:val="24"/>
          <w:lang w:val="en-US"/>
        </w:rPr>
        <w:t>Froget</w:t>
      </w:r>
      <w:proofErr w:type="spellEnd"/>
      <w:r w:rsidR="00CB6C0A">
        <w:rPr>
          <w:sz w:val="24"/>
          <w:lang w:val="en-US"/>
        </w:rPr>
        <w:t xml:space="preserve"> [</w:t>
      </w:r>
      <w:r w:rsidR="006621AE">
        <w:rPr>
          <w:i/>
          <w:sz w:val="24"/>
          <w:lang w:val="en-US"/>
        </w:rPr>
        <w:t>2008 MR 6</w:t>
      </w:r>
      <w:r w:rsidR="00CB6C0A">
        <w:rPr>
          <w:sz w:val="24"/>
          <w:lang w:val="en-US"/>
        </w:rPr>
        <w:t>]:</w:t>
      </w:r>
    </w:p>
    <w:p w:rsidR="00CB6C0A" w:rsidRPr="006668BB" w:rsidRDefault="00CB6C0A" w:rsidP="00F17900">
      <w:pPr>
        <w:spacing w:after="0"/>
        <w:jc w:val="both"/>
        <w:rPr>
          <w:lang w:val="en-US"/>
        </w:rPr>
      </w:pPr>
    </w:p>
    <w:p w:rsidR="00CB6C0A" w:rsidRPr="00CB6C0A" w:rsidRDefault="00CB6C0A" w:rsidP="00CB6C0A">
      <w:pPr>
        <w:spacing w:after="0"/>
        <w:ind w:left="720" w:right="900"/>
        <w:jc w:val="both"/>
        <w:rPr>
          <w:i/>
          <w:lang w:val="en-US"/>
        </w:rPr>
      </w:pPr>
      <w:r w:rsidRPr="00CB6C0A">
        <w:rPr>
          <w:i/>
          <w:lang w:val="en-US"/>
        </w:rPr>
        <w:t xml:space="preserve">Remuneration includes salary and the benefits that may be said to go with the salary or “the </w:t>
      </w:r>
      <w:proofErr w:type="spellStart"/>
      <w:r w:rsidRPr="00CB6C0A">
        <w:rPr>
          <w:i/>
          <w:lang w:val="en-US"/>
        </w:rPr>
        <w:t>salarium</w:t>
      </w:r>
      <w:proofErr w:type="spellEnd"/>
      <w:r w:rsidRPr="00CB6C0A">
        <w:rPr>
          <w:i/>
          <w:lang w:val="en-US"/>
        </w:rPr>
        <w:t>” which includes the “accessories:” see Jean-Emmanuel Ray Droit du Travail, Droit Vivant p. 173, para 123.</w:t>
      </w:r>
    </w:p>
    <w:p w:rsidR="0094659E" w:rsidRDefault="0094659E" w:rsidP="00CB6C0A">
      <w:pPr>
        <w:spacing w:after="0"/>
        <w:jc w:val="both"/>
        <w:rPr>
          <w:sz w:val="24"/>
          <w:lang w:val="en-US"/>
        </w:rPr>
      </w:pPr>
    </w:p>
    <w:p w:rsidR="005039FB" w:rsidRDefault="005039FB" w:rsidP="00CB6C0A">
      <w:pPr>
        <w:spacing w:after="0"/>
        <w:jc w:val="both"/>
        <w:rPr>
          <w:sz w:val="24"/>
          <w:lang w:val="en-US"/>
        </w:rPr>
      </w:pPr>
    </w:p>
    <w:p w:rsidR="005039FB" w:rsidRDefault="005039FB" w:rsidP="00CB6C0A">
      <w:pPr>
        <w:spacing w:after="0"/>
        <w:jc w:val="both"/>
        <w:rPr>
          <w:sz w:val="24"/>
          <w:lang w:val="en-US"/>
        </w:rPr>
      </w:pPr>
      <w:r>
        <w:rPr>
          <w:sz w:val="24"/>
          <w:lang w:val="en-US"/>
        </w:rPr>
        <w:tab/>
        <w:t xml:space="preserve">Moreover, it would be </w:t>
      </w:r>
      <w:r w:rsidR="00327991">
        <w:rPr>
          <w:sz w:val="24"/>
          <w:lang w:val="en-US"/>
        </w:rPr>
        <w:t>appropriate</w:t>
      </w:r>
      <w:r>
        <w:rPr>
          <w:sz w:val="24"/>
          <w:lang w:val="en-US"/>
        </w:rPr>
        <w:t xml:space="preserve"> to note what the Supreme Court stated in relation to the term ‘</w:t>
      </w:r>
      <w:r w:rsidRPr="005039FB">
        <w:rPr>
          <w:i/>
          <w:sz w:val="24"/>
          <w:lang w:val="en-US"/>
        </w:rPr>
        <w:t>remuneration</w:t>
      </w:r>
      <w:r>
        <w:rPr>
          <w:sz w:val="24"/>
          <w:lang w:val="en-US"/>
        </w:rPr>
        <w:t xml:space="preserve">’ in the case of </w:t>
      </w:r>
      <w:r w:rsidRPr="005039FB">
        <w:rPr>
          <w:i/>
          <w:sz w:val="24"/>
          <w:lang w:val="en-US"/>
        </w:rPr>
        <w:t>Stella Insurance Co Ltd v Ramphul</w:t>
      </w:r>
      <w:r>
        <w:rPr>
          <w:sz w:val="24"/>
          <w:lang w:val="en-US"/>
        </w:rPr>
        <w:t xml:space="preserve"> [</w:t>
      </w:r>
      <w:r w:rsidRPr="005039FB">
        <w:rPr>
          <w:i/>
          <w:sz w:val="24"/>
          <w:lang w:val="en-US"/>
        </w:rPr>
        <w:t>1987 MR 151</w:t>
      </w:r>
      <w:r>
        <w:rPr>
          <w:sz w:val="24"/>
          <w:lang w:val="en-US"/>
        </w:rPr>
        <w:t>]:</w:t>
      </w:r>
    </w:p>
    <w:p w:rsidR="005039FB" w:rsidRDefault="005039FB" w:rsidP="00CB6C0A">
      <w:pPr>
        <w:spacing w:after="0"/>
        <w:jc w:val="both"/>
        <w:rPr>
          <w:sz w:val="24"/>
          <w:lang w:val="en-US"/>
        </w:rPr>
      </w:pPr>
    </w:p>
    <w:p w:rsidR="005039FB" w:rsidRPr="005039FB" w:rsidRDefault="005039FB" w:rsidP="005039FB">
      <w:pPr>
        <w:spacing w:after="0"/>
        <w:ind w:left="720" w:right="900"/>
        <w:jc w:val="both"/>
        <w:rPr>
          <w:i/>
          <w:lang w:val="en-US"/>
        </w:rPr>
      </w:pPr>
      <w:r w:rsidRPr="005039FB">
        <w:rPr>
          <w:i/>
          <w:lang w:val="en-US"/>
        </w:rPr>
        <w:t xml:space="preserve">It should, in our view, mean, to quote from the editor of Stroud’s Judicial Dictionary who thus paraphrases the </w:t>
      </w:r>
      <w:r>
        <w:rPr>
          <w:i/>
          <w:lang w:val="en-US"/>
        </w:rPr>
        <w:t>ratio decidendi of the English c</w:t>
      </w:r>
      <w:r w:rsidRPr="005039FB">
        <w:rPr>
          <w:i/>
          <w:lang w:val="en-US"/>
        </w:rPr>
        <w:t>ase just referred to: “everything which is quantifiable and paid to the worker.”</w:t>
      </w:r>
    </w:p>
    <w:p w:rsidR="005039FB" w:rsidRDefault="005039FB" w:rsidP="00CB6C0A">
      <w:pPr>
        <w:spacing w:after="0"/>
        <w:jc w:val="both"/>
        <w:rPr>
          <w:sz w:val="24"/>
          <w:lang w:val="en-US"/>
        </w:rPr>
      </w:pPr>
    </w:p>
    <w:p w:rsidR="00897C00" w:rsidRDefault="00897C00" w:rsidP="00CB6C0A">
      <w:pPr>
        <w:spacing w:after="0"/>
        <w:jc w:val="both"/>
        <w:rPr>
          <w:sz w:val="24"/>
          <w:lang w:val="en-US"/>
        </w:rPr>
      </w:pPr>
    </w:p>
    <w:p w:rsidR="00897C00" w:rsidRDefault="00897C00" w:rsidP="00CB6C0A">
      <w:pPr>
        <w:spacing w:after="0"/>
        <w:jc w:val="both"/>
        <w:rPr>
          <w:sz w:val="24"/>
          <w:lang w:val="en-US"/>
        </w:rPr>
      </w:pPr>
      <w:r>
        <w:rPr>
          <w:sz w:val="24"/>
          <w:lang w:val="en-US"/>
        </w:rPr>
        <w:tab/>
        <w:t xml:space="preserve">The following may also be noted from </w:t>
      </w:r>
      <w:r w:rsidRPr="00522CE2">
        <w:rPr>
          <w:i/>
          <w:sz w:val="24"/>
        </w:rPr>
        <w:t xml:space="preserve">J. </w:t>
      </w:r>
      <w:proofErr w:type="spellStart"/>
      <w:r w:rsidRPr="00522CE2">
        <w:rPr>
          <w:i/>
          <w:sz w:val="24"/>
        </w:rPr>
        <w:t>Pélissier</w:t>
      </w:r>
      <w:proofErr w:type="spellEnd"/>
      <w:r>
        <w:rPr>
          <w:sz w:val="24"/>
        </w:rPr>
        <w:t xml:space="preserve">, </w:t>
      </w:r>
      <w:r w:rsidRPr="00522CE2">
        <w:rPr>
          <w:i/>
          <w:sz w:val="24"/>
        </w:rPr>
        <w:t xml:space="preserve">G. </w:t>
      </w:r>
      <w:proofErr w:type="spellStart"/>
      <w:r w:rsidRPr="00522CE2">
        <w:rPr>
          <w:i/>
          <w:sz w:val="24"/>
        </w:rPr>
        <w:t>Auzero</w:t>
      </w:r>
      <w:proofErr w:type="spellEnd"/>
      <w:r>
        <w:rPr>
          <w:sz w:val="24"/>
        </w:rPr>
        <w:t xml:space="preserve"> and </w:t>
      </w:r>
      <w:r w:rsidRPr="00522CE2">
        <w:rPr>
          <w:i/>
          <w:sz w:val="24"/>
        </w:rPr>
        <w:t xml:space="preserve">E. </w:t>
      </w:r>
      <w:proofErr w:type="spellStart"/>
      <w:r w:rsidRPr="00522CE2">
        <w:rPr>
          <w:i/>
          <w:sz w:val="24"/>
        </w:rPr>
        <w:t>Dockès</w:t>
      </w:r>
      <w:proofErr w:type="spellEnd"/>
      <w:r>
        <w:rPr>
          <w:sz w:val="24"/>
        </w:rPr>
        <w:t xml:space="preserve"> in </w:t>
      </w:r>
      <w:r w:rsidRPr="000119EF">
        <w:rPr>
          <w:i/>
          <w:sz w:val="24"/>
        </w:rPr>
        <w:t>Droit du travail</w:t>
      </w:r>
      <w:r>
        <w:rPr>
          <w:sz w:val="24"/>
        </w:rPr>
        <w:t xml:space="preserve">, </w:t>
      </w:r>
      <w:r w:rsidRPr="000119EF">
        <w:rPr>
          <w:i/>
          <w:sz w:val="24"/>
        </w:rPr>
        <w:t>Précis Dalloz</w:t>
      </w:r>
      <w:r>
        <w:rPr>
          <w:sz w:val="24"/>
        </w:rPr>
        <w:t xml:space="preserve">, </w:t>
      </w:r>
      <w:r w:rsidRPr="000119EF">
        <w:rPr>
          <w:i/>
          <w:sz w:val="24"/>
        </w:rPr>
        <w:t xml:space="preserve">26ᵉ </w:t>
      </w:r>
      <w:proofErr w:type="spellStart"/>
      <w:r w:rsidRPr="000119EF">
        <w:rPr>
          <w:i/>
          <w:sz w:val="24"/>
        </w:rPr>
        <w:t>édition</w:t>
      </w:r>
      <w:proofErr w:type="spellEnd"/>
      <w:r>
        <w:rPr>
          <w:sz w:val="24"/>
        </w:rPr>
        <w:t xml:space="preserve">, </w:t>
      </w:r>
      <w:r>
        <w:rPr>
          <w:i/>
          <w:sz w:val="24"/>
        </w:rPr>
        <w:t>p.</w:t>
      </w:r>
      <w:r w:rsidR="00BB4B2A">
        <w:rPr>
          <w:i/>
          <w:sz w:val="24"/>
        </w:rPr>
        <w:t>875, 876</w:t>
      </w:r>
      <w:r w:rsidR="00EE4532">
        <w:rPr>
          <w:i/>
          <w:sz w:val="24"/>
        </w:rPr>
        <w:t>, note 851</w:t>
      </w:r>
      <w:r>
        <w:rPr>
          <w:sz w:val="24"/>
          <w:lang w:val="en-US"/>
        </w:rPr>
        <w:t xml:space="preserve"> on the issue of remuneration in relation to salary:</w:t>
      </w:r>
    </w:p>
    <w:p w:rsidR="00CB6C0A" w:rsidRPr="006668BB" w:rsidRDefault="00CB6C0A" w:rsidP="00CB6C0A">
      <w:pPr>
        <w:spacing w:after="0"/>
        <w:jc w:val="both"/>
        <w:rPr>
          <w:lang w:val="en-US"/>
        </w:rPr>
      </w:pPr>
    </w:p>
    <w:p w:rsidR="00BB4B2A" w:rsidRPr="00230BC6" w:rsidRDefault="00BB4B2A" w:rsidP="00230BC6">
      <w:pPr>
        <w:spacing w:after="0"/>
        <w:ind w:left="720" w:right="900"/>
        <w:jc w:val="both"/>
        <w:rPr>
          <w:i/>
          <w:sz w:val="24"/>
          <w:lang w:val="fr-FR"/>
        </w:rPr>
      </w:pPr>
      <w:r w:rsidRPr="00230BC6">
        <w:rPr>
          <w:i/>
          <w:lang w:val="fr-FR"/>
        </w:rPr>
        <w:t>Une distinction est ainsi introduite entre une notion large de rémunération de l’emploi, et une notion plus étroite de salaire, qui serait essentiellement le prix de base du travail fourni. Mais les expressions de « salaire » et de « rémunération (du travail) » sont souvent employées, dans le Code du travail, comme synonymes. Il faut donc admettre que « salaire » possède, dans la langue du droit du travail, un sens étroit (sala</w:t>
      </w:r>
      <w:r w:rsidR="00396130">
        <w:rPr>
          <w:i/>
          <w:lang w:val="fr-FR"/>
        </w:rPr>
        <w:t>i</w:t>
      </w:r>
      <w:r w:rsidRPr="00230BC6">
        <w:rPr>
          <w:i/>
          <w:lang w:val="fr-FR"/>
        </w:rPr>
        <w:t>re de base) et un sens large (ensemble du salaire de base augmenté des « compléments du sala</w:t>
      </w:r>
      <w:r w:rsidR="00396130">
        <w:rPr>
          <w:i/>
          <w:lang w:val="fr-FR"/>
        </w:rPr>
        <w:t>i</w:t>
      </w:r>
      <w:r w:rsidRPr="00230BC6">
        <w:rPr>
          <w:i/>
          <w:lang w:val="fr-FR"/>
        </w:rPr>
        <w:t>re », qui en sont des « éléments constitutifs »), dans lequel il a pour synonyme « rémunération ».</w:t>
      </w:r>
      <w:r w:rsidR="00230BC6" w:rsidRPr="00230BC6">
        <w:rPr>
          <w:i/>
          <w:sz w:val="24"/>
          <w:lang w:val="fr-FR"/>
        </w:rPr>
        <w:t xml:space="preserve"> </w:t>
      </w:r>
      <w:r w:rsidRPr="00230BC6">
        <w:rPr>
          <w:i/>
          <w:sz w:val="24"/>
          <w:lang w:val="fr-FR"/>
        </w:rPr>
        <w:t xml:space="preserve">     </w:t>
      </w:r>
    </w:p>
    <w:p w:rsidR="00BB4B2A" w:rsidRPr="00BB4B2A" w:rsidRDefault="00BB4B2A" w:rsidP="00CB6C0A">
      <w:pPr>
        <w:spacing w:after="0"/>
        <w:jc w:val="both"/>
        <w:rPr>
          <w:sz w:val="24"/>
          <w:lang w:val="fr-FR"/>
        </w:rPr>
      </w:pPr>
    </w:p>
    <w:p w:rsidR="00BB4B2A" w:rsidRPr="00BB4B2A" w:rsidRDefault="00BB4B2A" w:rsidP="00CB6C0A">
      <w:pPr>
        <w:spacing w:after="0"/>
        <w:jc w:val="both"/>
        <w:rPr>
          <w:sz w:val="24"/>
          <w:lang w:val="fr-FR"/>
        </w:rPr>
      </w:pPr>
    </w:p>
    <w:p w:rsidR="00A1231D" w:rsidRDefault="00CB6C0A" w:rsidP="00CB6C0A">
      <w:pPr>
        <w:spacing w:after="0"/>
        <w:jc w:val="both"/>
        <w:rPr>
          <w:sz w:val="24"/>
          <w:lang w:val="en-US"/>
        </w:rPr>
      </w:pPr>
      <w:r w:rsidRPr="00BB4B2A">
        <w:rPr>
          <w:sz w:val="24"/>
          <w:lang w:val="fr-FR"/>
        </w:rPr>
        <w:tab/>
      </w:r>
      <w:r>
        <w:rPr>
          <w:sz w:val="24"/>
          <w:lang w:val="en-US"/>
        </w:rPr>
        <w:t>It is thus clear that as increme</w:t>
      </w:r>
      <w:r w:rsidR="00884333">
        <w:rPr>
          <w:sz w:val="24"/>
          <w:lang w:val="en-US"/>
        </w:rPr>
        <w:t>nt is</w:t>
      </w:r>
      <w:r w:rsidR="00230BC6">
        <w:rPr>
          <w:sz w:val="24"/>
          <w:lang w:val="en-US"/>
        </w:rPr>
        <w:t xml:space="preserve"> directly </w:t>
      </w:r>
      <w:r w:rsidR="008D63C6">
        <w:rPr>
          <w:sz w:val="24"/>
          <w:lang w:val="en-US"/>
        </w:rPr>
        <w:t>linked</w:t>
      </w:r>
      <w:r w:rsidR="00230BC6">
        <w:rPr>
          <w:sz w:val="24"/>
          <w:lang w:val="en-US"/>
        </w:rPr>
        <w:t xml:space="preserve"> to</w:t>
      </w:r>
      <w:r w:rsidR="00884333">
        <w:rPr>
          <w:sz w:val="24"/>
          <w:lang w:val="en-US"/>
        </w:rPr>
        <w:t xml:space="preserve"> salary</w:t>
      </w:r>
      <w:r>
        <w:rPr>
          <w:sz w:val="24"/>
          <w:lang w:val="en-US"/>
        </w:rPr>
        <w:t>,</w:t>
      </w:r>
      <w:r w:rsidR="00884333">
        <w:rPr>
          <w:sz w:val="24"/>
          <w:lang w:val="en-US"/>
        </w:rPr>
        <w:t xml:space="preserve"> it</w:t>
      </w:r>
      <w:r>
        <w:rPr>
          <w:sz w:val="24"/>
          <w:lang w:val="en-US"/>
        </w:rPr>
        <w:t xml:space="preserve"> would amply fall within the ambit of the term ‘</w:t>
      </w:r>
      <w:r w:rsidRPr="00CB6C0A">
        <w:rPr>
          <w:i/>
          <w:sz w:val="24"/>
          <w:lang w:val="en-US"/>
        </w:rPr>
        <w:t>remuneration</w:t>
      </w:r>
      <w:r>
        <w:rPr>
          <w:sz w:val="24"/>
          <w:lang w:val="en-US"/>
        </w:rPr>
        <w:t xml:space="preserve">’ and thus a dispute concerning </w:t>
      </w:r>
      <w:r w:rsidR="00A1231D">
        <w:rPr>
          <w:sz w:val="24"/>
          <w:lang w:val="en-US"/>
        </w:rPr>
        <w:t>the grant of same</w:t>
      </w:r>
      <w:r>
        <w:rPr>
          <w:sz w:val="24"/>
          <w:lang w:val="en-US"/>
        </w:rPr>
        <w:t xml:space="preserve"> would not be deemed to be a labour dispute pursuant to paragraph (b) of the meaning of labour dispute under </w:t>
      </w:r>
      <w:r w:rsidRPr="00CB6C0A">
        <w:rPr>
          <w:i/>
          <w:sz w:val="24"/>
          <w:lang w:val="en-US"/>
        </w:rPr>
        <w:t>section 2</w:t>
      </w:r>
      <w:r>
        <w:rPr>
          <w:sz w:val="24"/>
          <w:lang w:val="en-US"/>
        </w:rPr>
        <w:t xml:space="preserve"> of the </w:t>
      </w:r>
      <w:r w:rsidRPr="00CB6C0A">
        <w:rPr>
          <w:i/>
          <w:sz w:val="24"/>
          <w:lang w:val="en-US"/>
        </w:rPr>
        <w:t>Act</w:t>
      </w:r>
      <w:r>
        <w:rPr>
          <w:sz w:val="24"/>
          <w:lang w:val="en-US"/>
        </w:rPr>
        <w:t xml:space="preserve">. </w:t>
      </w:r>
    </w:p>
    <w:p w:rsidR="00A1231D" w:rsidRDefault="00A1231D" w:rsidP="00CB6C0A">
      <w:pPr>
        <w:spacing w:after="0"/>
        <w:jc w:val="both"/>
        <w:rPr>
          <w:sz w:val="24"/>
          <w:lang w:val="en-US"/>
        </w:rPr>
      </w:pPr>
    </w:p>
    <w:p w:rsidR="00A1231D" w:rsidRDefault="00A1231D" w:rsidP="00CB6C0A">
      <w:pPr>
        <w:spacing w:after="0"/>
        <w:jc w:val="both"/>
        <w:rPr>
          <w:sz w:val="24"/>
          <w:lang w:val="en-US"/>
        </w:rPr>
      </w:pPr>
    </w:p>
    <w:p w:rsidR="008D74A4" w:rsidRDefault="008D74A4" w:rsidP="00A1231D">
      <w:pPr>
        <w:spacing w:after="0"/>
        <w:ind w:firstLine="720"/>
        <w:jc w:val="both"/>
        <w:rPr>
          <w:sz w:val="24"/>
          <w:lang w:val="en-US"/>
        </w:rPr>
      </w:pPr>
      <w:r>
        <w:rPr>
          <w:sz w:val="24"/>
          <w:lang w:val="en-US"/>
        </w:rPr>
        <w:t xml:space="preserve">It is also pertinent to note that it has not been disputed that the Disputant has signed the Option Form opting </w:t>
      </w:r>
      <w:r w:rsidR="00884333">
        <w:rPr>
          <w:sz w:val="24"/>
          <w:lang w:val="en-US"/>
        </w:rPr>
        <w:t xml:space="preserve">to be governed by </w:t>
      </w:r>
      <w:r>
        <w:rPr>
          <w:sz w:val="24"/>
          <w:lang w:val="en-US"/>
        </w:rPr>
        <w:t xml:space="preserve">the recommendations of the </w:t>
      </w:r>
      <w:r w:rsidRPr="009E0C0A">
        <w:rPr>
          <w:i/>
          <w:sz w:val="24"/>
          <w:lang w:val="en-US"/>
        </w:rPr>
        <w:t>PRB Report</w:t>
      </w:r>
      <w:r>
        <w:rPr>
          <w:sz w:val="24"/>
          <w:lang w:val="en-US"/>
        </w:rPr>
        <w:t xml:space="preserve"> as is evidenced by Document A produced.</w:t>
      </w:r>
      <w:r w:rsidR="00ED07B1">
        <w:rPr>
          <w:sz w:val="24"/>
          <w:lang w:val="en-US"/>
        </w:rPr>
        <w:t xml:space="preserve"> It has not also been disputed that the Disputant applied for the award of incremental credits under the </w:t>
      </w:r>
      <w:r w:rsidR="00ED07B1" w:rsidRPr="007B5AC9">
        <w:rPr>
          <w:i/>
          <w:sz w:val="24"/>
          <w:lang w:val="en-US"/>
        </w:rPr>
        <w:t>PRB Report 2013</w:t>
      </w:r>
      <w:r w:rsidR="00ED07B1">
        <w:rPr>
          <w:sz w:val="24"/>
          <w:lang w:val="en-US"/>
        </w:rPr>
        <w:t xml:space="preserve"> in or around June 2016, which is after the effective date implementation of the </w:t>
      </w:r>
      <w:r w:rsidR="00ED07B1" w:rsidRPr="007B5AC9">
        <w:rPr>
          <w:i/>
          <w:sz w:val="24"/>
          <w:lang w:val="en-US"/>
        </w:rPr>
        <w:t>PRB Report 2016</w:t>
      </w:r>
      <w:r w:rsidR="00ED07B1">
        <w:rPr>
          <w:sz w:val="24"/>
          <w:lang w:val="en-US"/>
        </w:rPr>
        <w:t xml:space="preserve"> and after he signed the Option Form to be governed by same on 15 April 2016.  </w:t>
      </w:r>
      <w:r>
        <w:rPr>
          <w:sz w:val="24"/>
          <w:lang w:val="en-US"/>
        </w:rPr>
        <w:t xml:space="preserve"> </w:t>
      </w:r>
    </w:p>
    <w:p w:rsidR="00355A33" w:rsidRDefault="00355A33" w:rsidP="00CB6C0A">
      <w:pPr>
        <w:spacing w:after="0"/>
        <w:jc w:val="both"/>
        <w:rPr>
          <w:sz w:val="24"/>
          <w:lang w:val="en-US"/>
        </w:rPr>
      </w:pPr>
    </w:p>
    <w:p w:rsidR="00355A33" w:rsidRDefault="00355A33" w:rsidP="00CB6C0A">
      <w:pPr>
        <w:spacing w:after="0"/>
        <w:jc w:val="both"/>
        <w:rPr>
          <w:sz w:val="24"/>
          <w:lang w:val="en-US"/>
        </w:rPr>
      </w:pPr>
    </w:p>
    <w:p w:rsidR="00355A33" w:rsidRDefault="00355A33" w:rsidP="00CB6C0A">
      <w:pPr>
        <w:spacing w:after="0"/>
        <w:jc w:val="both"/>
        <w:rPr>
          <w:sz w:val="24"/>
          <w:lang w:val="en-US"/>
        </w:rPr>
      </w:pPr>
      <w:r>
        <w:rPr>
          <w:sz w:val="24"/>
          <w:lang w:val="en-US"/>
        </w:rPr>
        <w:tab/>
        <w:t xml:space="preserve">It now remains to be seen if the payment of a lump sum for HQI pursuant to </w:t>
      </w:r>
      <w:r w:rsidRPr="00355A33">
        <w:rPr>
          <w:i/>
          <w:sz w:val="24"/>
          <w:lang w:val="en-US"/>
        </w:rPr>
        <w:t>paragraph 18.9.16</w:t>
      </w:r>
      <w:r w:rsidR="00230BC6">
        <w:rPr>
          <w:i/>
          <w:sz w:val="24"/>
          <w:lang w:val="en-US"/>
        </w:rPr>
        <w:t xml:space="preserve"> (v)</w:t>
      </w:r>
      <w:r w:rsidRPr="00355A33">
        <w:rPr>
          <w:i/>
          <w:sz w:val="24"/>
          <w:lang w:val="en-US"/>
        </w:rPr>
        <w:t xml:space="preserve"> </w:t>
      </w:r>
      <w:r>
        <w:rPr>
          <w:sz w:val="24"/>
          <w:lang w:val="en-US"/>
        </w:rPr>
        <w:t xml:space="preserve">of the </w:t>
      </w:r>
      <w:r w:rsidRPr="00355A33">
        <w:rPr>
          <w:i/>
          <w:sz w:val="24"/>
          <w:lang w:val="en-US"/>
        </w:rPr>
        <w:t>PRB Report 2016</w:t>
      </w:r>
      <w:r>
        <w:rPr>
          <w:sz w:val="24"/>
          <w:lang w:val="en-US"/>
        </w:rPr>
        <w:t xml:space="preserve"> would fall within the ambit of the term ‘</w:t>
      </w:r>
      <w:r w:rsidRPr="00355A33">
        <w:rPr>
          <w:i/>
          <w:sz w:val="24"/>
          <w:lang w:val="en-US"/>
        </w:rPr>
        <w:t>remuneration</w:t>
      </w:r>
      <w:r>
        <w:rPr>
          <w:sz w:val="24"/>
          <w:lang w:val="en-US"/>
        </w:rPr>
        <w:t xml:space="preserve">’ as has been contemplated at paragraph (b) of the meaning of labour dispute under </w:t>
      </w:r>
      <w:r w:rsidRPr="00355A33">
        <w:rPr>
          <w:i/>
          <w:sz w:val="24"/>
          <w:lang w:val="en-US"/>
        </w:rPr>
        <w:t xml:space="preserve">section 2 </w:t>
      </w:r>
      <w:r>
        <w:rPr>
          <w:sz w:val="24"/>
          <w:lang w:val="en-US"/>
        </w:rPr>
        <w:t xml:space="preserve">of the </w:t>
      </w:r>
      <w:r w:rsidRPr="00355A33">
        <w:rPr>
          <w:i/>
          <w:sz w:val="24"/>
          <w:lang w:val="en-US"/>
        </w:rPr>
        <w:t>Act</w:t>
      </w:r>
      <w:r>
        <w:rPr>
          <w:sz w:val="24"/>
          <w:lang w:val="en-US"/>
        </w:rPr>
        <w:t>. A scrutiny of the</w:t>
      </w:r>
      <w:r w:rsidR="00230BC6">
        <w:rPr>
          <w:sz w:val="24"/>
          <w:lang w:val="en-US"/>
        </w:rPr>
        <w:t xml:space="preserve"> whole of </w:t>
      </w:r>
      <w:r w:rsidRPr="00230BC6">
        <w:rPr>
          <w:i/>
          <w:sz w:val="24"/>
          <w:lang w:val="en-US"/>
        </w:rPr>
        <w:t>paragraph</w:t>
      </w:r>
      <w:r w:rsidR="00230BC6" w:rsidRPr="00230BC6">
        <w:rPr>
          <w:i/>
          <w:sz w:val="24"/>
          <w:lang w:val="en-US"/>
        </w:rPr>
        <w:t xml:space="preserve"> 18.9.16</w:t>
      </w:r>
      <w:r>
        <w:rPr>
          <w:sz w:val="24"/>
          <w:lang w:val="en-US"/>
        </w:rPr>
        <w:t xml:space="preserve"> of the </w:t>
      </w:r>
      <w:r w:rsidRPr="00355A33">
        <w:rPr>
          <w:i/>
          <w:sz w:val="24"/>
          <w:lang w:val="en-US"/>
        </w:rPr>
        <w:t>PRB Report 2016</w:t>
      </w:r>
      <w:r>
        <w:rPr>
          <w:sz w:val="24"/>
          <w:lang w:val="en-US"/>
        </w:rPr>
        <w:t xml:space="preserve"> r</w:t>
      </w:r>
      <w:r w:rsidR="00230BC6">
        <w:rPr>
          <w:sz w:val="24"/>
          <w:lang w:val="en-US"/>
        </w:rPr>
        <w:t>eveals that the payment of the l</w:t>
      </w:r>
      <w:r>
        <w:rPr>
          <w:sz w:val="24"/>
          <w:lang w:val="en-US"/>
        </w:rPr>
        <w:t xml:space="preserve">ump sum is not automatic and is subject to certain conditions as set out therein. </w:t>
      </w:r>
    </w:p>
    <w:p w:rsidR="00355A33" w:rsidRDefault="00355A33" w:rsidP="00CB6C0A">
      <w:pPr>
        <w:spacing w:after="0"/>
        <w:jc w:val="both"/>
        <w:rPr>
          <w:sz w:val="24"/>
          <w:lang w:val="en-US"/>
        </w:rPr>
      </w:pPr>
    </w:p>
    <w:p w:rsidR="00355A33" w:rsidRDefault="00355A33" w:rsidP="00CB6C0A">
      <w:pPr>
        <w:spacing w:after="0"/>
        <w:jc w:val="both"/>
        <w:rPr>
          <w:sz w:val="24"/>
          <w:lang w:val="en-US"/>
        </w:rPr>
      </w:pPr>
    </w:p>
    <w:p w:rsidR="00BC7F4E" w:rsidRDefault="00355A33" w:rsidP="00CB6C0A">
      <w:pPr>
        <w:spacing w:after="0"/>
        <w:jc w:val="both"/>
        <w:rPr>
          <w:sz w:val="24"/>
          <w:lang w:val="en-US"/>
        </w:rPr>
      </w:pPr>
      <w:r>
        <w:rPr>
          <w:sz w:val="24"/>
          <w:lang w:val="en-US"/>
        </w:rPr>
        <w:lastRenderedPageBreak/>
        <w:tab/>
        <w:t>The</w:t>
      </w:r>
      <w:r w:rsidR="00230BC6">
        <w:rPr>
          <w:sz w:val="24"/>
          <w:lang w:val="en-US"/>
        </w:rPr>
        <w:t xml:space="preserve"> payment of the lump sum comprises the payment of</w:t>
      </w:r>
      <w:r>
        <w:rPr>
          <w:sz w:val="24"/>
          <w:lang w:val="en-US"/>
        </w:rPr>
        <w:t xml:space="preserve"> an amount of money depending on the type of qualification as set out in the table at </w:t>
      </w:r>
      <w:r w:rsidRPr="00355A33">
        <w:rPr>
          <w:i/>
          <w:sz w:val="24"/>
          <w:lang w:val="en-US"/>
        </w:rPr>
        <w:t>paragraph 18.9.16 (v)</w:t>
      </w:r>
      <w:r>
        <w:rPr>
          <w:sz w:val="24"/>
          <w:lang w:val="en-US"/>
        </w:rPr>
        <w:t xml:space="preserve"> of the </w:t>
      </w:r>
      <w:r w:rsidRPr="00355A33">
        <w:rPr>
          <w:i/>
          <w:sz w:val="24"/>
          <w:lang w:val="en-US"/>
        </w:rPr>
        <w:t>PRB Report 2016</w:t>
      </w:r>
      <w:r>
        <w:rPr>
          <w:sz w:val="24"/>
          <w:lang w:val="en-US"/>
        </w:rPr>
        <w:t>. This payment is normally made in the salary of the officer and would thus be part of the salary of the beneficiary.</w:t>
      </w:r>
      <w:r w:rsidR="00BC7F4E">
        <w:rPr>
          <w:sz w:val="24"/>
          <w:lang w:val="en-US"/>
        </w:rPr>
        <w:t xml:space="preserve"> Despite the appellation of a lump sum, its payment, whether one off or otherwise, is made as part of the salary of the officer and would thus </w:t>
      </w:r>
      <w:r w:rsidR="00E019AA">
        <w:rPr>
          <w:sz w:val="24"/>
          <w:lang w:val="en-US"/>
        </w:rPr>
        <w:t>be within</w:t>
      </w:r>
      <w:r w:rsidR="00BC7F4E">
        <w:rPr>
          <w:sz w:val="24"/>
          <w:lang w:val="en-US"/>
        </w:rPr>
        <w:t xml:space="preserve"> the officer’s remuneration.   </w:t>
      </w:r>
      <w:r>
        <w:rPr>
          <w:sz w:val="24"/>
          <w:lang w:val="en-US"/>
        </w:rPr>
        <w:t xml:space="preserve"> </w:t>
      </w:r>
    </w:p>
    <w:p w:rsidR="00BC7F4E" w:rsidRDefault="00BC7F4E" w:rsidP="00CB6C0A">
      <w:pPr>
        <w:spacing w:after="0"/>
        <w:jc w:val="both"/>
        <w:rPr>
          <w:sz w:val="24"/>
          <w:lang w:val="en-US"/>
        </w:rPr>
      </w:pPr>
    </w:p>
    <w:p w:rsidR="00BC7F4E" w:rsidRDefault="00BC7F4E" w:rsidP="00CB6C0A">
      <w:pPr>
        <w:spacing w:after="0"/>
        <w:jc w:val="both"/>
        <w:rPr>
          <w:sz w:val="24"/>
          <w:lang w:val="en-US"/>
        </w:rPr>
      </w:pPr>
    </w:p>
    <w:p w:rsidR="007B5AC9" w:rsidRDefault="00355A33" w:rsidP="00BC7F4E">
      <w:pPr>
        <w:spacing w:after="0"/>
        <w:ind w:firstLine="720"/>
        <w:jc w:val="both"/>
        <w:rPr>
          <w:sz w:val="24"/>
          <w:lang w:val="en-US"/>
        </w:rPr>
      </w:pPr>
      <w:r>
        <w:rPr>
          <w:sz w:val="24"/>
          <w:lang w:val="en-US"/>
        </w:rPr>
        <w:t xml:space="preserve">Given that the legislator has contemplated the exclusion of disputes </w:t>
      </w:r>
      <w:r w:rsidR="00FB1A80">
        <w:rPr>
          <w:sz w:val="24"/>
          <w:lang w:val="en-US"/>
        </w:rPr>
        <w:t>pertaining to</w:t>
      </w:r>
      <w:r w:rsidR="00BC7F4E">
        <w:rPr>
          <w:sz w:val="24"/>
          <w:lang w:val="en-US"/>
        </w:rPr>
        <w:t xml:space="preserve"> recommendations of the </w:t>
      </w:r>
      <w:r w:rsidR="00BC7F4E" w:rsidRPr="00BC7F4E">
        <w:rPr>
          <w:i/>
          <w:sz w:val="24"/>
          <w:lang w:val="en-US"/>
        </w:rPr>
        <w:t>PRB Report</w:t>
      </w:r>
      <w:r w:rsidR="00BC7F4E">
        <w:rPr>
          <w:sz w:val="24"/>
          <w:lang w:val="en-US"/>
        </w:rPr>
        <w:t xml:space="preserve"> in relation</w:t>
      </w:r>
      <w:r>
        <w:rPr>
          <w:sz w:val="24"/>
          <w:lang w:val="en-US"/>
        </w:rPr>
        <w:t xml:space="preserve"> to ‘</w:t>
      </w:r>
      <w:r w:rsidRPr="00BC7F4E">
        <w:rPr>
          <w:i/>
          <w:sz w:val="24"/>
          <w:lang w:val="en-US"/>
        </w:rPr>
        <w:t xml:space="preserve">remuneration </w:t>
      </w:r>
      <w:r w:rsidR="00BC7F4E">
        <w:rPr>
          <w:i/>
          <w:sz w:val="24"/>
          <w:lang w:val="en-US"/>
        </w:rPr>
        <w:t>…</w:t>
      </w:r>
      <w:r w:rsidRPr="00BC7F4E">
        <w:rPr>
          <w:i/>
          <w:sz w:val="24"/>
          <w:lang w:val="en-US"/>
        </w:rPr>
        <w:t xml:space="preserve"> of any kind</w:t>
      </w:r>
      <w:r w:rsidRPr="00BC7F4E">
        <w:rPr>
          <w:sz w:val="24"/>
          <w:lang w:val="en-US"/>
        </w:rPr>
        <w:t>’</w:t>
      </w:r>
      <w:r w:rsidR="00BC7F4E">
        <w:rPr>
          <w:sz w:val="24"/>
          <w:lang w:val="en-US"/>
        </w:rPr>
        <w:t xml:space="preserve"> from the meaning of a labour dispute, the payment of the lump sum would fall within the wide ambit of paragraph (b) of the meaning of labour dispute under </w:t>
      </w:r>
      <w:r w:rsidR="00BC7F4E" w:rsidRPr="00BC7F4E">
        <w:rPr>
          <w:i/>
          <w:sz w:val="24"/>
          <w:lang w:val="en-US"/>
        </w:rPr>
        <w:t>section 2</w:t>
      </w:r>
      <w:r w:rsidR="00BC7F4E">
        <w:rPr>
          <w:sz w:val="24"/>
          <w:lang w:val="en-US"/>
        </w:rPr>
        <w:t xml:space="preserve"> of the </w:t>
      </w:r>
      <w:r w:rsidR="00BC7F4E" w:rsidRPr="00BC7F4E">
        <w:rPr>
          <w:i/>
          <w:sz w:val="24"/>
          <w:lang w:val="en-US"/>
        </w:rPr>
        <w:t>Act</w:t>
      </w:r>
      <w:r w:rsidR="00BC7F4E">
        <w:rPr>
          <w:sz w:val="24"/>
          <w:lang w:val="en-US"/>
        </w:rPr>
        <w:t xml:space="preserve">. </w:t>
      </w:r>
    </w:p>
    <w:p w:rsidR="007B5AC9" w:rsidRDefault="007B5AC9" w:rsidP="00BC7F4E">
      <w:pPr>
        <w:spacing w:after="0"/>
        <w:ind w:firstLine="720"/>
        <w:jc w:val="both"/>
        <w:rPr>
          <w:sz w:val="24"/>
          <w:lang w:val="en-US"/>
        </w:rPr>
      </w:pPr>
    </w:p>
    <w:p w:rsidR="007B5AC9" w:rsidRDefault="007B5AC9" w:rsidP="00BC7F4E">
      <w:pPr>
        <w:spacing w:after="0"/>
        <w:ind w:firstLine="720"/>
        <w:jc w:val="both"/>
        <w:rPr>
          <w:sz w:val="24"/>
          <w:lang w:val="en-US"/>
        </w:rPr>
      </w:pPr>
    </w:p>
    <w:p w:rsidR="007B5AC9" w:rsidRDefault="006E0FB9" w:rsidP="00BC7F4E">
      <w:pPr>
        <w:spacing w:after="0"/>
        <w:ind w:firstLine="720"/>
        <w:jc w:val="both"/>
        <w:rPr>
          <w:sz w:val="24"/>
          <w:lang w:val="en-US"/>
        </w:rPr>
      </w:pPr>
      <w:r>
        <w:rPr>
          <w:sz w:val="24"/>
          <w:lang w:val="en-US"/>
        </w:rPr>
        <w:t xml:space="preserve">The Disputant would thus be barred from bringing a dispute for the payment of a lump sum for his BSc in Management as per </w:t>
      </w:r>
      <w:r w:rsidRPr="008C116E">
        <w:rPr>
          <w:i/>
          <w:sz w:val="24"/>
          <w:lang w:val="en-US"/>
        </w:rPr>
        <w:t>paragraph 18.9.16 (v)</w:t>
      </w:r>
      <w:r>
        <w:rPr>
          <w:sz w:val="24"/>
          <w:lang w:val="en-US"/>
        </w:rPr>
        <w:t xml:space="preserve"> of the </w:t>
      </w:r>
      <w:r w:rsidRPr="008C116E">
        <w:rPr>
          <w:i/>
          <w:sz w:val="24"/>
          <w:lang w:val="en-US"/>
        </w:rPr>
        <w:t>PRB Report 2016</w:t>
      </w:r>
      <w:r w:rsidR="008C116E">
        <w:rPr>
          <w:sz w:val="24"/>
          <w:lang w:val="en-US"/>
        </w:rPr>
        <w:t xml:space="preserve"> in view of the exclusion to the meaning of a labour dispute</w:t>
      </w:r>
      <w:r w:rsidR="001034DA">
        <w:rPr>
          <w:sz w:val="24"/>
          <w:lang w:val="en-US"/>
        </w:rPr>
        <w:t xml:space="preserve"> made</w:t>
      </w:r>
      <w:r w:rsidR="008C116E">
        <w:rPr>
          <w:sz w:val="24"/>
          <w:lang w:val="en-US"/>
        </w:rPr>
        <w:t xml:space="preserve"> at paragraph (b) under </w:t>
      </w:r>
      <w:r w:rsidR="008C116E" w:rsidRPr="008C116E">
        <w:rPr>
          <w:i/>
          <w:sz w:val="24"/>
          <w:lang w:val="en-US"/>
        </w:rPr>
        <w:t>section 2</w:t>
      </w:r>
      <w:r w:rsidR="008C116E">
        <w:rPr>
          <w:sz w:val="24"/>
          <w:lang w:val="en-US"/>
        </w:rPr>
        <w:t xml:space="preserve"> of the </w:t>
      </w:r>
      <w:r w:rsidR="008C116E" w:rsidRPr="008C116E">
        <w:rPr>
          <w:i/>
          <w:sz w:val="24"/>
          <w:lang w:val="en-US"/>
        </w:rPr>
        <w:t>Act</w:t>
      </w:r>
      <w:r w:rsidR="008C116E">
        <w:rPr>
          <w:sz w:val="24"/>
          <w:lang w:val="en-US"/>
        </w:rPr>
        <w:t xml:space="preserve">. </w:t>
      </w:r>
      <w:r>
        <w:rPr>
          <w:sz w:val="24"/>
          <w:lang w:val="en-US"/>
        </w:rPr>
        <w:t xml:space="preserve"> </w:t>
      </w:r>
    </w:p>
    <w:p w:rsidR="00355A33" w:rsidRDefault="00355A33" w:rsidP="006C1D42">
      <w:pPr>
        <w:spacing w:after="0"/>
        <w:jc w:val="both"/>
        <w:rPr>
          <w:sz w:val="24"/>
          <w:lang w:val="en-US"/>
        </w:rPr>
      </w:pPr>
    </w:p>
    <w:p w:rsidR="006C1D42" w:rsidRDefault="006C1D42" w:rsidP="006C1D42">
      <w:pPr>
        <w:spacing w:after="0"/>
        <w:jc w:val="both"/>
        <w:rPr>
          <w:sz w:val="24"/>
          <w:lang w:val="en-US"/>
        </w:rPr>
      </w:pPr>
    </w:p>
    <w:p w:rsidR="00067A26" w:rsidRDefault="006C1D42" w:rsidP="006C1D42">
      <w:pPr>
        <w:spacing w:after="0"/>
        <w:jc w:val="both"/>
        <w:rPr>
          <w:sz w:val="24"/>
          <w:lang w:val="en-US"/>
        </w:rPr>
      </w:pPr>
      <w:r>
        <w:rPr>
          <w:sz w:val="24"/>
          <w:lang w:val="en-US"/>
        </w:rPr>
        <w:tab/>
      </w:r>
      <w:r w:rsidR="004373B9">
        <w:rPr>
          <w:sz w:val="24"/>
          <w:lang w:val="en-US"/>
        </w:rPr>
        <w:t>The Tribunal has noted that it is</w:t>
      </w:r>
      <w:r>
        <w:rPr>
          <w:sz w:val="24"/>
          <w:lang w:val="en-US"/>
        </w:rPr>
        <w:t xml:space="preserve"> the argument of the Disputant that his dispute relates to the</w:t>
      </w:r>
      <w:r w:rsidR="00067A26">
        <w:rPr>
          <w:sz w:val="24"/>
          <w:lang w:val="en-US"/>
        </w:rPr>
        <w:t xml:space="preserve"> application,</w:t>
      </w:r>
      <w:r>
        <w:rPr>
          <w:sz w:val="24"/>
          <w:lang w:val="en-US"/>
        </w:rPr>
        <w:t xml:space="preserve"> interpretation and</w:t>
      </w:r>
      <w:r w:rsidR="00067A26">
        <w:rPr>
          <w:sz w:val="24"/>
          <w:lang w:val="en-US"/>
        </w:rPr>
        <w:t xml:space="preserve"> implementation of the </w:t>
      </w:r>
      <w:r w:rsidR="00067A26" w:rsidRPr="00230BC6">
        <w:rPr>
          <w:i/>
          <w:sz w:val="24"/>
          <w:lang w:val="en-US"/>
        </w:rPr>
        <w:t>PRB</w:t>
      </w:r>
      <w:r w:rsidR="00067A26">
        <w:rPr>
          <w:sz w:val="24"/>
          <w:lang w:val="en-US"/>
        </w:rPr>
        <w:t xml:space="preserve"> recommendations and not to </w:t>
      </w:r>
      <w:r w:rsidR="00230BC6">
        <w:rPr>
          <w:sz w:val="24"/>
          <w:lang w:val="en-US"/>
        </w:rPr>
        <w:t>the</w:t>
      </w:r>
      <w:r w:rsidR="00067A26">
        <w:rPr>
          <w:sz w:val="24"/>
          <w:lang w:val="en-US"/>
        </w:rPr>
        <w:t xml:space="preserve"> </w:t>
      </w:r>
      <w:r w:rsidR="00230BC6">
        <w:rPr>
          <w:sz w:val="24"/>
          <w:lang w:val="en-US"/>
        </w:rPr>
        <w:t>substance</w:t>
      </w:r>
      <w:r w:rsidR="001034DA">
        <w:rPr>
          <w:sz w:val="24"/>
          <w:lang w:val="en-US"/>
        </w:rPr>
        <w:t xml:space="preserve"> of</w:t>
      </w:r>
      <w:r w:rsidR="00230BC6">
        <w:rPr>
          <w:sz w:val="24"/>
          <w:lang w:val="en-US"/>
        </w:rPr>
        <w:t xml:space="preserve"> same</w:t>
      </w:r>
      <w:r w:rsidR="00067A26">
        <w:rPr>
          <w:sz w:val="24"/>
          <w:lang w:val="en-US"/>
        </w:rPr>
        <w:t>. The Tribunal</w:t>
      </w:r>
      <w:r w:rsidR="001034DA">
        <w:rPr>
          <w:sz w:val="24"/>
          <w:lang w:val="en-US"/>
        </w:rPr>
        <w:t>,</w:t>
      </w:r>
      <w:r w:rsidR="00067A26">
        <w:rPr>
          <w:sz w:val="24"/>
          <w:lang w:val="en-US"/>
        </w:rPr>
        <w:t xml:space="preserve"> in view of the Terms of Reference of the present dispute and </w:t>
      </w:r>
      <w:r w:rsidR="001034DA">
        <w:rPr>
          <w:sz w:val="24"/>
          <w:lang w:val="en-US"/>
        </w:rPr>
        <w:t xml:space="preserve">of </w:t>
      </w:r>
      <w:r w:rsidR="00067A26">
        <w:rPr>
          <w:sz w:val="24"/>
          <w:lang w:val="en-US"/>
        </w:rPr>
        <w:t>the prayer sought by the Disputant as set</w:t>
      </w:r>
      <w:r w:rsidR="001034DA">
        <w:rPr>
          <w:sz w:val="24"/>
          <w:lang w:val="en-US"/>
        </w:rPr>
        <w:t xml:space="preserve"> out</w:t>
      </w:r>
      <w:r w:rsidR="00067A26">
        <w:rPr>
          <w:sz w:val="24"/>
          <w:lang w:val="en-US"/>
        </w:rPr>
        <w:t xml:space="preserve"> in his Statement of Case</w:t>
      </w:r>
      <w:r w:rsidR="001034DA">
        <w:rPr>
          <w:sz w:val="24"/>
          <w:lang w:val="en-US"/>
        </w:rPr>
        <w:t>,</w:t>
      </w:r>
      <w:r w:rsidR="00067A26">
        <w:rPr>
          <w:sz w:val="24"/>
          <w:lang w:val="en-US"/>
        </w:rPr>
        <w:t xml:space="preserve"> cannot concur with this argument. </w:t>
      </w:r>
    </w:p>
    <w:p w:rsidR="00067A26" w:rsidRDefault="00067A26" w:rsidP="006C1D42">
      <w:pPr>
        <w:spacing w:after="0"/>
        <w:jc w:val="both"/>
        <w:rPr>
          <w:sz w:val="24"/>
          <w:lang w:val="en-US"/>
        </w:rPr>
      </w:pPr>
    </w:p>
    <w:p w:rsidR="00067A26" w:rsidRDefault="00067A26" w:rsidP="006C1D42">
      <w:pPr>
        <w:spacing w:after="0"/>
        <w:jc w:val="both"/>
        <w:rPr>
          <w:sz w:val="24"/>
          <w:lang w:val="en-US"/>
        </w:rPr>
      </w:pPr>
    </w:p>
    <w:p w:rsidR="00067A26" w:rsidRDefault="00067A26" w:rsidP="00067A26">
      <w:pPr>
        <w:spacing w:after="0"/>
        <w:ind w:firstLine="720"/>
        <w:jc w:val="both"/>
        <w:rPr>
          <w:sz w:val="24"/>
          <w:lang w:val="en-US"/>
        </w:rPr>
      </w:pPr>
      <w:r>
        <w:rPr>
          <w:sz w:val="24"/>
          <w:lang w:val="en-US"/>
        </w:rPr>
        <w:t xml:space="preserve">Indeed, a perusal of the Terms of Reference reveal that the Disputant is asking to be granted an incremental credit or be paid a non-pensionable lump sum. This clearly demonstrates that the Disputant is </w:t>
      </w:r>
      <w:r w:rsidR="00D935D8">
        <w:rPr>
          <w:sz w:val="24"/>
          <w:lang w:val="en-US"/>
        </w:rPr>
        <w:t xml:space="preserve">first and foremost </w:t>
      </w:r>
      <w:r>
        <w:rPr>
          <w:sz w:val="24"/>
          <w:lang w:val="en-US"/>
        </w:rPr>
        <w:t>seeking the award of an increment or of a lump sum pursuant to the relevant paragraphs</w:t>
      </w:r>
      <w:r w:rsidR="00D935D8">
        <w:rPr>
          <w:sz w:val="24"/>
          <w:lang w:val="en-US"/>
        </w:rPr>
        <w:t xml:space="preserve"> o</w:t>
      </w:r>
      <w:r>
        <w:rPr>
          <w:sz w:val="24"/>
          <w:lang w:val="en-US"/>
        </w:rPr>
        <w:t xml:space="preserve">f the </w:t>
      </w:r>
      <w:r w:rsidRPr="00067A26">
        <w:rPr>
          <w:i/>
          <w:sz w:val="24"/>
          <w:lang w:val="en-US"/>
        </w:rPr>
        <w:t>PRB Report</w:t>
      </w:r>
      <w:r w:rsidR="000059C8">
        <w:rPr>
          <w:i/>
          <w:sz w:val="24"/>
          <w:lang w:val="en-US"/>
        </w:rPr>
        <w:t>s</w:t>
      </w:r>
      <w:r>
        <w:rPr>
          <w:sz w:val="24"/>
          <w:lang w:val="en-US"/>
        </w:rPr>
        <w:t xml:space="preserve"> of 2013 and 2016 and is not </w:t>
      </w:r>
      <w:r w:rsidRPr="00067A26">
        <w:rPr>
          <w:i/>
          <w:sz w:val="24"/>
          <w:lang w:val="en-US"/>
        </w:rPr>
        <w:t>per se</w:t>
      </w:r>
      <w:r>
        <w:rPr>
          <w:sz w:val="24"/>
          <w:lang w:val="en-US"/>
        </w:rPr>
        <w:t xml:space="preserve"> </w:t>
      </w:r>
      <w:r w:rsidR="00D935D8">
        <w:rPr>
          <w:sz w:val="24"/>
          <w:lang w:val="en-US"/>
        </w:rPr>
        <w:t xml:space="preserve">principally </w:t>
      </w:r>
      <w:r>
        <w:rPr>
          <w:sz w:val="24"/>
          <w:lang w:val="en-US"/>
        </w:rPr>
        <w:t xml:space="preserve">concerned with the application, interpretation or implementation of the aforementioned recommendations of the </w:t>
      </w:r>
      <w:r w:rsidRPr="00067A26">
        <w:rPr>
          <w:i/>
          <w:sz w:val="24"/>
          <w:lang w:val="en-US"/>
        </w:rPr>
        <w:t>PRB Report</w:t>
      </w:r>
      <w:r w:rsidR="000059C8">
        <w:rPr>
          <w:i/>
          <w:sz w:val="24"/>
          <w:lang w:val="en-US"/>
        </w:rPr>
        <w:t>s</w:t>
      </w:r>
      <w:r>
        <w:rPr>
          <w:sz w:val="24"/>
          <w:lang w:val="en-US"/>
        </w:rPr>
        <w:t xml:space="preserve"> as cited in the Terms of Reference. </w:t>
      </w:r>
    </w:p>
    <w:p w:rsidR="00067A26" w:rsidRDefault="00067A26" w:rsidP="006C1D42">
      <w:pPr>
        <w:spacing w:after="0"/>
        <w:jc w:val="both"/>
        <w:rPr>
          <w:sz w:val="24"/>
          <w:lang w:val="en-US"/>
        </w:rPr>
      </w:pPr>
    </w:p>
    <w:p w:rsidR="00067A26" w:rsidRDefault="00067A26" w:rsidP="006C1D42">
      <w:pPr>
        <w:spacing w:after="0"/>
        <w:jc w:val="both"/>
        <w:rPr>
          <w:sz w:val="24"/>
          <w:lang w:val="en-US"/>
        </w:rPr>
      </w:pPr>
    </w:p>
    <w:p w:rsidR="006C1D42" w:rsidRDefault="00067A26" w:rsidP="006C1D42">
      <w:pPr>
        <w:spacing w:after="0"/>
        <w:jc w:val="both"/>
        <w:rPr>
          <w:sz w:val="24"/>
          <w:lang w:val="en-US"/>
        </w:rPr>
      </w:pPr>
      <w:r>
        <w:rPr>
          <w:sz w:val="24"/>
          <w:lang w:val="en-US"/>
        </w:rPr>
        <w:tab/>
        <w:t xml:space="preserve">Likewise, </w:t>
      </w:r>
      <w:r w:rsidR="00D935D8">
        <w:rPr>
          <w:sz w:val="24"/>
          <w:lang w:val="en-US"/>
        </w:rPr>
        <w:t>the Disputant, at paragraph 17 of his Statement of Case, is praying for the Tribunal ‘</w:t>
      </w:r>
      <w:r w:rsidR="00D935D8" w:rsidRPr="00D935D8">
        <w:rPr>
          <w:i/>
          <w:sz w:val="24"/>
          <w:lang w:val="en-US"/>
        </w:rPr>
        <w:t>to reinstate him in his right to be awarded an incremental credit for his higher qualification</w:t>
      </w:r>
      <w:r w:rsidR="00D935D8">
        <w:rPr>
          <w:sz w:val="24"/>
          <w:lang w:val="en-US"/>
        </w:rPr>
        <w:t xml:space="preserve"> ...’. This again clearly shows that the Disputant is not primarily seeking the interpretation or the applicability of the </w:t>
      </w:r>
      <w:r w:rsidR="00D935D8" w:rsidRPr="00D935D8">
        <w:rPr>
          <w:i/>
          <w:sz w:val="24"/>
          <w:lang w:val="en-US"/>
        </w:rPr>
        <w:t>PRB</w:t>
      </w:r>
      <w:r w:rsidR="00D935D8">
        <w:rPr>
          <w:sz w:val="24"/>
          <w:lang w:val="en-US"/>
        </w:rPr>
        <w:t xml:space="preserve"> recommendation but the award of the increment pursuant to the relevant paragraph of the </w:t>
      </w:r>
      <w:r w:rsidR="00D935D8" w:rsidRPr="00D935D8">
        <w:rPr>
          <w:i/>
          <w:sz w:val="24"/>
          <w:lang w:val="en-US"/>
        </w:rPr>
        <w:t>PRB Report</w:t>
      </w:r>
      <w:r w:rsidR="00D935D8">
        <w:rPr>
          <w:sz w:val="24"/>
          <w:lang w:val="en-US"/>
        </w:rPr>
        <w:t xml:space="preserve">.    </w:t>
      </w:r>
      <w:r>
        <w:rPr>
          <w:sz w:val="24"/>
          <w:lang w:val="en-US"/>
        </w:rPr>
        <w:t xml:space="preserve">     </w:t>
      </w:r>
      <w:r w:rsidR="006C1D42">
        <w:rPr>
          <w:sz w:val="24"/>
          <w:lang w:val="en-US"/>
        </w:rPr>
        <w:t xml:space="preserve"> </w:t>
      </w:r>
    </w:p>
    <w:p w:rsidR="00884333" w:rsidRDefault="00884333" w:rsidP="00CB6C0A">
      <w:pPr>
        <w:spacing w:after="0"/>
        <w:jc w:val="both"/>
        <w:rPr>
          <w:sz w:val="24"/>
          <w:lang w:val="en-US"/>
        </w:rPr>
      </w:pPr>
    </w:p>
    <w:p w:rsidR="006877E0" w:rsidRDefault="006877E0" w:rsidP="00CB6C0A">
      <w:pPr>
        <w:spacing w:after="0"/>
        <w:jc w:val="both"/>
        <w:rPr>
          <w:sz w:val="24"/>
          <w:lang w:val="en-US"/>
        </w:rPr>
      </w:pPr>
    </w:p>
    <w:p w:rsidR="006877E0" w:rsidRDefault="006877E0" w:rsidP="00CB6C0A">
      <w:pPr>
        <w:spacing w:after="0"/>
        <w:jc w:val="both"/>
        <w:rPr>
          <w:sz w:val="24"/>
          <w:lang w:val="en-US"/>
        </w:rPr>
      </w:pPr>
      <w:r>
        <w:rPr>
          <w:sz w:val="24"/>
          <w:lang w:val="en-US"/>
        </w:rPr>
        <w:tab/>
        <w:t xml:space="preserve">At this juncture, it would be useful to reflect on what was stated by the Supreme Court in </w:t>
      </w:r>
      <w:r w:rsidRPr="006877E0">
        <w:rPr>
          <w:i/>
          <w:sz w:val="24"/>
          <w:lang w:val="en-US"/>
        </w:rPr>
        <w:t>Federation of Civil Service and Other Unions and others v The State of Mauritius and anor</w:t>
      </w:r>
      <w:r>
        <w:rPr>
          <w:sz w:val="24"/>
          <w:lang w:val="en-US"/>
        </w:rPr>
        <w:t>. [</w:t>
      </w:r>
      <w:r w:rsidRPr="006877E0">
        <w:rPr>
          <w:i/>
          <w:sz w:val="24"/>
          <w:lang w:val="en-US"/>
        </w:rPr>
        <w:t>2009 SCJ 214</w:t>
      </w:r>
      <w:r>
        <w:rPr>
          <w:sz w:val="24"/>
          <w:lang w:val="en-US"/>
        </w:rPr>
        <w:t>]:</w:t>
      </w:r>
    </w:p>
    <w:p w:rsidR="006877E0" w:rsidRDefault="006877E0" w:rsidP="00CB6C0A">
      <w:pPr>
        <w:spacing w:after="0"/>
        <w:jc w:val="both"/>
        <w:rPr>
          <w:sz w:val="24"/>
          <w:lang w:val="en-US"/>
        </w:rPr>
      </w:pPr>
    </w:p>
    <w:p w:rsidR="006877E0" w:rsidRPr="006877E0" w:rsidRDefault="006877E0" w:rsidP="006877E0">
      <w:pPr>
        <w:spacing w:after="0"/>
        <w:ind w:left="720" w:right="900"/>
        <w:jc w:val="both"/>
        <w:rPr>
          <w:i/>
          <w:sz w:val="24"/>
          <w:lang w:val="en-US"/>
        </w:rPr>
      </w:pPr>
      <w:r w:rsidRPr="006877E0">
        <w:rPr>
          <w:i/>
          <w:lang w:val="en-US"/>
        </w:rPr>
        <w:t xml:space="preserve">Should he of his own free will, however, opt to be governed by the recommendations in the new report, he is presumed like any citizen to know the law, including the new provisions, and cannot declare a dispute in </w:t>
      </w:r>
      <w:r w:rsidR="00767C30">
        <w:rPr>
          <w:i/>
          <w:lang w:val="en-US"/>
        </w:rPr>
        <w:t>relation to his remuneration or</w:t>
      </w:r>
      <w:r w:rsidRPr="006877E0">
        <w:rPr>
          <w:i/>
          <w:lang w:val="en-US"/>
        </w:rPr>
        <w:t xml:space="preserve"> allowances. </w:t>
      </w:r>
      <w:r w:rsidRPr="006877E0">
        <w:rPr>
          <w:i/>
          <w:sz w:val="24"/>
          <w:lang w:val="en-US"/>
        </w:rPr>
        <w:tab/>
      </w:r>
      <w:r w:rsidRPr="006877E0">
        <w:rPr>
          <w:i/>
          <w:sz w:val="24"/>
          <w:lang w:val="en-US"/>
        </w:rPr>
        <w:tab/>
      </w:r>
    </w:p>
    <w:p w:rsidR="00884333" w:rsidRDefault="00884333" w:rsidP="00CB6C0A">
      <w:pPr>
        <w:spacing w:after="0"/>
        <w:jc w:val="both"/>
        <w:rPr>
          <w:sz w:val="24"/>
          <w:lang w:val="en-US"/>
        </w:rPr>
      </w:pPr>
    </w:p>
    <w:p w:rsidR="005E259F" w:rsidRDefault="005E259F" w:rsidP="00CB6C0A">
      <w:pPr>
        <w:spacing w:after="0"/>
        <w:jc w:val="both"/>
        <w:rPr>
          <w:sz w:val="24"/>
          <w:lang w:val="en-US"/>
        </w:rPr>
      </w:pPr>
      <w:r>
        <w:rPr>
          <w:sz w:val="24"/>
          <w:lang w:val="en-US"/>
        </w:rPr>
        <w:tab/>
        <w:t xml:space="preserve">It has also been noted that the representative of the Disputant has stated that the present Preliminary Objections in Law to the dispute should have been raised before the CCM and not before the Tribunal. The Disputant has also contended that the jurisdiction of the Tribunal can only be disputed on grounds as set out in </w:t>
      </w:r>
      <w:r w:rsidRPr="004730A9">
        <w:rPr>
          <w:i/>
          <w:sz w:val="24"/>
          <w:lang w:val="en-US"/>
        </w:rPr>
        <w:t>section 71</w:t>
      </w:r>
      <w:r>
        <w:rPr>
          <w:sz w:val="24"/>
          <w:lang w:val="en-US"/>
        </w:rPr>
        <w:t xml:space="preserve"> of the </w:t>
      </w:r>
      <w:r w:rsidRPr="004730A9">
        <w:rPr>
          <w:i/>
          <w:sz w:val="24"/>
          <w:lang w:val="en-US"/>
        </w:rPr>
        <w:t>Act</w:t>
      </w:r>
      <w:r>
        <w:rPr>
          <w:sz w:val="24"/>
          <w:lang w:val="en-US"/>
        </w:rPr>
        <w:t xml:space="preserve">, which does not apply to the present dispute. </w:t>
      </w:r>
    </w:p>
    <w:p w:rsidR="005E259F" w:rsidRDefault="005E259F" w:rsidP="00CB6C0A">
      <w:pPr>
        <w:spacing w:after="0"/>
        <w:jc w:val="both"/>
        <w:rPr>
          <w:sz w:val="24"/>
          <w:lang w:val="en-US"/>
        </w:rPr>
      </w:pPr>
    </w:p>
    <w:p w:rsidR="005E259F" w:rsidRDefault="005E259F" w:rsidP="00CB6C0A">
      <w:pPr>
        <w:spacing w:after="0"/>
        <w:jc w:val="both"/>
        <w:rPr>
          <w:sz w:val="24"/>
          <w:lang w:val="en-US"/>
        </w:rPr>
      </w:pPr>
    </w:p>
    <w:p w:rsidR="00C929E4" w:rsidRDefault="005E259F" w:rsidP="00CB6C0A">
      <w:pPr>
        <w:spacing w:after="0"/>
        <w:jc w:val="both"/>
        <w:rPr>
          <w:sz w:val="24"/>
          <w:lang w:val="en-US"/>
        </w:rPr>
      </w:pPr>
      <w:r>
        <w:rPr>
          <w:sz w:val="24"/>
          <w:lang w:val="en-US"/>
        </w:rPr>
        <w:tab/>
        <w:t>The Tribunal, in view of the contentions of the Disputant, would refer to</w:t>
      </w:r>
      <w:r w:rsidR="00452414">
        <w:rPr>
          <w:sz w:val="24"/>
          <w:lang w:val="en-US"/>
        </w:rPr>
        <w:t xml:space="preserve"> a</w:t>
      </w:r>
      <w:r>
        <w:rPr>
          <w:sz w:val="24"/>
          <w:lang w:val="en-US"/>
        </w:rPr>
        <w:t xml:space="preserve"> </w:t>
      </w:r>
      <w:r w:rsidR="00C929E4">
        <w:rPr>
          <w:sz w:val="24"/>
          <w:lang w:val="en-US"/>
        </w:rPr>
        <w:t xml:space="preserve">ruling of the then Permanent Arbitration Tribunal in </w:t>
      </w:r>
      <w:r w:rsidR="00C929E4" w:rsidRPr="00C929E4">
        <w:rPr>
          <w:i/>
          <w:sz w:val="24"/>
          <w:lang w:val="en-US"/>
        </w:rPr>
        <w:t xml:space="preserve">Mrs C. M. </w:t>
      </w:r>
      <w:proofErr w:type="spellStart"/>
      <w:r w:rsidR="00C929E4" w:rsidRPr="00C929E4">
        <w:rPr>
          <w:i/>
          <w:sz w:val="24"/>
          <w:lang w:val="en-US"/>
        </w:rPr>
        <w:t>Tatiah</w:t>
      </w:r>
      <w:proofErr w:type="spellEnd"/>
      <w:r w:rsidR="00C929E4" w:rsidRPr="00C929E4">
        <w:rPr>
          <w:i/>
          <w:sz w:val="24"/>
          <w:lang w:val="en-US"/>
        </w:rPr>
        <w:t xml:space="preserve"> and Development Bank of Mauritius </w:t>
      </w:r>
      <w:r w:rsidR="00C929E4">
        <w:rPr>
          <w:i/>
          <w:sz w:val="24"/>
          <w:lang w:val="en-US"/>
        </w:rPr>
        <w:t>(</w:t>
      </w:r>
      <w:r w:rsidR="00C929E4" w:rsidRPr="00C929E4">
        <w:rPr>
          <w:i/>
          <w:sz w:val="24"/>
          <w:lang w:val="en-US"/>
        </w:rPr>
        <w:t>RN 758</w:t>
      </w:r>
      <w:r w:rsidR="00C929E4">
        <w:rPr>
          <w:i/>
          <w:sz w:val="24"/>
          <w:lang w:val="en-US"/>
        </w:rPr>
        <w:t>)</w:t>
      </w:r>
      <w:r w:rsidR="00D04A9E">
        <w:rPr>
          <w:i/>
          <w:sz w:val="24"/>
          <w:lang w:val="en-US"/>
        </w:rPr>
        <w:t xml:space="preserve"> </w:t>
      </w:r>
      <w:r w:rsidR="00D04A9E" w:rsidRPr="00D04A9E">
        <w:rPr>
          <w:sz w:val="24"/>
          <w:lang w:val="en-US"/>
        </w:rPr>
        <w:t>delivered on 4 August 2004</w:t>
      </w:r>
      <w:r w:rsidR="00C929E4">
        <w:rPr>
          <w:sz w:val="24"/>
          <w:lang w:val="en-US"/>
        </w:rPr>
        <w:t xml:space="preserve">, which was followed in the matter of </w:t>
      </w:r>
      <w:r w:rsidR="00C929E4" w:rsidRPr="00C929E4">
        <w:rPr>
          <w:i/>
          <w:sz w:val="24"/>
          <w:lang w:val="en-US"/>
        </w:rPr>
        <w:t>S. Dawon and Mauritius Institute of Training and Development (</w:t>
      </w:r>
      <w:r w:rsidR="00C929E4">
        <w:rPr>
          <w:i/>
          <w:sz w:val="24"/>
          <w:lang w:val="en-US"/>
        </w:rPr>
        <w:t>supra</w:t>
      </w:r>
      <w:r w:rsidR="00C929E4" w:rsidRPr="00C929E4">
        <w:rPr>
          <w:i/>
          <w:sz w:val="24"/>
          <w:lang w:val="en-US"/>
        </w:rPr>
        <w:t>)</w:t>
      </w:r>
      <w:r w:rsidR="00845453">
        <w:rPr>
          <w:sz w:val="24"/>
          <w:lang w:val="en-US"/>
        </w:rPr>
        <w:t>. Therein,</w:t>
      </w:r>
      <w:r w:rsidR="00C929E4">
        <w:rPr>
          <w:sz w:val="24"/>
          <w:lang w:val="en-US"/>
        </w:rPr>
        <w:t xml:space="preserve"> the </w:t>
      </w:r>
      <w:r w:rsidR="00845453">
        <w:rPr>
          <w:sz w:val="24"/>
          <w:lang w:val="en-US"/>
        </w:rPr>
        <w:t xml:space="preserve">Permanent Arbitration </w:t>
      </w:r>
      <w:r w:rsidR="00C929E4">
        <w:rPr>
          <w:sz w:val="24"/>
          <w:lang w:val="en-US"/>
        </w:rPr>
        <w:t xml:space="preserve">Tribunal </w:t>
      </w:r>
      <w:r w:rsidR="00845453">
        <w:rPr>
          <w:sz w:val="24"/>
          <w:lang w:val="en-US"/>
        </w:rPr>
        <w:t xml:space="preserve">notably </w:t>
      </w:r>
      <w:r w:rsidR="00C929E4">
        <w:rPr>
          <w:sz w:val="24"/>
          <w:lang w:val="en-US"/>
        </w:rPr>
        <w:t>stated:</w:t>
      </w:r>
    </w:p>
    <w:p w:rsidR="00C929E4" w:rsidRPr="003B5AAD" w:rsidRDefault="00C929E4" w:rsidP="00CB6C0A">
      <w:pPr>
        <w:spacing w:after="0"/>
        <w:jc w:val="both"/>
        <w:rPr>
          <w:lang w:val="en-US"/>
        </w:rPr>
      </w:pPr>
    </w:p>
    <w:p w:rsidR="00B6657A" w:rsidRPr="00834603" w:rsidRDefault="00B6657A" w:rsidP="00834603">
      <w:pPr>
        <w:spacing w:after="0"/>
        <w:ind w:left="720" w:right="900" w:firstLine="720"/>
        <w:jc w:val="both"/>
        <w:rPr>
          <w:rFonts w:eastAsia="Times New Roman" w:cs="Arial"/>
          <w:i/>
          <w:szCs w:val="24"/>
          <w:lang w:val="en-US"/>
        </w:rPr>
      </w:pPr>
      <w:r w:rsidRPr="00834603">
        <w:rPr>
          <w:rFonts w:eastAsia="Times New Roman" w:cs="Arial"/>
          <w:i/>
          <w:szCs w:val="24"/>
          <w:lang w:val="en-US"/>
        </w:rPr>
        <w:t xml:space="preserve">The Tribunal wishes to address itself first on whether once a referral is made, it is bound to adjudicate on the dispute. Indeed Section 83 of the Industrial Relations Act 1973 as amended states “Where any dispute is referred to the Tribunal by the Minister under section 82, the Tribunal shall, with all diligence, inquire into the dispute and make an award on it”. Section 5 of the </w:t>
      </w:r>
      <w:r w:rsidRPr="00834603">
        <w:rPr>
          <w:rFonts w:eastAsia="Times New Roman" w:cs="Arial"/>
          <w:b/>
          <w:i/>
          <w:szCs w:val="24"/>
          <w:lang w:val="en-US"/>
        </w:rPr>
        <w:t>Interpretation and General Clauses Act</w:t>
      </w:r>
      <w:r w:rsidRPr="00834603">
        <w:rPr>
          <w:rFonts w:eastAsia="Times New Roman" w:cs="Arial"/>
          <w:i/>
          <w:szCs w:val="24"/>
          <w:lang w:val="en-US"/>
        </w:rPr>
        <w:t xml:space="preserve"> defines “shall” as “</w:t>
      </w:r>
      <w:r w:rsidRPr="00834603">
        <w:rPr>
          <w:rFonts w:eastAsia="Times New Roman" w:cs="Arial"/>
          <w:i/>
          <w:szCs w:val="24"/>
          <w:u w:val="single"/>
          <w:lang w:val="en-US"/>
        </w:rPr>
        <w:t>may</w:t>
      </w:r>
      <w:r w:rsidR="00834603" w:rsidRPr="00834603">
        <w:rPr>
          <w:rFonts w:eastAsia="Times New Roman" w:cs="Arial"/>
          <w:i/>
          <w:szCs w:val="24"/>
          <w:lang w:val="en-US"/>
        </w:rPr>
        <w:t xml:space="preserve"> </w:t>
      </w:r>
      <w:r w:rsidRPr="00834603">
        <w:rPr>
          <w:rFonts w:eastAsia="Times New Roman" w:cs="Arial"/>
          <w:i/>
          <w:szCs w:val="24"/>
          <w:lang w:val="en-US"/>
        </w:rPr>
        <w:t xml:space="preserve">be read as </w:t>
      </w:r>
      <w:r w:rsidR="00834603" w:rsidRPr="00834603">
        <w:rPr>
          <w:rFonts w:eastAsia="Times New Roman" w:cs="Arial"/>
          <w:i/>
          <w:szCs w:val="24"/>
          <w:lang w:val="en-US"/>
        </w:rPr>
        <w:t>imperative”. (t</w:t>
      </w:r>
      <w:r w:rsidRPr="00834603">
        <w:rPr>
          <w:rFonts w:eastAsia="Times New Roman" w:cs="Arial"/>
          <w:i/>
          <w:szCs w:val="24"/>
          <w:lang w:val="en-US"/>
        </w:rPr>
        <w:t>he underlining is ours).</w:t>
      </w:r>
    </w:p>
    <w:p w:rsidR="00834603" w:rsidRPr="00834603" w:rsidRDefault="00834603" w:rsidP="00834603">
      <w:pPr>
        <w:spacing w:after="0"/>
        <w:ind w:left="720" w:right="900" w:firstLine="720"/>
        <w:jc w:val="both"/>
        <w:rPr>
          <w:rFonts w:ascii="Arial" w:eastAsia="Times New Roman" w:hAnsi="Arial" w:cs="Arial"/>
          <w:i/>
          <w:sz w:val="20"/>
          <w:szCs w:val="30"/>
          <w:lang w:val="en-US"/>
        </w:rPr>
      </w:pPr>
    </w:p>
    <w:p w:rsidR="00B6657A" w:rsidRPr="00834603" w:rsidRDefault="00B6657A" w:rsidP="00834603">
      <w:pPr>
        <w:spacing w:after="0" w:line="240" w:lineRule="auto"/>
        <w:ind w:left="720" w:right="900" w:firstLine="720"/>
        <w:jc w:val="both"/>
        <w:rPr>
          <w:rFonts w:eastAsia="Times New Roman" w:cs="Arial"/>
          <w:i/>
          <w:szCs w:val="24"/>
          <w:lang w:val="en-US"/>
        </w:rPr>
      </w:pPr>
      <w:r w:rsidRPr="00834603">
        <w:rPr>
          <w:rFonts w:eastAsia="Times New Roman" w:cs="Arial"/>
          <w:i/>
          <w:szCs w:val="24"/>
          <w:lang w:val="en-US"/>
        </w:rPr>
        <w:t>Are we to hear any dispute referred to us by the Minister if the Tribunal finds that the dispute does not fall within the legal parameters of an industrial dispute as per the Industrial Relations Act 1973 as amended?</w:t>
      </w:r>
    </w:p>
    <w:p w:rsidR="00B6657A" w:rsidRPr="00834603" w:rsidRDefault="00B6657A" w:rsidP="00834603">
      <w:pPr>
        <w:spacing w:after="0" w:line="240" w:lineRule="auto"/>
        <w:ind w:right="900"/>
        <w:jc w:val="both"/>
        <w:rPr>
          <w:rFonts w:eastAsia="Times New Roman" w:cs="Arial"/>
          <w:i/>
          <w:szCs w:val="24"/>
          <w:lang w:val="en-US"/>
        </w:rPr>
      </w:pPr>
    </w:p>
    <w:p w:rsidR="00B6657A" w:rsidRPr="00834603" w:rsidRDefault="00B6657A" w:rsidP="00834603">
      <w:pPr>
        <w:spacing w:after="0" w:line="240" w:lineRule="auto"/>
        <w:ind w:left="720" w:right="900" w:firstLine="720"/>
        <w:jc w:val="both"/>
        <w:rPr>
          <w:rFonts w:eastAsia="Times New Roman" w:cs="Arial"/>
          <w:i/>
          <w:szCs w:val="24"/>
          <w:lang w:val="en-US"/>
        </w:rPr>
      </w:pPr>
      <w:r w:rsidRPr="00834603">
        <w:rPr>
          <w:rFonts w:eastAsia="Times New Roman" w:cs="Arial"/>
          <w:b/>
          <w:i/>
          <w:szCs w:val="24"/>
          <w:lang w:val="en-US"/>
        </w:rPr>
        <w:t>Russell on Arbitration</w:t>
      </w:r>
      <w:r w:rsidRPr="00834603">
        <w:rPr>
          <w:rFonts w:eastAsia="Times New Roman" w:cs="Arial"/>
          <w:i/>
          <w:szCs w:val="24"/>
          <w:lang w:val="en-US"/>
        </w:rPr>
        <w:t>, 18</w:t>
      </w:r>
      <w:r w:rsidRPr="00834603">
        <w:rPr>
          <w:rFonts w:eastAsia="Times New Roman" w:cs="Arial"/>
          <w:i/>
          <w:szCs w:val="24"/>
          <w:vertAlign w:val="superscript"/>
          <w:lang w:val="en-US"/>
        </w:rPr>
        <w:t>th</w:t>
      </w:r>
      <w:r w:rsidRPr="00834603">
        <w:rPr>
          <w:rFonts w:eastAsia="Times New Roman" w:cs="Arial"/>
          <w:i/>
          <w:szCs w:val="24"/>
          <w:lang w:val="en-US"/>
        </w:rPr>
        <w:t xml:space="preserve"> Edition by Anthony Walton Q.C. at page 73 reads:</w:t>
      </w:r>
    </w:p>
    <w:p w:rsidR="00B6657A" w:rsidRPr="00834603" w:rsidRDefault="00B6657A" w:rsidP="00834603">
      <w:pPr>
        <w:spacing w:after="0" w:line="240" w:lineRule="auto"/>
        <w:ind w:right="900"/>
        <w:jc w:val="both"/>
        <w:rPr>
          <w:rFonts w:eastAsia="Times New Roman" w:cs="Arial"/>
          <w:i/>
          <w:sz w:val="20"/>
          <w:szCs w:val="24"/>
          <w:lang w:val="en-US"/>
        </w:rPr>
      </w:pPr>
    </w:p>
    <w:p w:rsidR="00B6657A" w:rsidRPr="00834603" w:rsidRDefault="00B6657A" w:rsidP="00834603">
      <w:pPr>
        <w:spacing w:after="0" w:line="240" w:lineRule="auto"/>
        <w:ind w:left="720" w:right="900"/>
        <w:jc w:val="both"/>
        <w:rPr>
          <w:rFonts w:eastAsia="Times New Roman" w:cs="Arial"/>
          <w:i/>
          <w:szCs w:val="24"/>
          <w:lang w:val="en-US"/>
        </w:rPr>
      </w:pPr>
      <w:r w:rsidRPr="00834603">
        <w:rPr>
          <w:rFonts w:eastAsia="Times New Roman" w:cs="Arial"/>
          <w:i/>
          <w:szCs w:val="24"/>
          <w:lang w:val="en-US"/>
        </w:rPr>
        <w:t>“It can hardly be within the arbitrator’s jurisdiction to de</w:t>
      </w:r>
      <w:r w:rsidR="00834603" w:rsidRPr="00834603">
        <w:rPr>
          <w:rFonts w:eastAsia="Times New Roman" w:cs="Arial"/>
          <w:i/>
          <w:szCs w:val="24"/>
          <w:lang w:val="en-US"/>
        </w:rPr>
        <w:t xml:space="preserve">cide whether or not a condition </w:t>
      </w:r>
      <w:r w:rsidRPr="00834603">
        <w:rPr>
          <w:rFonts w:eastAsia="Times New Roman" w:cs="Arial"/>
          <w:i/>
          <w:szCs w:val="24"/>
          <w:lang w:val="en-US"/>
        </w:rPr>
        <w:t xml:space="preserve">precedent to his jurisdiction has been fulfilled. However, an arbitrator is always entitled to inquire whether or not he has jurisdiction. </w:t>
      </w:r>
      <w:r w:rsidRPr="00834603">
        <w:rPr>
          <w:rFonts w:eastAsia="Times New Roman" w:cs="Arial"/>
          <w:b/>
          <w:i/>
          <w:szCs w:val="24"/>
          <w:lang w:val="en-US"/>
        </w:rPr>
        <w:t xml:space="preserve">(see Brown v. </w:t>
      </w:r>
      <w:proofErr w:type="spellStart"/>
      <w:r w:rsidRPr="00834603">
        <w:rPr>
          <w:rFonts w:eastAsia="Times New Roman" w:cs="Arial"/>
          <w:b/>
          <w:i/>
          <w:szCs w:val="24"/>
          <w:lang w:val="en-US"/>
        </w:rPr>
        <w:t>Oesterreichischer</w:t>
      </w:r>
      <w:proofErr w:type="spellEnd"/>
      <w:r w:rsidRPr="00834603">
        <w:rPr>
          <w:rFonts w:eastAsia="Times New Roman" w:cs="Arial"/>
          <w:b/>
          <w:i/>
          <w:szCs w:val="24"/>
          <w:lang w:val="en-US"/>
        </w:rPr>
        <w:t xml:space="preserve"> </w:t>
      </w:r>
      <w:proofErr w:type="spellStart"/>
      <w:r w:rsidRPr="00834603">
        <w:rPr>
          <w:rFonts w:eastAsia="Times New Roman" w:cs="Arial"/>
          <w:b/>
          <w:i/>
          <w:szCs w:val="24"/>
          <w:lang w:val="en-US"/>
        </w:rPr>
        <w:t>Waldbesitzer</w:t>
      </w:r>
      <w:proofErr w:type="spellEnd"/>
      <w:r w:rsidRPr="00834603">
        <w:rPr>
          <w:rFonts w:eastAsia="Times New Roman" w:cs="Arial"/>
          <w:b/>
          <w:i/>
          <w:szCs w:val="24"/>
          <w:lang w:val="en-US"/>
        </w:rPr>
        <w:t xml:space="preserve"> </w:t>
      </w:r>
      <w:proofErr w:type="spellStart"/>
      <w:r w:rsidRPr="00834603">
        <w:rPr>
          <w:rFonts w:eastAsia="Times New Roman" w:cs="Arial"/>
          <w:b/>
          <w:i/>
          <w:szCs w:val="24"/>
          <w:lang w:val="en-US"/>
        </w:rPr>
        <w:t>R.G.m.b.h</w:t>
      </w:r>
      <w:proofErr w:type="spellEnd"/>
      <w:r w:rsidRPr="00834603">
        <w:rPr>
          <w:rFonts w:eastAsia="Times New Roman" w:cs="Arial"/>
          <w:b/>
          <w:i/>
          <w:szCs w:val="24"/>
          <w:lang w:val="en-US"/>
        </w:rPr>
        <w:t>. (1954) (Q.B.8)</w:t>
      </w:r>
      <w:r w:rsidRPr="00834603">
        <w:rPr>
          <w:rFonts w:eastAsia="Times New Roman" w:cs="Arial"/>
          <w:i/>
          <w:szCs w:val="24"/>
          <w:lang w:val="en-US"/>
        </w:rPr>
        <w:t xml:space="preserve"> An umpire faced with a dispute whether or not there was a contract from which alone his jurisdiction, if any, deal with the matter at all and leave the parties to go to the court, or he can consider the matter and if he forms the view that the contract upon which the claimant is relying and from which, if established, alone his jurisdiction can arise is in truth the </w:t>
      </w:r>
      <w:r w:rsidRPr="00834603">
        <w:rPr>
          <w:rFonts w:eastAsia="Times New Roman" w:cs="Arial"/>
          <w:i/>
          <w:szCs w:val="24"/>
          <w:lang w:val="en-US"/>
        </w:rPr>
        <w:lastRenderedPageBreak/>
        <w:t xml:space="preserve">contract, he can proceed accordingly. </w:t>
      </w:r>
      <w:r w:rsidRPr="00834603">
        <w:rPr>
          <w:rFonts w:eastAsia="Times New Roman" w:cs="Arial"/>
          <w:b/>
          <w:i/>
          <w:szCs w:val="24"/>
          <w:lang w:val="en-US"/>
        </w:rPr>
        <w:t xml:space="preserve">(Per Roskill J. in </w:t>
      </w:r>
      <w:proofErr w:type="spellStart"/>
      <w:r w:rsidRPr="00834603">
        <w:rPr>
          <w:rFonts w:eastAsia="Times New Roman" w:cs="Arial"/>
          <w:b/>
          <w:i/>
          <w:szCs w:val="24"/>
          <w:lang w:val="en-US"/>
        </w:rPr>
        <w:t>Lunada</w:t>
      </w:r>
      <w:proofErr w:type="spellEnd"/>
      <w:r w:rsidRPr="00834603">
        <w:rPr>
          <w:rFonts w:eastAsia="Times New Roman" w:cs="Arial"/>
          <w:b/>
          <w:i/>
          <w:szCs w:val="24"/>
          <w:lang w:val="en-US"/>
        </w:rPr>
        <w:t xml:space="preserve"> </w:t>
      </w:r>
      <w:proofErr w:type="spellStart"/>
      <w:r w:rsidRPr="00834603">
        <w:rPr>
          <w:rFonts w:eastAsia="Times New Roman" w:cs="Arial"/>
          <w:b/>
          <w:i/>
          <w:szCs w:val="24"/>
          <w:lang w:val="en-US"/>
        </w:rPr>
        <w:t>Exportadora</w:t>
      </w:r>
      <w:proofErr w:type="spellEnd"/>
      <w:r w:rsidRPr="00834603">
        <w:rPr>
          <w:rFonts w:eastAsia="Times New Roman" w:cs="Arial"/>
          <w:b/>
          <w:i/>
          <w:szCs w:val="24"/>
          <w:lang w:val="en-US"/>
        </w:rPr>
        <w:t xml:space="preserve"> and others v. Tamari and Sons and Others (1967) L. Lloyd’s Rep. 353 at page 364)</w:t>
      </w:r>
      <w:r w:rsidRPr="00834603">
        <w:rPr>
          <w:rFonts w:eastAsia="Times New Roman" w:cs="Arial"/>
          <w:i/>
          <w:szCs w:val="24"/>
          <w:lang w:val="en-US"/>
        </w:rPr>
        <w:t>.”</w:t>
      </w:r>
    </w:p>
    <w:p w:rsidR="00693973" w:rsidRPr="00834603" w:rsidRDefault="00693973" w:rsidP="00834603">
      <w:pPr>
        <w:spacing w:after="0" w:line="240" w:lineRule="auto"/>
        <w:ind w:right="900"/>
        <w:jc w:val="both"/>
        <w:rPr>
          <w:rFonts w:eastAsia="Times New Roman" w:cs="Arial"/>
          <w:i/>
          <w:szCs w:val="24"/>
          <w:lang w:val="en-US"/>
        </w:rPr>
      </w:pPr>
    </w:p>
    <w:p w:rsidR="00B6657A" w:rsidRPr="00834603" w:rsidRDefault="00B6657A" w:rsidP="00834603">
      <w:pPr>
        <w:spacing w:after="0" w:line="240" w:lineRule="auto"/>
        <w:ind w:left="720" w:right="900" w:firstLine="720"/>
        <w:jc w:val="both"/>
        <w:rPr>
          <w:rFonts w:eastAsia="Times New Roman" w:cs="Arial"/>
          <w:szCs w:val="24"/>
          <w:lang w:val="en-US"/>
        </w:rPr>
      </w:pPr>
      <w:r w:rsidRPr="00834603">
        <w:rPr>
          <w:rFonts w:eastAsia="Times New Roman" w:cs="Arial"/>
          <w:i/>
          <w:szCs w:val="24"/>
          <w:lang w:val="en-US"/>
        </w:rPr>
        <w:t>The Tribunal concedes therefore that whenever a compulsory arbitration is referred to it, it has no choice than to inquire into the dispute provided it satisfies the Tribunal that it is an industrial dispute.</w:t>
      </w:r>
    </w:p>
    <w:p w:rsidR="005E259F" w:rsidRDefault="00C929E4" w:rsidP="00693973">
      <w:pPr>
        <w:spacing w:after="0"/>
        <w:jc w:val="both"/>
        <w:rPr>
          <w:sz w:val="24"/>
          <w:szCs w:val="24"/>
          <w:lang w:val="en-US"/>
        </w:rPr>
      </w:pPr>
      <w:r w:rsidRPr="00B6657A">
        <w:rPr>
          <w:sz w:val="24"/>
          <w:szCs w:val="24"/>
          <w:lang w:val="en-US"/>
        </w:rPr>
        <w:t xml:space="preserve"> </w:t>
      </w:r>
    </w:p>
    <w:p w:rsidR="00693973" w:rsidRDefault="00693973" w:rsidP="00693973">
      <w:pPr>
        <w:spacing w:after="0"/>
        <w:jc w:val="both"/>
        <w:rPr>
          <w:sz w:val="24"/>
          <w:szCs w:val="24"/>
          <w:lang w:val="en-US"/>
        </w:rPr>
      </w:pPr>
    </w:p>
    <w:p w:rsidR="00C66F2B" w:rsidRDefault="00693973" w:rsidP="00693973">
      <w:pPr>
        <w:spacing w:after="0"/>
        <w:jc w:val="both"/>
        <w:rPr>
          <w:sz w:val="24"/>
          <w:szCs w:val="24"/>
          <w:lang w:val="en-US"/>
        </w:rPr>
      </w:pPr>
      <w:r>
        <w:rPr>
          <w:sz w:val="24"/>
          <w:szCs w:val="24"/>
          <w:lang w:val="en-US"/>
        </w:rPr>
        <w:tab/>
        <w:t xml:space="preserve">It is trite understanding that the Tribunal will have no jurisdiction to hear a dispute which is not a labour dispute as defined in the </w:t>
      </w:r>
      <w:r w:rsidRPr="00693973">
        <w:rPr>
          <w:i/>
          <w:sz w:val="24"/>
          <w:szCs w:val="24"/>
          <w:lang w:val="en-US"/>
        </w:rPr>
        <w:t>Act</w:t>
      </w:r>
      <w:r>
        <w:rPr>
          <w:sz w:val="24"/>
          <w:szCs w:val="24"/>
          <w:lang w:val="en-US"/>
        </w:rPr>
        <w:t xml:space="preserve">. The Tribunal cannot therefore be precluded from being satisfied as to whether the dispute before it is a labour dispute as is defined under the </w:t>
      </w:r>
      <w:r w:rsidRPr="00693973">
        <w:rPr>
          <w:i/>
          <w:sz w:val="24"/>
          <w:szCs w:val="24"/>
          <w:lang w:val="en-US"/>
        </w:rPr>
        <w:t>Act</w:t>
      </w:r>
      <w:r>
        <w:rPr>
          <w:sz w:val="24"/>
          <w:szCs w:val="24"/>
          <w:lang w:val="en-US"/>
        </w:rPr>
        <w:t xml:space="preserve">. </w:t>
      </w:r>
    </w:p>
    <w:p w:rsidR="00C66F2B" w:rsidRDefault="00C66F2B" w:rsidP="00693973">
      <w:pPr>
        <w:spacing w:after="0"/>
        <w:jc w:val="both"/>
        <w:rPr>
          <w:sz w:val="24"/>
          <w:szCs w:val="24"/>
          <w:lang w:val="en-US"/>
        </w:rPr>
      </w:pPr>
    </w:p>
    <w:p w:rsidR="00C66F2B" w:rsidRDefault="00C66F2B" w:rsidP="00693973">
      <w:pPr>
        <w:spacing w:after="0"/>
        <w:jc w:val="both"/>
        <w:rPr>
          <w:sz w:val="24"/>
          <w:szCs w:val="24"/>
          <w:lang w:val="en-US"/>
        </w:rPr>
      </w:pPr>
    </w:p>
    <w:p w:rsidR="00963AB4" w:rsidRDefault="00C66F2B" w:rsidP="00C66F2B">
      <w:pPr>
        <w:spacing w:after="0"/>
        <w:jc w:val="both"/>
        <w:rPr>
          <w:sz w:val="24"/>
          <w:szCs w:val="24"/>
          <w:lang w:val="en-US"/>
        </w:rPr>
      </w:pPr>
      <w:r>
        <w:rPr>
          <w:sz w:val="24"/>
          <w:szCs w:val="24"/>
          <w:lang w:val="en-US"/>
        </w:rPr>
        <w:tab/>
        <w:t xml:space="preserve">Under </w:t>
      </w:r>
      <w:r w:rsidRPr="00C66F2B">
        <w:rPr>
          <w:i/>
          <w:sz w:val="24"/>
          <w:szCs w:val="24"/>
          <w:lang w:val="en-US"/>
        </w:rPr>
        <w:t>section 71</w:t>
      </w:r>
      <w:r>
        <w:rPr>
          <w:sz w:val="24"/>
          <w:szCs w:val="24"/>
          <w:lang w:val="en-US"/>
        </w:rPr>
        <w:t xml:space="preserve"> of the </w:t>
      </w:r>
      <w:r w:rsidRPr="00C66F2B">
        <w:rPr>
          <w:i/>
          <w:sz w:val="24"/>
          <w:szCs w:val="24"/>
          <w:lang w:val="en-US"/>
        </w:rPr>
        <w:t>Act</w:t>
      </w:r>
      <w:r>
        <w:rPr>
          <w:sz w:val="24"/>
          <w:szCs w:val="24"/>
          <w:lang w:val="en-US"/>
        </w:rPr>
        <w:t>, the Tribunal cannot enquire into a labour dispute where same relates to any issue within the exclusive jurisdiction of the Industrial Court; or which is</w:t>
      </w:r>
      <w:r w:rsidR="004B2010">
        <w:rPr>
          <w:sz w:val="24"/>
          <w:szCs w:val="24"/>
          <w:lang w:val="en-US"/>
        </w:rPr>
        <w:t xml:space="preserve"> the</w:t>
      </w:r>
      <w:r>
        <w:rPr>
          <w:sz w:val="24"/>
          <w:szCs w:val="24"/>
          <w:lang w:val="en-US"/>
        </w:rPr>
        <w:t xml:space="preserve"> subject of pending proceedings before the Commission or any court of law. The Tribunal, before reaching this threshold, must </w:t>
      </w:r>
      <w:r w:rsidR="00260A45">
        <w:rPr>
          <w:sz w:val="24"/>
          <w:szCs w:val="24"/>
          <w:lang w:val="en-US"/>
        </w:rPr>
        <w:t xml:space="preserve">however </w:t>
      </w:r>
      <w:r>
        <w:rPr>
          <w:sz w:val="24"/>
          <w:szCs w:val="24"/>
          <w:lang w:val="en-US"/>
        </w:rPr>
        <w:t xml:space="preserve">be satisfied </w:t>
      </w:r>
      <w:r w:rsidR="00260A45">
        <w:rPr>
          <w:sz w:val="24"/>
          <w:szCs w:val="24"/>
          <w:lang w:val="en-US"/>
        </w:rPr>
        <w:t xml:space="preserve">as to </w:t>
      </w:r>
      <w:r>
        <w:rPr>
          <w:sz w:val="24"/>
          <w:szCs w:val="24"/>
          <w:lang w:val="en-US"/>
        </w:rPr>
        <w:t>whether the dispute before it amounts to a labour dispute in the first place. Only after having been satisfied of same can the Tribunal determine whether the labour dispute would fall within the ex</w:t>
      </w:r>
      <w:r w:rsidR="00532694">
        <w:rPr>
          <w:sz w:val="24"/>
          <w:szCs w:val="24"/>
          <w:lang w:val="en-US"/>
        </w:rPr>
        <w:t>clusions</w:t>
      </w:r>
      <w:r>
        <w:rPr>
          <w:sz w:val="24"/>
          <w:szCs w:val="24"/>
          <w:lang w:val="en-US"/>
        </w:rPr>
        <w:t xml:space="preserve"> </w:t>
      </w:r>
      <w:r w:rsidR="00532694">
        <w:rPr>
          <w:sz w:val="24"/>
          <w:szCs w:val="24"/>
          <w:lang w:val="en-US"/>
        </w:rPr>
        <w:t>provided for</w:t>
      </w:r>
      <w:r>
        <w:rPr>
          <w:sz w:val="24"/>
          <w:szCs w:val="24"/>
          <w:lang w:val="en-US"/>
        </w:rPr>
        <w:t xml:space="preserve"> in the aforesaid section. T</w:t>
      </w:r>
      <w:r w:rsidR="00693973">
        <w:rPr>
          <w:sz w:val="24"/>
          <w:szCs w:val="24"/>
          <w:lang w:val="en-US"/>
        </w:rPr>
        <w:t>he Tribunal is</w:t>
      </w:r>
      <w:r>
        <w:rPr>
          <w:sz w:val="24"/>
          <w:szCs w:val="24"/>
          <w:lang w:val="en-US"/>
        </w:rPr>
        <w:t xml:space="preserve"> therefore</w:t>
      </w:r>
      <w:r w:rsidR="00693973">
        <w:rPr>
          <w:sz w:val="24"/>
          <w:szCs w:val="24"/>
          <w:lang w:val="en-US"/>
        </w:rPr>
        <w:t xml:space="preserve"> entitled</w:t>
      </w:r>
      <w:r w:rsidR="008351A1">
        <w:rPr>
          <w:sz w:val="24"/>
          <w:szCs w:val="24"/>
          <w:lang w:val="en-US"/>
        </w:rPr>
        <w:t xml:space="preserve"> to</w:t>
      </w:r>
      <w:r w:rsidR="00693973">
        <w:rPr>
          <w:sz w:val="24"/>
          <w:szCs w:val="24"/>
          <w:lang w:val="en-US"/>
        </w:rPr>
        <w:t xml:space="preserve"> satisf</w:t>
      </w:r>
      <w:r>
        <w:rPr>
          <w:sz w:val="24"/>
          <w:szCs w:val="24"/>
          <w:lang w:val="en-US"/>
        </w:rPr>
        <w:t>y itself</w:t>
      </w:r>
      <w:r w:rsidR="00693973">
        <w:rPr>
          <w:sz w:val="24"/>
          <w:szCs w:val="24"/>
          <w:lang w:val="en-US"/>
        </w:rPr>
        <w:t xml:space="preserve"> as to whether the dispute is indeed a labour dispute as defined under the </w:t>
      </w:r>
      <w:r w:rsidR="00693973" w:rsidRPr="000067F9">
        <w:rPr>
          <w:i/>
          <w:sz w:val="24"/>
          <w:szCs w:val="24"/>
          <w:lang w:val="en-US"/>
        </w:rPr>
        <w:t>Act</w:t>
      </w:r>
      <w:r w:rsidR="00693973">
        <w:rPr>
          <w:sz w:val="24"/>
          <w:szCs w:val="24"/>
          <w:lang w:val="en-US"/>
        </w:rPr>
        <w:t>.</w:t>
      </w:r>
      <w:r>
        <w:rPr>
          <w:sz w:val="24"/>
          <w:szCs w:val="24"/>
          <w:lang w:val="en-US"/>
        </w:rPr>
        <w:t xml:space="preserve"> </w:t>
      </w:r>
    </w:p>
    <w:p w:rsidR="00963AB4" w:rsidRDefault="00963AB4" w:rsidP="00C66F2B">
      <w:pPr>
        <w:spacing w:after="0"/>
        <w:jc w:val="both"/>
        <w:rPr>
          <w:sz w:val="24"/>
          <w:szCs w:val="24"/>
          <w:lang w:val="en-US"/>
        </w:rPr>
      </w:pPr>
    </w:p>
    <w:p w:rsidR="00963AB4" w:rsidRDefault="00963AB4" w:rsidP="00C66F2B">
      <w:pPr>
        <w:spacing w:after="0"/>
        <w:jc w:val="both"/>
        <w:rPr>
          <w:sz w:val="24"/>
          <w:szCs w:val="24"/>
          <w:lang w:val="en-US"/>
        </w:rPr>
      </w:pPr>
    </w:p>
    <w:p w:rsidR="007E39B1" w:rsidRDefault="00963AB4" w:rsidP="00C66F2B">
      <w:pPr>
        <w:spacing w:after="0"/>
        <w:jc w:val="both"/>
        <w:rPr>
          <w:sz w:val="24"/>
          <w:szCs w:val="24"/>
          <w:lang w:val="en-US"/>
        </w:rPr>
      </w:pPr>
      <w:r>
        <w:rPr>
          <w:sz w:val="24"/>
          <w:szCs w:val="24"/>
          <w:lang w:val="en-US"/>
        </w:rPr>
        <w:tab/>
        <w:t xml:space="preserve">The Tribunal therefore finds that the first limb of the Preliminary objection in Law raised by the Respondent must succeed. As the Tribunal has found that the present dispute does not </w:t>
      </w:r>
      <w:r w:rsidR="007E39B1">
        <w:rPr>
          <w:sz w:val="24"/>
          <w:szCs w:val="24"/>
          <w:lang w:val="en-US"/>
        </w:rPr>
        <w:t>constitute</w:t>
      </w:r>
      <w:r>
        <w:rPr>
          <w:sz w:val="24"/>
          <w:szCs w:val="24"/>
          <w:lang w:val="en-US"/>
        </w:rPr>
        <w:t xml:space="preserve"> a labour dispute as </w:t>
      </w:r>
      <w:r w:rsidR="00532694">
        <w:rPr>
          <w:sz w:val="24"/>
          <w:szCs w:val="24"/>
          <w:lang w:val="en-US"/>
        </w:rPr>
        <w:t xml:space="preserve">is </w:t>
      </w:r>
      <w:r>
        <w:rPr>
          <w:sz w:val="24"/>
          <w:szCs w:val="24"/>
          <w:lang w:val="en-US"/>
        </w:rPr>
        <w:t xml:space="preserve">defined under the </w:t>
      </w:r>
      <w:r w:rsidRPr="007E39B1">
        <w:rPr>
          <w:i/>
          <w:sz w:val="24"/>
          <w:szCs w:val="24"/>
          <w:lang w:val="en-US"/>
        </w:rPr>
        <w:t>Act</w:t>
      </w:r>
      <w:r>
        <w:rPr>
          <w:sz w:val="24"/>
          <w:szCs w:val="24"/>
          <w:lang w:val="en-US"/>
        </w:rPr>
        <w:t xml:space="preserve">, the Tribunal </w:t>
      </w:r>
      <w:r w:rsidR="007E39B1">
        <w:rPr>
          <w:sz w:val="24"/>
          <w:szCs w:val="24"/>
          <w:lang w:val="en-US"/>
        </w:rPr>
        <w:t xml:space="preserve">does not find it necessary to consider the other two limbs of the Preliminary Objection in Law raised by the Respondent. </w:t>
      </w:r>
    </w:p>
    <w:p w:rsidR="007E39B1" w:rsidRDefault="007E39B1" w:rsidP="00C66F2B">
      <w:pPr>
        <w:spacing w:after="0"/>
        <w:jc w:val="both"/>
        <w:rPr>
          <w:sz w:val="24"/>
          <w:szCs w:val="24"/>
          <w:lang w:val="en-US"/>
        </w:rPr>
      </w:pPr>
    </w:p>
    <w:p w:rsidR="007E39B1" w:rsidRDefault="007E39B1" w:rsidP="00C66F2B">
      <w:pPr>
        <w:spacing w:after="0"/>
        <w:jc w:val="both"/>
        <w:rPr>
          <w:sz w:val="24"/>
          <w:szCs w:val="24"/>
          <w:lang w:val="en-US"/>
        </w:rPr>
      </w:pPr>
    </w:p>
    <w:p w:rsidR="00E44C33" w:rsidRDefault="007E39B1" w:rsidP="00C66F2B">
      <w:pPr>
        <w:spacing w:after="0"/>
        <w:jc w:val="both"/>
        <w:rPr>
          <w:sz w:val="24"/>
          <w:szCs w:val="24"/>
          <w:lang w:val="en-US"/>
        </w:rPr>
      </w:pPr>
      <w:r>
        <w:rPr>
          <w:sz w:val="24"/>
          <w:szCs w:val="24"/>
          <w:lang w:val="en-US"/>
        </w:rPr>
        <w:tab/>
        <w:t xml:space="preserve">The present dispute is therefore set aside. </w:t>
      </w:r>
      <w:r w:rsidR="00963AB4">
        <w:rPr>
          <w:sz w:val="24"/>
          <w:szCs w:val="24"/>
          <w:lang w:val="en-US"/>
        </w:rPr>
        <w:t xml:space="preserve"> </w:t>
      </w:r>
      <w:r w:rsidR="00C66F2B">
        <w:rPr>
          <w:sz w:val="24"/>
          <w:szCs w:val="24"/>
          <w:lang w:val="en-US"/>
        </w:rPr>
        <w:t xml:space="preserve">  </w:t>
      </w:r>
      <w:r w:rsidR="000067F9">
        <w:rPr>
          <w:sz w:val="24"/>
          <w:szCs w:val="24"/>
          <w:lang w:val="en-US"/>
        </w:rPr>
        <w:t xml:space="preserve"> </w:t>
      </w:r>
      <w:r w:rsidR="00693973">
        <w:rPr>
          <w:sz w:val="24"/>
          <w:szCs w:val="24"/>
          <w:lang w:val="en-US"/>
        </w:rPr>
        <w:t xml:space="preserve"> </w:t>
      </w: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C66F2B">
      <w:pPr>
        <w:spacing w:after="0"/>
        <w:jc w:val="both"/>
        <w:rPr>
          <w:sz w:val="24"/>
          <w:szCs w:val="24"/>
          <w:lang w:val="en-US"/>
        </w:rPr>
      </w:pPr>
    </w:p>
    <w:p w:rsidR="00E44C33" w:rsidRDefault="00E44C33" w:rsidP="00E44C33">
      <w:pPr>
        <w:spacing w:after="0"/>
        <w:ind w:right="26"/>
        <w:jc w:val="both"/>
        <w:rPr>
          <w:rFonts w:eastAsia="Calibri" w:cstheme="minorHAnsi"/>
          <w:b/>
          <w:bCs/>
          <w:sz w:val="24"/>
          <w:szCs w:val="24"/>
        </w:rPr>
      </w:pPr>
    </w:p>
    <w:p w:rsidR="00E44C33" w:rsidRDefault="00ED7A4B" w:rsidP="00E44C33">
      <w:pPr>
        <w:spacing w:after="0"/>
        <w:ind w:right="831"/>
        <w:rPr>
          <w:rFonts w:cstheme="minorHAnsi"/>
          <w:b/>
          <w:bCs/>
          <w:sz w:val="24"/>
          <w:szCs w:val="24"/>
        </w:rPr>
      </w:pPr>
      <w:r>
        <w:rPr>
          <w:rFonts w:cstheme="minorHAnsi"/>
          <w:b/>
          <w:bCs/>
          <w:sz w:val="24"/>
          <w:szCs w:val="24"/>
        </w:rPr>
        <w:t xml:space="preserve">SD    </w:t>
      </w:r>
      <w:r w:rsidR="00E44C33">
        <w:rPr>
          <w:rFonts w:cstheme="minorHAnsi"/>
          <w:b/>
          <w:bCs/>
          <w:sz w:val="24"/>
          <w:szCs w:val="24"/>
        </w:rPr>
        <w:t>Shameer Janhangeer</w:t>
      </w:r>
    </w:p>
    <w:p w:rsidR="00E44C33" w:rsidRDefault="00ED7A4B" w:rsidP="00ED7A4B">
      <w:pPr>
        <w:spacing w:after="0"/>
        <w:ind w:right="831"/>
        <w:rPr>
          <w:rFonts w:cstheme="minorHAnsi"/>
          <w:b/>
          <w:bCs/>
          <w:sz w:val="24"/>
          <w:szCs w:val="24"/>
        </w:rPr>
      </w:pPr>
      <w:r>
        <w:rPr>
          <w:rFonts w:cstheme="minorHAnsi"/>
          <w:b/>
          <w:bCs/>
          <w:sz w:val="24"/>
          <w:szCs w:val="24"/>
        </w:rPr>
        <w:t xml:space="preserve">         </w:t>
      </w:r>
      <w:r w:rsidR="00E44C33">
        <w:rPr>
          <w:rFonts w:cstheme="minorHAnsi"/>
          <w:b/>
          <w:bCs/>
          <w:sz w:val="24"/>
          <w:szCs w:val="24"/>
        </w:rPr>
        <w:t>(Vice-President)</w:t>
      </w:r>
    </w:p>
    <w:p w:rsidR="00E44C33" w:rsidRDefault="00E44C33" w:rsidP="00E44C33">
      <w:pPr>
        <w:spacing w:after="0"/>
        <w:ind w:right="831"/>
        <w:rPr>
          <w:rFonts w:cstheme="minorHAnsi"/>
          <w:b/>
          <w:bCs/>
          <w:sz w:val="24"/>
          <w:szCs w:val="24"/>
        </w:rPr>
      </w:pPr>
    </w:p>
    <w:p w:rsidR="00E44C33" w:rsidRDefault="00E44C33" w:rsidP="00E44C33">
      <w:pPr>
        <w:spacing w:after="0"/>
        <w:ind w:right="831"/>
        <w:rPr>
          <w:rFonts w:cstheme="minorHAnsi"/>
          <w:b/>
          <w:bCs/>
          <w:sz w:val="24"/>
          <w:szCs w:val="24"/>
        </w:rPr>
      </w:pPr>
    </w:p>
    <w:p w:rsidR="00E44C33" w:rsidRDefault="00E44C33" w:rsidP="00E44C33">
      <w:pPr>
        <w:spacing w:after="0"/>
        <w:ind w:right="831"/>
        <w:rPr>
          <w:rFonts w:cstheme="minorHAnsi"/>
          <w:b/>
          <w:bCs/>
          <w:sz w:val="24"/>
          <w:szCs w:val="24"/>
        </w:rPr>
      </w:pPr>
    </w:p>
    <w:p w:rsidR="003F5DBA" w:rsidRPr="00F17B50" w:rsidRDefault="00ED7A4B" w:rsidP="00E44C33">
      <w:pPr>
        <w:spacing w:after="0"/>
        <w:ind w:right="831"/>
        <w:rPr>
          <w:rFonts w:cstheme="minorHAnsi"/>
          <w:b/>
          <w:bCs/>
          <w:sz w:val="24"/>
          <w:szCs w:val="24"/>
          <w:lang w:val="en-US"/>
        </w:rPr>
      </w:pPr>
      <w:r>
        <w:rPr>
          <w:rFonts w:cstheme="minorHAnsi"/>
          <w:b/>
          <w:bCs/>
          <w:sz w:val="24"/>
          <w:szCs w:val="28"/>
          <w:lang w:val="en-US"/>
        </w:rPr>
        <w:t xml:space="preserve">SD    </w:t>
      </w:r>
      <w:r w:rsidR="003F5DBA" w:rsidRPr="00F17B50">
        <w:rPr>
          <w:rFonts w:cstheme="minorHAnsi"/>
          <w:b/>
          <w:bCs/>
          <w:sz w:val="24"/>
          <w:szCs w:val="28"/>
          <w:lang w:val="en-US"/>
        </w:rPr>
        <w:t xml:space="preserve">Marie </w:t>
      </w:r>
      <w:proofErr w:type="spellStart"/>
      <w:r w:rsidR="003F5DBA" w:rsidRPr="00F17B50">
        <w:rPr>
          <w:rFonts w:cstheme="minorHAnsi"/>
          <w:b/>
          <w:bCs/>
          <w:sz w:val="24"/>
          <w:szCs w:val="28"/>
          <w:lang w:val="en-US"/>
        </w:rPr>
        <w:t>Désirée</w:t>
      </w:r>
      <w:proofErr w:type="spellEnd"/>
      <w:r w:rsidR="003F5DBA" w:rsidRPr="00F17B50">
        <w:rPr>
          <w:rFonts w:cstheme="minorHAnsi"/>
          <w:b/>
          <w:bCs/>
          <w:sz w:val="24"/>
          <w:szCs w:val="28"/>
          <w:lang w:val="en-US"/>
        </w:rPr>
        <w:t xml:space="preserve"> Lily </w:t>
      </w:r>
      <w:proofErr w:type="spellStart"/>
      <w:r w:rsidR="003F5DBA" w:rsidRPr="00F17B50">
        <w:rPr>
          <w:rFonts w:cstheme="minorHAnsi"/>
          <w:b/>
          <w:bCs/>
          <w:sz w:val="24"/>
          <w:szCs w:val="28"/>
          <w:lang w:val="en-US"/>
        </w:rPr>
        <w:t>Lactive</w:t>
      </w:r>
      <w:proofErr w:type="spellEnd"/>
      <w:r w:rsidR="003F5DBA" w:rsidRPr="00F17B50">
        <w:rPr>
          <w:rFonts w:cstheme="minorHAnsi"/>
          <w:b/>
          <w:bCs/>
          <w:sz w:val="24"/>
          <w:szCs w:val="28"/>
          <w:lang w:val="en-US"/>
        </w:rPr>
        <w:t xml:space="preserve"> (Ms)</w:t>
      </w:r>
      <w:r w:rsidR="003F5DBA" w:rsidRPr="00F17B50">
        <w:rPr>
          <w:rFonts w:cstheme="minorHAnsi"/>
          <w:b/>
          <w:bCs/>
          <w:sz w:val="24"/>
          <w:szCs w:val="24"/>
          <w:lang w:val="en-US"/>
        </w:rPr>
        <w:t xml:space="preserve"> </w:t>
      </w:r>
    </w:p>
    <w:p w:rsidR="00E44C33" w:rsidRPr="004759C6" w:rsidRDefault="00ED7A4B" w:rsidP="00ED7A4B">
      <w:pPr>
        <w:spacing w:after="0"/>
        <w:ind w:right="831"/>
        <w:rPr>
          <w:rFonts w:cstheme="minorHAnsi"/>
          <w:b/>
          <w:bCs/>
          <w:sz w:val="24"/>
          <w:szCs w:val="24"/>
        </w:rPr>
      </w:pPr>
      <w:r>
        <w:rPr>
          <w:rFonts w:cstheme="minorHAnsi"/>
          <w:b/>
          <w:bCs/>
          <w:sz w:val="24"/>
          <w:szCs w:val="24"/>
          <w:lang w:val="en-US"/>
        </w:rPr>
        <w:t xml:space="preserve">         </w:t>
      </w:r>
      <w:r w:rsidR="00E44C33">
        <w:rPr>
          <w:rFonts w:cstheme="minorHAnsi"/>
          <w:b/>
          <w:bCs/>
          <w:sz w:val="24"/>
          <w:szCs w:val="24"/>
          <w:lang w:val="en-US"/>
        </w:rPr>
        <w:t>(Member)</w:t>
      </w:r>
    </w:p>
    <w:p w:rsidR="00E44C33" w:rsidRDefault="00E44C33" w:rsidP="00E44C33">
      <w:pPr>
        <w:spacing w:after="0"/>
        <w:ind w:right="831"/>
        <w:rPr>
          <w:rFonts w:cstheme="minorHAnsi"/>
          <w:b/>
          <w:bCs/>
          <w:sz w:val="24"/>
          <w:szCs w:val="24"/>
          <w:lang w:val="en-US"/>
        </w:rPr>
      </w:pPr>
    </w:p>
    <w:p w:rsidR="00E44C33" w:rsidRDefault="00E44C33" w:rsidP="00E44C33">
      <w:pPr>
        <w:spacing w:after="0"/>
        <w:ind w:right="831"/>
        <w:rPr>
          <w:rFonts w:cstheme="minorHAnsi"/>
          <w:b/>
          <w:bCs/>
          <w:sz w:val="24"/>
          <w:szCs w:val="24"/>
          <w:lang w:val="en-US"/>
        </w:rPr>
      </w:pPr>
    </w:p>
    <w:p w:rsidR="00E44C33" w:rsidRDefault="00E44C33" w:rsidP="00E44C33">
      <w:pPr>
        <w:spacing w:after="0"/>
        <w:ind w:right="831"/>
        <w:rPr>
          <w:rFonts w:cstheme="minorHAnsi"/>
          <w:b/>
          <w:bCs/>
          <w:sz w:val="24"/>
          <w:szCs w:val="24"/>
          <w:lang w:val="en-US"/>
        </w:rPr>
      </w:pPr>
    </w:p>
    <w:p w:rsidR="00E44C33" w:rsidRPr="00DB5072" w:rsidRDefault="00ED7A4B" w:rsidP="00E44C33">
      <w:pPr>
        <w:spacing w:after="0"/>
        <w:ind w:right="831"/>
        <w:rPr>
          <w:b/>
          <w:bCs/>
          <w:sz w:val="24"/>
          <w:szCs w:val="24"/>
        </w:rPr>
      </w:pPr>
      <w:r>
        <w:rPr>
          <w:b/>
          <w:bCs/>
          <w:sz w:val="24"/>
          <w:szCs w:val="24"/>
        </w:rPr>
        <w:t xml:space="preserve">SD    </w:t>
      </w:r>
      <w:r w:rsidR="00E44C33">
        <w:rPr>
          <w:b/>
          <w:bCs/>
          <w:sz w:val="24"/>
          <w:szCs w:val="24"/>
        </w:rPr>
        <w:t xml:space="preserve">Eddy </w:t>
      </w:r>
      <w:proofErr w:type="spellStart"/>
      <w:r w:rsidR="00E44C33">
        <w:rPr>
          <w:b/>
          <w:bCs/>
          <w:sz w:val="24"/>
          <w:szCs w:val="24"/>
        </w:rPr>
        <w:t>Appasamy</w:t>
      </w:r>
      <w:proofErr w:type="spellEnd"/>
    </w:p>
    <w:p w:rsidR="00E44C33" w:rsidRDefault="00ED7A4B" w:rsidP="00E44C33">
      <w:pPr>
        <w:spacing w:after="0"/>
        <w:ind w:right="831"/>
        <w:rPr>
          <w:rFonts w:cstheme="minorHAnsi"/>
          <w:b/>
          <w:bCs/>
          <w:sz w:val="24"/>
          <w:szCs w:val="24"/>
        </w:rPr>
      </w:pPr>
      <w:r>
        <w:rPr>
          <w:rFonts w:cstheme="minorHAnsi"/>
          <w:b/>
          <w:bCs/>
          <w:sz w:val="24"/>
          <w:szCs w:val="24"/>
        </w:rPr>
        <w:t xml:space="preserve">         </w:t>
      </w:r>
      <w:r w:rsidR="00E44C33">
        <w:rPr>
          <w:rFonts w:cstheme="minorHAnsi"/>
          <w:b/>
          <w:bCs/>
          <w:sz w:val="24"/>
          <w:szCs w:val="24"/>
        </w:rPr>
        <w:t>(Member)</w:t>
      </w:r>
    </w:p>
    <w:p w:rsidR="00E44C33" w:rsidRDefault="00E44C33" w:rsidP="00E44C33">
      <w:pPr>
        <w:spacing w:after="0"/>
        <w:ind w:right="831"/>
        <w:rPr>
          <w:rFonts w:cstheme="minorHAnsi"/>
          <w:b/>
          <w:bCs/>
          <w:sz w:val="24"/>
          <w:szCs w:val="24"/>
        </w:rPr>
      </w:pPr>
    </w:p>
    <w:p w:rsidR="00E44C33" w:rsidRDefault="00E44C33" w:rsidP="00E44C33">
      <w:pPr>
        <w:spacing w:after="0"/>
        <w:ind w:right="831"/>
        <w:rPr>
          <w:rFonts w:cstheme="minorHAnsi"/>
          <w:b/>
          <w:bCs/>
          <w:sz w:val="24"/>
          <w:szCs w:val="24"/>
        </w:rPr>
      </w:pPr>
    </w:p>
    <w:p w:rsidR="00E44C33" w:rsidRDefault="00E44C33" w:rsidP="00E44C33">
      <w:pPr>
        <w:spacing w:after="0"/>
        <w:ind w:right="831"/>
        <w:rPr>
          <w:rFonts w:cstheme="minorHAnsi"/>
          <w:b/>
          <w:bCs/>
          <w:sz w:val="24"/>
          <w:szCs w:val="24"/>
        </w:rPr>
      </w:pPr>
    </w:p>
    <w:p w:rsidR="00E44C33" w:rsidRPr="00036141" w:rsidRDefault="00ED7A4B" w:rsidP="00E44C33">
      <w:pPr>
        <w:spacing w:after="0"/>
        <w:ind w:right="831"/>
        <w:rPr>
          <w:rFonts w:cstheme="minorHAnsi"/>
          <w:b/>
          <w:bCs/>
          <w:szCs w:val="24"/>
        </w:rPr>
      </w:pPr>
      <w:r>
        <w:rPr>
          <w:b/>
          <w:sz w:val="24"/>
          <w:lang w:val="en-US"/>
        </w:rPr>
        <w:t xml:space="preserve">SD    </w:t>
      </w:r>
      <w:r w:rsidR="003F5DBA">
        <w:rPr>
          <w:b/>
          <w:sz w:val="24"/>
          <w:lang w:val="en-US"/>
        </w:rPr>
        <w:t xml:space="preserve">Kevin C. </w:t>
      </w:r>
      <w:proofErr w:type="spellStart"/>
      <w:r w:rsidR="003F5DBA">
        <w:rPr>
          <w:b/>
          <w:sz w:val="24"/>
          <w:lang w:val="en-US"/>
        </w:rPr>
        <w:t>Lukeeram</w:t>
      </w:r>
      <w:proofErr w:type="spellEnd"/>
      <w:r w:rsidR="00E44C33" w:rsidRPr="00036141">
        <w:rPr>
          <w:b/>
          <w:sz w:val="24"/>
          <w:lang w:val="en-US"/>
        </w:rPr>
        <w:tab/>
      </w:r>
    </w:p>
    <w:p w:rsidR="00E44C33" w:rsidRDefault="00ED7A4B" w:rsidP="00E44C33">
      <w:pPr>
        <w:spacing w:after="0"/>
        <w:ind w:right="831"/>
        <w:rPr>
          <w:rFonts w:cstheme="minorHAnsi"/>
          <w:b/>
          <w:bCs/>
          <w:sz w:val="24"/>
          <w:szCs w:val="24"/>
        </w:rPr>
      </w:pPr>
      <w:r>
        <w:rPr>
          <w:rFonts w:cstheme="minorHAnsi"/>
          <w:b/>
          <w:bCs/>
          <w:sz w:val="24"/>
          <w:szCs w:val="24"/>
        </w:rPr>
        <w:t xml:space="preserve">         </w:t>
      </w:r>
      <w:r w:rsidR="00E44C33">
        <w:rPr>
          <w:rFonts w:cstheme="minorHAnsi"/>
          <w:b/>
          <w:bCs/>
          <w:sz w:val="24"/>
          <w:szCs w:val="24"/>
        </w:rPr>
        <w:t>(Member)</w:t>
      </w:r>
    </w:p>
    <w:p w:rsidR="00E44C33" w:rsidRDefault="00E44C33" w:rsidP="00E44C33">
      <w:pPr>
        <w:spacing w:after="0"/>
        <w:ind w:right="566"/>
        <w:jc w:val="both"/>
        <w:rPr>
          <w:rFonts w:eastAsia="Calibri" w:cstheme="minorHAnsi"/>
          <w:bCs/>
          <w:sz w:val="24"/>
          <w:szCs w:val="24"/>
        </w:rPr>
      </w:pPr>
    </w:p>
    <w:p w:rsidR="000C2D85" w:rsidRDefault="000C2D85" w:rsidP="00E44C33">
      <w:pPr>
        <w:spacing w:after="0"/>
        <w:ind w:right="566"/>
        <w:jc w:val="both"/>
        <w:rPr>
          <w:rFonts w:eastAsia="Calibri" w:cstheme="minorHAnsi"/>
          <w:bCs/>
          <w:sz w:val="24"/>
          <w:szCs w:val="24"/>
        </w:rPr>
      </w:pPr>
    </w:p>
    <w:p w:rsidR="000C2D85" w:rsidRDefault="000C2D85" w:rsidP="00E44C33">
      <w:pPr>
        <w:spacing w:after="0"/>
        <w:ind w:right="566"/>
        <w:jc w:val="both"/>
        <w:rPr>
          <w:rFonts w:eastAsia="Calibri" w:cstheme="minorHAnsi"/>
          <w:bCs/>
          <w:sz w:val="24"/>
          <w:szCs w:val="24"/>
        </w:rPr>
      </w:pPr>
    </w:p>
    <w:p w:rsidR="000C2D85" w:rsidRPr="000C2D85" w:rsidRDefault="000C2D85" w:rsidP="00E44C33">
      <w:pPr>
        <w:spacing w:after="0"/>
        <w:ind w:right="566"/>
        <w:jc w:val="both"/>
        <w:rPr>
          <w:rFonts w:eastAsia="Calibri" w:cstheme="minorHAnsi"/>
          <w:b/>
          <w:bCs/>
          <w:sz w:val="24"/>
          <w:szCs w:val="24"/>
        </w:rPr>
      </w:pPr>
      <w:r w:rsidRPr="000C2D85">
        <w:rPr>
          <w:rFonts w:eastAsia="Calibri" w:cstheme="minorHAnsi"/>
          <w:b/>
          <w:bCs/>
          <w:sz w:val="24"/>
          <w:szCs w:val="24"/>
        </w:rPr>
        <w:t>Date:</w:t>
      </w:r>
      <w:r w:rsidRPr="000C2D85">
        <w:rPr>
          <w:rFonts w:eastAsia="Calibri" w:cstheme="minorHAnsi"/>
          <w:b/>
          <w:bCs/>
          <w:sz w:val="24"/>
          <w:szCs w:val="24"/>
        </w:rPr>
        <w:tab/>
        <w:t>30</w:t>
      </w:r>
      <w:r w:rsidRPr="000C2D85">
        <w:rPr>
          <w:rFonts w:eastAsia="Calibri" w:cstheme="minorHAnsi"/>
          <w:b/>
          <w:bCs/>
          <w:sz w:val="24"/>
          <w:szCs w:val="24"/>
          <w:vertAlign w:val="superscript"/>
        </w:rPr>
        <w:t>th</w:t>
      </w:r>
      <w:r w:rsidRPr="000C2D85">
        <w:rPr>
          <w:rFonts w:eastAsia="Calibri" w:cstheme="minorHAnsi"/>
          <w:b/>
          <w:bCs/>
          <w:sz w:val="24"/>
          <w:szCs w:val="24"/>
        </w:rPr>
        <w:t xml:space="preserve"> March 2018</w:t>
      </w:r>
    </w:p>
    <w:p w:rsidR="00E44C33" w:rsidRDefault="00E44C33" w:rsidP="00E44C33">
      <w:pPr>
        <w:spacing w:after="0"/>
        <w:ind w:right="566"/>
        <w:jc w:val="both"/>
        <w:rPr>
          <w:rFonts w:eastAsia="Calibri" w:cstheme="minorHAnsi"/>
          <w:bCs/>
          <w:sz w:val="24"/>
          <w:szCs w:val="24"/>
        </w:rPr>
      </w:pPr>
    </w:p>
    <w:p w:rsidR="00E44C33" w:rsidRDefault="00E44C33" w:rsidP="00E44C33">
      <w:pPr>
        <w:spacing w:after="0"/>
        <w:ind w:right="540"/>
        <w:jc w:val="both"/>
        <w:rPr>
          <w:rFonts w:eastAsia="Calibri" w:cstheme="minorHAnsi"/>
          <w:bCs/>
          <w:sz w:val="24"/>
          <w:szCs w:val="24"/>
        </w:rPr>
      </w:pPr>
    </w:p>
    <w:p w:rsidR="00693973" w:rsidRPr="00B6657A" w:rsidRDefault="00693973" w:rsidP="00E44C33">
      <w:pPr>
        <w:spacing w:after="0"/>
        <w:jc w:val="both"/>
        <w:rPr>
          <w:sz w:val="24"/>
          <w:szCs w:val="24"/>
          <w:lang w:val="en-US"/>
        </w:rPr>
      </w:pPr>
      <w:r>
        <w:rPr>
          <w:sz w:val="24"/>
          <w:szCs w:val="24"/>
          <w:lang w:val="en-US"/>
        </w:rPr>
        <w:t xml:space="preserve">        </w:t>
      </w:r>
    </w:p>
    <w:p w:rsidR="00884333" w:rsidRDefault="00884333" w:rsidP="00693973">
      <w:pPr>
        <w:spacing w:after="0"/>
        <w:jc w:val="both"/>
        <w:rPr>
          <w:sz w:val="24"/>
          <w:lang w:val="en-US"/>
        </w:rPr>
      </w:pPr>
      <w:r>
        <w:rPr>
          <w:sz w:val="24"/>
          <w:lang w:val="en-US"/>
        </w:rPr>
        <w:tab/>
      </w:r>
    </w:p>
    <w:p w:rsidR="008D74A4" w:rsidRDefault="008D74A4" w:rsidP="00693973">
      <w:pPr>
        <w:spacing w:after="0"/>
        <w:jc w:val="both"/>
        <w:rPr>
          <w:sz w:val="24"/>
          <w:lang w:val="en-US"/>
        </w:rPr>
      </w:pPr>
    </w:p>
    <w:p w:rsidR="008D74A4" w:rsidRDefault="008D74A4" w:rsidP="00693973">
      <w:pPr>
        <w:spacing w:after="0"/>
        <w:jc w:val="both"/>
        <w:rPr>
          <w:sz w:val="24"/>
          <w:lang w:val="en-US"/>
        </w:rPr>
      </w:pPr>
    </w:p>
    <w:p w:rsidR="00CB6C0A" w:rsidRPr="00F17900" w:rsidRDefault="008D74A4" w:rsidP="00693973">
      <w:pPr>
        <w:spacing w:after="0"/>
        <w:jc w:val="both"/>
        <w:rPr>
          <w:sz w:val="24"/>
          <w:lang w:val="en-US"/>
        </w:rPr>
      </w:pPr>
      <w:r>
        <w:rPr>
          <w:sz w:val="24"/>
          <w:lang w:val="en-US"/>
        </w:rPr>
        <w:tab/>
        <w:t xml:space="preserve"> </w:t>
      </w:r>
      <w:r w:rsidR="00CB6C0A">
        <w:rPr>
          <w:sz w:val="24"/>
          <w:lang w:val="en-US"/>
        </w:rPr>
        <w:t xml:space="preserve">  </w:t>
      </w:r>
    </w:p>
    <w:p w:rsidR="00F17900" w:rsidRDefault="00F17900" w:rsidP="00F17900">
      <w:pPr>
        <w:pStyle w:val="ListParagraph"/>
        <w:rPr>
          <w:sz w:val="24"/>
          <w:lang w:val="en-US"/>
        </w:rPr>
      </w:pPr>
    </w:p>
    <w:p w:rsidR="00F17900" w:rsidRPr="00F17900" w:rsidRDefault="00F17900" w:rsidP="00F17900">
      <w:pPr>
        <w:pStyle w:val="ListParagraph"/>
        <w:rPr>
          <w:sz w:val="24"/>
          <w:lang w:val="en-US"/>
        </w:rPr>
      </w:pPr>
    </w:p>
    <w:p w:rsidR="005470FA" w:rsidRPr="00F17900" w:rsidRDefault="005470FA" w:rsidP="00F17900">
      <w:pPr>
        <w:spacing w:after="0"/>
        <w:jc w:val="both"/>
        <w:rPr>
          <w:sz w:val="24"/>
          <w:lang w:val="en-US"/>
        </w:rPr>
      </w:pPr>
      <w:r w:rsidRPr="00F17900">
        <w:rPr>
          <w:sz w:val="24"/>
          <w:lang w:val="en-US"/>
        </w:rPr>
        <w:t xml:space="preserve"> </w:t>
      </w:r>
    </w:p>
    <w:p w:rsidR="005470FA" w:rsidRDefault="005470FA" w:rsidP="00F146B9">
      <w:pPr>
        <w:spacing w:after="0"/>
        <w:jc w:val="both"/>
        <w:rPr>
          <w:sz w:val="24"/>
          <w:lang w:val="en-US"/>
        </w:rPr>
      </w:pPr>
    </w:p>
    <w:p w:rsidR="005470FA" w:rsidRDefault="005470FA" w:rsidP="00F146B9">
      <w:pPr>
        <w:spacing w:after="0"/>
        <w:jc w:val="both"/>
        <w:rPr>
          <w:sz w:val="24"/>
          <w:lang w:val="en-US"/>
        </w:rPr>
      </w:pPr>
    </w:p>
    <w:p w:rsidR="005470FA" w:rsidRDefault="005470FA" w:rsidP="00F146B9">
      <w:pPr>
        <w:spacing w:after="0"/>
        <w:jc w:val="both"/>
        <w:rPr>
          <w:sz w:val="24"/>
          <w:lang w:val="en-US"/>
        </w:rPr>
      </w:pPr>
      <w:r>
        <w:rPr>
          <w:sz w:val="24"/>
          <w:lang w:val="en-US"/>
        </w:rPr>
        <w:tab/>
      </w:r>
    </w:p>
    <w:p w:rsidR="00F146B9" w:rsidRPr="00F146B9" w:rsidRDefault="00F146B9" w:rsidP="00F146B9">
      <w:pPr>
        <w:spacing w:after="0"/>
        <w:jc w:val="both"/>
        <w:rPr>
          <w:sz w:val="24"/>
          <w:lang w:val="en-US"/>
        </w:rPr>
      </w:pPr>
    </w:p>
    <w:p w:rsidR="00092AF7" w:rsidRPr="00F146B9" w:rsidRDefault="00092AF7">
      <w:pPr>
        <w:spacing w:after="0"/>
        <w:jc w:val="both"/>
        <w:rPr>
          <w:sz w:val="24"/>
          <w:lang w:val="en-US"/>
        </w:rPr>
      </w:pPr>
      <w:bookmarkStart w:id="0" w:name="_GoBack"/>
      <w:bookmarkEnd w:id="0"/>
    </w:p>
    <w:sectPr w:rsidR="00092AF7" w:rsidRPr="00F146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29" w:rsidRDefault="00032F29" w:rsidP="005470FA">
      <w:pPr>
        <w:spacing w:after="0" w:line="240" w:lineRule="auto"/>
      </w:pPr>
      <w:r>
        <w:separator/>
      </w:r>
    </w:p>
  </w:endnote>
  <w:endnote w:type="continuationSeparator" w:id="0">
    <w:p w:rsidR="00032F29" w:rsidRDefault="00032F29" w:rsidP="0054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835"/>
      <w:docPartObj>
        <w:docPartGallery w:val="Page Numbers (Bottom of Page)"/>
        <w:docPartUnique/>
      </w:docPartObj>
    </w:sdtPr>
    <w:sdtEndPr>
      <w:rPr>
        <w:noProof/>
      </w:rPr>
    </w:sdtEndPr>
    <w:sdtContent>
      <w:p w:rsidR="00EC6094" w:rsidRDefault="00EC6094">
        <w:pPr>
          <w:pStyle w:val="Footer"/>
          <w:jc w:val="right"/>
        </w:pPr>
        <w:r>
          <w:fldChar w:fldCharType="begin"/>
        </w:r>
        <w:r>
          <w:instrText xml:space="preserve"> PAGE   \* MERGEFORMAT </w:instrText>
        </w:r>
        <w:r>
          <w:fldChar w:fldCharType="separate"/>
        </w:r>
        <w:r w:rsidR="0027432E">
          <w:rPr>
            <w:noProof/>
          </w:rPr>
          <w:t>12</w:t>
        </w:r>
        <w:r>
          <w:rPr>
            <w:noProof/>
          </w:rPr>
          <w:fldChar w:fldCharType="end"/>
        </w:r>
      </w:p>
    </w:sdtContent>
  </w:sdt>
  <w:p w:rsidR="00EC6094" w:rsidRDefault="00EC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29" w:rsidRDefault="00032F29" w:rsidP="005470FA">
      <w:pPr>
        <w:spacing w:after="0" w:line="240" w:lineRule="auto"/>
      </w:pPr>
      <w:r>
        <w:separator/>
      </w:r>
    </w:p>
  </w:footnote>
  <w:footnote w:type="continuationSeparator" w:id="0">
    <w:p w:rsidR="00032F29" w:rsidRDefault="00032F29" w:rsidP="00547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53F3"/>
    <w:multiLevelType w:val="hybridMultilevel"/>
    <w:tmpl w:val="3F224590"/>
    <w:lvl w:ilvl="0" w:tplc="ACD6236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58520A35"/>
    <w:multiLevelType w:val="hybridMultilevel"/>
    <w:tmpl w:val="E48686BA"/>
    <w:lvl w:ilvl="0" w:tplc="12CA0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B9"/>
    <w:rsid w:val="00000396"/>
    <w:rsid w:val="000059C8"/>
    <w:rsid w:val="000067F9"/>
    <w:rsid w:val="000069E5"/>
    <w:rsid w:val="00032F29"/>
    <w:rsid w:val="0004478B"/>
    <w:rsid w:val="00067A26"/>
    <w:rsid w:val="00092AF7"/>
    <w:rsid w:val="000C2D85"/>
    <w:rsid w:val="000D27CD"/>
    <w:rsid w:val="000D3317"/>
    <w:rsid w:val="001027DC"/>
    <w:rsid w:val="001034DA"/>
    <w:rsid w:val="0010377F"/>
    <w:rsid w:val="0011038A"/>
    <w:rsid w:val="00141920"/>
    <w:rsid w:val="001575DA"/>
    <w:rsid w:val="00170FD5"/>
    <w:rsid w:val="00171AF6"/>
    <w:rsid w:val="001A06AB"/>
    <w:rsid w:val="001C3A49"/>
    <w:rsid w:val="001C5433"/>
    <w:rsid w:val="001F50FA"/>
    <w:rsid w:val="00220884"/>
    <w:rsid w:val="002275E0"/>
    <w:rsid w:val="00230BC6"/>
    <w:rsid w:val="00234CCC"/>
    <w:rsid w:val="00255145"/>
    <w:rsid w:val="00260A45"/>
    <w:rsid w:val="002663BD"/>
    <w:rsid w:val="0027432E"/>
    <w:rsid w:val="002754B4"/>
    <w:rsid w:val="002B2F77"/>
    <w:rsid w:val="002C34B8"/>
    <w:rsid w:val="002C6837"/>
    <w:rsid w:val="00302BC5"/>
    <w:rsid w:val="00304CA3"/>
    <w:rsid w:val="00327991"/>
    <w:rsid w:val="00333CAA"/>
    <w:rsid w:val="00337804"/>
    <w:rsid w:val="00355A33"/>
    <w:rsid w:val="003779AE"/>
    <w:rsid w:val="00396130"/>
    <w:rsid w:val="003A7263"/>
    <w:rsid w:val="003B5AAD"/>
    <w:rsid w:val="003C08F0"/>
    <w:rsid w:val="003C5404"/>
    <w:rsid w:val="003E4925"/>
    <w:rsid w:val="003F5DBA"/>
    <w:rsid w:val="00403432"/>
    <w:rsid w:val="004034F7"/>
    <w:rsid w:val="00410B20"/>
    <w:rsid w:val="004373B9"/>
    <w:rsid w:val="0045225C"/>
    <w:rsid w:val="00452414"/>
    <w:rsid w:val="00453E99"/>
    <w:rsid w:val="00467CD3"/>
    <w:rsid w:val="004709E9"/>
    <w:rsid w:val="004730A9"/>
    <w:rsid w:val="004A6800"/>
    <w:rsid w:val="004B2010"/>
    <w:rsid w:val="004E13CC"/>
    <w:rsid w:val="005039FB"/>
    <w:rsid w:val="00532694"/>
    <w:rsid w:val="005470FA"/>
    <w:rsid w:val="005E259F"/>
    <w:rsid w:val="005F193E"/>
    <w:rsid w:val="006048AF"/>
    <w:rsid w:val="00626E7B"/>
    <w:rsid w:val="00635381"/>
    <w:rsid w:val="006426AC"/>
    <w:rsid w:val="006476E2"/>
    <w:rsid w:val="006621AE"/>
    <w:rsid w:val="006660DA"/>
    <w:rsid w:val="006668BB"/>
    <w:rsid w:val="00675BA3"/>
    <w:rsid w:val="006877E0"/>
    <w:rsid w:val="00693973"/>
    <w:rsid w:val="006A5A03"/>
    <w:rsid w:val="006A62C5"/>
    <w:rsid w:val="006C1D42"/>
    <w:rsid w:val="006C3949"/>
    <w:rsid w:val="006C4BB7"/>
    <w:rsid w:val="006C5148"/>
    <w:rsid w:val="006D2B17"/>
    <w:rsid w:val="006D3CC8"/>
    <w:rsid w:val="006E0FB9"/>
    <w:rsid w:val="00705B31"/>
    <w:rsid w:val="00711539"/>
    <w:rsid w:val="00766B92"/>
    <w:rsid w:val="00767C30"/>
    <w:rsid w:val="007A4E9E"/>
    <w:rsid w:val="007B5AC9"/>
    <w:rsid w:val="007D03AA"/>
    <w:rsid w:val="007E39B1"/>
    <w:rsid w:val="0081181B"/>
    <w:rsid w:val="00817EE3"/>
    <w:rsid w:val="00826976"/>
    <w:rsid w:val="00830735"/>
    <w:rsid w:val="00834603"/>
    <w:rsid w:val="008351A1"/>
    <w:rsid w:val="00845453"/>
    <w:rsid w:val="00854AD0"/>
    <w:rsid w:val="00884333"/>
    <w:rsid w:val="008930BB"/>
    <w:rsid w:val="00897C00"/>
    <w:rsid w:val="008C116E"/>
    <w:rsid w:val="008D63C6"/>
    <w:rsid w:val="008D74A4"/>
    <w:rsid w:val="008F09D2"/>
    <w:rsid w:val="00927323"/>
    <w:rsid w:val="009450CD"/>
    <w:rsid w:val="0094659E"/>
    <w:rsid w:val="00963AB4"/>
    <w:rsid w:val="00976E94"/>
    <w:rsid w:val="00984B1F"/>
    <w:rsid w:val="00992582"/>
    <w:rsid w:val="009966F8"/>
    <w:rsid w:val="009B360D"/>
    <w:rsid w:val="009E0C0A"/>
    <w:rsid w:val="009F757A"/>
    <w:rsid w:val="00A1231D"/>
    <w:rsid w:val="00A4677D"/>
    <w:rsid w:val="00AA5FCC"/>
    <w:rsid w:val="00AB5CE6"/>
    <w:rsid w:val="00AF58B2"/>
    <w:rsid w:val="00B6657A"/>
    <w:rsid w:val="00B8096B"/>
    <w:rsid w:val="00B84DEB"/>
    <w:rsid w:val="00B853BC"/>
    <w:rsid w:val="00B950D0"/>
    <w:rsid w:val="00B956CC"/>
    <w:rsid w:val="00BB4B2A"/>
    <w:rsid w:val="00BC7F4E"/>
    <w:rsid w:val="00BD47AC"/>
    <w:rsid w:val="00BE0331"/>
    <w:rsid w:val="00BF1B27"/>
    <w:rsid w:val="00C04DF3"/>
    <w:rsid w:val="00C0677D"/>
    <w:rsid w:val="00C229F7"/>
    <w:rsid w:val="00C32F33"/>
    <w:rsid w:val="00C41BB0"/>
    <w:rsid w:val="00C545A5"/>
    <w:rsid w:val="00C606A5"/>
    <w:rsid w:val="00C66F2B"/>
    <w:rsid w:val="00C70284"/>
    <w:rsid w:val="00C929E4"/>
    <w:rsid w:val="00CA09FE"/>
    <w:rsid w:val="00CB11A8"/>
    <w:rsid w:val="00CB6C0A"/>
    <w:rsid w:val="00CE61C5"/>
    <w:rsid w:val="00D01059"/>
    <w:rsid w:val="00D04A9E"/>
    <w:rsid w:val="00D173EF"/>
    <w:rsid w:val="00D20C9C"/>
    <w:rsid w:val="00D4210C"/>
    <w:rsid w:val="00D72F3C"/>
    <w:rsid w:val="00D76096"/>
    <w:rsid w:val="00D7739B"/>
    <w:rsid w:val="00D935D8"/>
    <w:rsid w:val="00DB7BB5"/>
    <w:rsid w:val="00DC5AC3"/>
    <w:rsid w:val="00DC6B37"/>
    <w:rsid w:val="00DE1BFD"/>
    <w:rsid w:val="00DE53A6"/>
    <w:rsid w:val="00DF2088"/>
    <w:rsid w:val="00DF3914"/>
    <w:rsid w:val="00DF4FEF"/>
    <w:rsid w:val="00E019AA"/>
    <w:rsid w:val="00E0546A"/>
    <w:rsid w:val="00E32FC7"/>
    <w:rsid w:val="00E43F48"/>
    <w:rsid w:val="00E44C33"/>
    <w:rsid w:val="00EA001B"/>
    <w:rsid w:val="00EA2F46"/>
    <w:rsid w:val="00EC6094"/>
    <w:rsid w:val="00ED07B1"/>
    <w:rsid w:val="00ED2403"/>
    <w:rsid w:val="00ED7A4B"/>
    <w:rsid w:val="00EE4532"/>
    <w:rsid w:val="00EF135C"/>
    <w:rsid w:val="00F02CFA"/>
    <w:rsid w:val="00F146B9"/>
    <w:rsid w:val="00F16D13"/>
    <w:rsid w:val="00F176E8"/>
    <w:rsid w:val="00F17900"/>
    <w:rsid w:val="00F17B50"/>
    <w:rsid w:val="00FB1A80"/>
    <w:rsid w:val="00FD390E"/>
    <w:rsid w:val="00FD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A"/>
    <w:rPr>
      <w:lang w:val="en-GB"/>
    </w:rPr>
  </w:style>
  <w:style w:type="paragraph" w:styleId="Footer">
    <w:name w:val="footer"/>
    <w:basedOn w:val="Normal"/>
    <w:link w:val="FooterChar"/>
    <w:uiPriority w:val="99"/>
    <w:unhideWhenUsed/>
    <w:rsid w:val="00547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A"/>
    <w:rPr>
      <w:lang w:val="en-GB"/>
    </w:rPr>
  </w:style>
  <w:style w:type="paragraph" w:styleId="ListParagraph">
    <w:name w:val="List Paragraph"/>
    <w:basedOn w:val="Normal"/>
    <w:uiPriority w:val="34"/>
    <w:qFormat/>
    <w:rsid w:val="005470FA"/>
    <w:pPr>
      <w:ind w:left="720"/>
      <w:contextualSpacing/>
    </w:pPr>
  </w:style>
  <w:style w:type="paragraph" w:customStyle="1" w:styleId="Default">
    <w:name w:val="Default"/>
    <w:rsid w:val="006A62C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1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33"/>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A"/>
    <w:rPr>
      <w:lang w:val="en-GB"/>
    </w:rPr>
  </w:style>
  <w:style w:type="paragraph" w:styleId="Footer">
    <w:name w:val="footer"/>
    <w:basedOn w:val="Normal"/>
    <w:link w:val="FooterChar"/>
    <w:uiPriority w:val="99"/>
    <w:unhideWhenUsed/>
    <w:rsid w:val="00547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A"/>
    <w:rPr>
      <w:lang w:val="en-GB"/>
    </w:rPr>
  </w:style>
  <w:style w:type="paragraph" w:styleId="ListParagraph">
    <w:name w:val="List Paragraph"/>
    <w:basedOn w:val="Normal"/>
    <w:uiPriority w:val="34"/>
    <w:qFormat/>
    <w:rsid w:val="005470FA"/>
    <w:pPr>
      <w:ind w:left="720"/>
      <w:contextualSpacing/>
    </w:pPr>
  </w:style>
  <w:style w:type="paragraph" w:customStyle="1" w:styleId="Default">
    <w:name w:val="Default"/>
    <w:rsid w:val="006A62C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1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3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58799">
      <w:bodyDiv w:val="1"/>
      <w:marLeft w:val="0"/>
      <w:marRight w:val="0"/>
      <w:marTop w:val="0"/>
      <w:marBottom w:val="0"/>
      <w:divBdr>
        <w:top w:val="none" w:sz="0" w:space="0" w:color="auto"/>
        <w:left w:val="none" w:sz="0" w:space="0" w:color="auto"/>
        <w:bottom w:val="none" w:sz="0" w:space="0" w:color="auto"/>
        <w:right w:val="none" w:sz="0" w:space="0" w:color="auto"/>
      </w:divBdr>
      <w:divsChild>
        <w:div w:id="1551840777">
          <w:marLeft w:val="0"/>
          <w:marRight w:val="0"/>
          <w:marTop w:val="0"/>
          <w:marBottom w:val="0"/>
          <w:divBdr>
            <w:top w:val="none" w:sz="0" w:space="0" w:color="auto"/>
            <w:left w:val="none" w:sz="0" w:space="0" w:color="auto"/>
            <w:bottom w:val="none" w:sz="0" w:space="0" w:color="auto"/>
            <w:right w:val="none" w:sz="0" w:space="0" w:color="auto"/>
          </w:divBdr>
        </w:div>
        <w:div w:id="375391935">
          <w:marLeft w:val="0"/>
          <w:marRight w:val="0"/>
          <w:marTop w:val="0"/>
          <w:marBottom w:val="0"/>
          <w:divBdr>
            <w:top w:val="none" w:sz="0" w:space="0" w:color="auto"/>
            <w:left w:val="none" w:sz="0" w:space="0" w:color="auto"/>
            <w:bottom w:val="none" w:sz="0" w:space="0" w:color="auto"/>
            <w:right w:val="none" w:sz="0" w:space="0" w:color="auto"/>
          </w:divBdr>
        </w:div>
        <w:div w:id="1457987094">
          <w:marLeft w:val="0"/>
          <w:marRight w:val="0"/>
          <w:marTop w:val="0"/>
          <w:marBottom w:val="0"/>
          <w:divBdr>
            <w:top w:val="none" w:sz="0" w:space="0" w:color="auto"/>
            <w:left w:val="none" w:sz="0" w:space="0" w:color="auto"/>
            <w:bottom w:val="none" w:sz="0" w:space="0" w:color="auto"/>
            <w:right w:val="none" w:sz="0" w:space="0" w:color="auto"/>
          </w:divBdr>
        </w:div>
        <w:div w:id="1032531543">
          <w:marLeft w:val="0"/>
          <w:marRight w:val="0"/>
          <w:marTop w:val="0"/>
          <w:marBottom w:val="0"/>
          <w:divBdr>
            <w:top w:val="none" w:sz="0" w:space="0" w:color="auto"/>
            <w:left w:val="none" w:sz="0" w:space="0" w:color="auto"/>
            <w:bottom w:val="none" w:sz="0" w:space="0" w:color="auto"/>
            <w:right w:val="none" w:sz="0" w:space="0" w:color="auto"/>
          </w:divBdr>
        </w:div>
        <w:div w:id="1444812254">
          <w:marLeft w:val="0"/>
          <w:marRight w:val="0"/>
          <w:marTop w:val="0"/>
          <w:marBottom w:val="0"/>
          <w:divBdr>
            <w:top w:val="none" w:sz="0" w:space="0" w:color="auto"/>
            <w:left w:val="none" w:sz="0" w:space="0" w:color="auto"/>
            <w:bottom w:val="none" w:sz="0" w:space="0" w:color="auto"/>
            <w:right w:val="none" w:sz="0" w:space="0" w:color="auto"/>
          </w:divBdr>
        </w:div>
        <w:div w:id="1955595404">
          <w:marLeft w:val="0"/>
          <w:marRight w:val="0"/>
          <w:marTop w:val="0"/>
          <w:marBottom w:val="0"/>
          <w:divBdr>
            <w:top w:val="none" w:sz="0" w:space="0" w:color="auto"/>
            <w:left w:val="none" w:sz="0" w:space="0" w:color="auto"/>
            <w:bottom w:val="none" w:sz="0" w:space="0" w:color="auto"/>
            <w:right w:val="none" w:sz="0" w:space="0" w:color="auto"/>
          </w:divBdr>
        </w:div>
        <w:div w:id="1713647201">
          <w:marLeft w:val="0"/>
          <w:marRight w:val="0"/>
          <w:marTop w:val="0"/>
          <w:marBottom w:val="0"/>
          <w:divBdr>
            <w:top w:val="none" w:sz="0" w:space="0" w:color="auto"/>
            <w:left w:val="none" w:sz="0" w:space="0" w:color="auto"/>
            <w:bottom w:val="none" w:sz="0" w:space="0" w:color="auto"/>
            <w:right w:val="none" w:sz="0" w:space="0" w:color="auto"/>
          </w:divBdr>
        </w:div>
        <w:div w:id="1258051574">
          <w:marLeft w:val="0"/>
          <w:marRight w:val="0"/>
          <w:marTop w:val="0"/>
          <w:marBottom w:val="0"/>
          <w:divBdr>
            <w:top w:val="none" w:sz="0" w:space="0" w:color="auto"/>
            <w:left w:val="none" w:sz="0" w:space="0" w:color="auto"/>
            <w:bottom w:val="none" w:sz="0" w:space="0" w:color="auto"/>
            <w:right w:val="none" w:sz="0" w:space="0" w:color="auto"/>
          </w:divBdr>
        </w:div>
        <w:div w:id="493958156">
          <w:marLeft w:val="0"/>
          <w:marRight w:val="0"/>
          <w:marTop w:val="0"/>
          <w:marBottom w:val="0"/>
          <w:divBdr>
            <w:top w:val="none" w:sz="0" w:space="0" w:color="auto"/>
            <w:left w:val="none" w:sz="0" w:space="0" w:color="auto"/>
            <w:bottom w:val="none" w:sz="0" w:space="0" w:color="auto"/>
            <w:right w:val="none" w:sz="0" w:space="0" w:color="auto"/>
          </w:divBdr>
        </w:div>
        <w:div w:id="1410999110">
          <w:marLeft w:val="0"/>
          <w:marRight w:val="0"/>
          <w:marTop w:val="0"/>
          <w:marBottom w:val="0"/>
          <w:divBdr>
            <w:top w:val="none" w:sz="0" w:space="0" w:color="auto"/>
            <w:left w:val="none" w:sz="0" w:space="0" w:color="auto"/>
            <w:bottom w:val="none" w:sz="0" w:space="0" w:color="auto"/>
            <w:right w:val="none" w:sz="0" w:space="0" w:color="auto"/>
          </w:divBdr>
        </w:div>
        <w:div w:id="1100839018">
          <w:marLeft w:val="0"/>
          <w:marRight w:val="0"/>
          <w:marTop w:val="0"/>
          <w:marBottom w:val="0"/>
          <w:divBdr>
            <w:top w:val="none" w:sz="0" w:space="0" w:color="auto"/>
            <w:left w:val="none" w:sz="0" w:space="0" w:color="auto"/>
            <w:bottom w:val="none" w:sz="0" w:space="0" w:color="auto"/>
            <w:right w:val="none" w:sz="0" w:space="0" w:color="auto"/>
          </w:divBdr>
        </w:div>
        <w:div w:id="887449614">
          <w:marLeft w:val="0"/>
          <w:marRight w:val="0"/>
          <w:marTop w:val="0"/>
          <w:marBottom w:val="0"/>
          <w:divBdr>
            <w:top w:val="none" w:sz="0" w:space="0" w:color="auto"/>
            <w:left w:val="none" w:sz="0" w:space="0" w:color="auto"/>
            <w:bottom w:val="none" w:sz="0" w:space="0" w:color="auto"/>
            <w:right w:val="none" w:sz="0" w:space="0" w:color="auto"/>
          </w:divBdr>
        </w:div>
        <w:div w:id="1990858478">
          <w:marLeft w:val="0"/>
          <w:marRight w:val="0"/>
          <w:marTop w:val="0"/>
          <w:marBottom w:val="0"/>
          <w:divBdr>
            <w:top w:val="none" w:sz="0" w:space="0" w:color="auto"/>
            <w:left w:val="none" w:sz="0" w:space="0" w:color="auto"/>
            <w:bottom w:val="none" w:sz="0" w:space="0" w:color="auto"/>
            <w:right w:val="none" w:sz="0" w:space="0" w:color="auto"/>
          </w:divBdr>
        </w:div>
        <w:div w:id="799418953">
          <w:marLeft w:val="0"/>
          <w:marRight w:val="0"/>
          <w:marTop w:val="0"/>
          <w:marBottom w:val="0"/>
          <w:divBdr>
            <w:top w:val="none" w:sz="0" w:space="0" w:color="auto"/>
            <w:left w:val="none" w:sz="0" w:space="0" w:color="auto"/>
            <w:bottom w:val="none" w:sz="0" w:space="0" w:color="auto"/>
            <w:right w:val="none" w:sz="0" w:space="0" w:color="auto"/>
          </w:divBdr>
        </w:div>
        <w:div w:id="1328709123">
          <w:marLeft w:val="0"/>
          <w:marRight w:val="0"/>
          <w:marTop w:val="0"/>
          <w:marBottom w:val="0"/>
          <w:divBdr>
            <w:top w:val="none" w:sz="0" w:space="0" w:color="auto"/>
            <w:left w:val="none" w:sz="0" w:space="0" w:color="auto"/>
            <w:bottom w:val="none" w:sz="0" w:space="0" w:color="auto"/>
            <w:right w:val="none" w:sz="0" w:space="0" w:color="auto"/>
          </w:divBdr>
        </w:div>
        <w:div w:id="1481381333">
          <w:marLeft w:val="0"/>
          <w:marRight w:val="0"/>
          <w:marTop w:val="0"/>
          <w:marBottom w:val="0"/>
          <w:divBdr>
            <w:top w:val="none" w:sz="0" w:space="0" w:color="auto"/>
            <w:left w:val="none" w:sz="0" w:space="0" w:color="auto"/>
            <w:bottom w:val="none" w:sz="0" w:space="0" w:color="auto"/>
            <w:right w:val="none" w:sz="0" w:space="0" w:color="auto"/>
          </w:divBdr>
        </w:div>
        <w:div w:id="179973716">
          <w:marLeft w:val="0"/>
          <w:marRight w:val="0"/>
          <w:marTop w:val="0"/>
          <w:marBottom w:val="0"/>
          <w:divBdr>
            <w:top w:val="none" w:sz="0" w:space="0" w:color="auto"/>
            <w:left w:val="none" w:sz="0" w:space="0" w:color="auto"/>
            <w:bottom w:val="none" w:sz="0" w:space="0" w:color="auto"/>
            <w:right w:val="none" w:sz="0" w:space="0" w:color="auto"/>
          </w:divBdr>
        </w:div>
        <w:div w:id="1772776675">
          <w:marLeft w:val="0"/>
          <w:marRight w:val="0"/>
          <w:marTop w:val="0"/>
          <w:marBottom w:val="0"/>
          <w:divBdr>
            <w:top w:val="none" w:sz="0" w:space="0" w:color="auto"/>
            <w:left w:val="none" w:sz="0" w:space="0" w:color="auto"/>
            <w:bottom w:val="none" w:sz="0" w:space="0" w:color="auto"/>
            <w:right w:val="none" w:sz="0" w:space="0" w:color="auto"/>
          </w:divBdr>
        </w:div>
        <w:div w:id="2069647237">
          <w:marLeft w:val="0"/>
          <w:marRight w:val="0"/>
          <w:marTop w:val="0"/>
          <w:marBottom w:val="0"/>
          <w:divBdr>
            <w:top w:val="none" w:sz="0" w:space="0" w:color="auto"/>
            <w:left w:val="none" w:sz="0" w:space="0" w:color="auto"/>
            <w:bottom w:val="none" w:sz="0" w:space="0" w:color="auto"/>
            <w:right w:val="none" w:sz="0" w:space="0" w:color="auto"/>
          </w:divBdr>
        </w:div>
        <w:div w:id="834538222">
          <w:marLeft w:val="0"/>
          <w:marRight w:val="0"/>
          <w:marTop w:val="0"/>
          <w:marBottom w:val="0"/>
          <w:divBdr>
            <w:top w:val="none" w:sz="0" w:space="0" w:color="auto"/>
            <w:left w:val="none" w:sz="0" w:space="0" w:color="auto"/>
            <w:bottom w:val="none" w:sz="0" w:space="0" w:color="auto"/>
            <w:right w:val="none" w:sz="0" w:space="0" w:color="auto"/>
          </w:divBdr>
        </w:div>
        <w:div w:id="1696072632">
          <w:marLeft w:val="0"/>
          <w:marRight w:val="0"/>
          <w:marTop w:val="0"/>
          <w:marBottom w:val="0"/>
          <w:divBdr>
            <w:top w:val="none" w:sz="0" w:space="0" w:color="auto"/>
            <w:left w:val="none" w:sz="0" w:space="0" w:color="auto"/>
            <w:bottom w:val="none" w:sz="0" w:space="0" w:color="auto"/>
            <w:right w:val="none" w:sz="0" w:space="0" w:color="auto"/>
          </w:divBdr>
        </w:div>
        <w:div w:id="1066757049">
          <w:marLeft w:val="0"/>
          <w:marRight w:val="0"/>
          <w:marTop w:val="0"/>
          <w:marBottom w:val="0"/>
          <w:divBdr>
            <w:top w:val="none" w:sz="0" w:space="0" w:color="auto"/>
            <w:left w:val="none" w:sz="0" w:space="0" w:color="auto"/>
            <w:bottom w:val="none" w:sz="0" w:space="0" w:color="auto"/>
            <w:right w:val="none" w:sz="0" w:space="0" w:color="auto"/>
          </w:divBdr>
        </w:div>
        <w:div w:id="1385837627">
          <w:marLeft w:val="0"/>
          <w:marRight w:val="0"/>
          <w:marTop w:val="0"/>
          <w:marBottom w:val="0"/>
          <w:divBdr>
            <w:top w:val="none" w:sz="0" w:space="0" w:color="auto"/>
            <w:left w:val="none" w:sz="0" w:space="0" w:color="auto"/>
            <w:bottom w:val="none" w:sz="0" w:space="0" w:color="auto"/>
            <w:right w:val="none" w:sz="0" w:space="0" w:color="auto"/>
          </w:divBdr>
        </w:div>
        <w:div w:id="1651519702">
          <w:marLeft w:val="0"/>
          <w:marRight w:val="0"/>
          <w:marTop w:val="0"/>
          <w:marBottom w:val="0"/>
          <w:divBdr>
            <w:top w:val="none" w:sz="0" w:space="0" w:color="auto"/>
            <w:left w:val="none" w:sz="0" w:space="0" w:color="auto"/>
            <w:bottom w:val="none" w:sz="0" w:space="0" w:color="auto"/>
            <w:right w:val="none" w:sz="0" w:space="0" w:color="auto"/>
          </w:divBdr>
        </w:div>
        <w:div w:id="253514439">
          <w:marLeft w:val="0"/>
          <w:marRight w:val="0"/>
          <w:marTop w:val="0"/>
          <w:marBottom w:val="0"/>
          <w:divBdr>
            <w:top w:val="none" w:sz="0" w:space="0" w:color="auto"/>
            <w:left w:val="none" w:sz="0" w:space="0" w:color="auto"/>
            <w:bottom w:val="none" w:sz="0" w:space="0" w:color="auto"/>
            <w:right w:val="none" w:sz="0" w:space="0" w:color="auto"/>
          </w:divBdr>
        </w:div>
        <w:div w:id="1291859709">
          <w:marLeft w:val="0"/>
          <w:marRight w:val="0"/>
          <w:marTop w:val="0"/>
          <w:marBottom w:val="0"/>
          <w:divBdr>
            <w:top w:val="none" w:sz="0" w:space="0" w:color="auto"/>
            <w:left w:val="none" w:sz="0" w:space="0" w:color="auto"/>
            <w:bottom w:val="none" w:sz="0" w:space="0" w:color="auto"/>
            <w:right w:val="none" w:sz="0" w:space="0" w:color="auto"/>
          </w:divBdr>
        </w:div>
        <w:div w:id="263463275">
          <w:marLeft w:val="0"/>
          <w:marRight w:val="0"/>
          <w:marTop w:val="0"/>
          <w:marBottom w:val="0"/>
          <w:divBdr>
            <w:top w:val="none" w:sz="0" w:space="0" w:color="auto"/>
            <w:left w:val="none" w:sz="0" w:space="0" w:color="auto"/>
            <w:bottom w:val="none" w:sz="0" w:space="0" w:color="auto"/>
            <w:right w:val="none" w:sz="0" w:space="0" w:color="auto"/>
          </w:divBdr>
        </w:div>
        <w:div w:id="376049015">
          <w:marLeft w:val="0"/>
          <w:marRight w:val="0"/>
          <w:marTop w:val="0"/>
          <w:marBottom w:val="0"/>
          <w:divBdr>
            <w:top w:val="none" w:sz="0" w:space="0" w:color="auto"/>
            <w:left w:val="none" w:sz="0" w:space="0" w:color="auto"/>
            <w:bottom w:val="none" w:sz="0" w:space="0" w:color="auto"/>
            <w:right w:val="none" w:sz="0" w:space="0" w:color="auto"/>
          </w:divBdr>
        </w:div>
        <w:div w:id="441413677">
          <w:marLeft w:val="0"/>
          <w:marRight w:val="0"/>
          <w:marTop w:val="0"/>
          <w:marBottom w:val="0"/>
          <w:divBdr>
            <w:top w:val="none" w:sz="0" w:space="0" w:color="auto"/>
            <w:left w:val="none" w:sz="0" w:space="0" w:color="auto"/>
            <w:bottom w:val="none" w:sz="0" w:space="0" w:color="auto"/>
            <w:right w:val="none" w:sz="0" w:space="0" w:color="auto"/>
          </w:divBdr>
        </w:div>
        <w:div w:id="427232981">
          <w:marLeft w:val="0"/>
          <w:marRight w:val="0"/>
          <w:marTop w:val="0"/>
          <w:marBottom w:val="0"/>
          <w:divBdr>
            <w:top w:val="none" w:sz="0" w:space="0" w:color="auto"/>
            <w:left w:val="none" w:sz="0" w:space="0" w:color="auto"/>
            <w:bottom w:val="none" w:sz="0" w:space="0" w:color="auto"/>
            <w:right w:val="none" w:sz="0" w:space="0" w:color="auto"/>
          </w:divBdr>
        </w:div>
        <w:div w:id="180557431">
          <w:marLeft w:val="0"/>
          <w:marRight w:val="0"/>
          <w:marTop w:val="0"/>
          <w:marBottom w:val="0"/>
          <w:divBdr>
            <w:top w:val="none" w:sz="0" w:space="0" w:color="auto"/>
            <w:left w:val="none" w:sz="0" w:space="0" w:color="auto"/>
            <w:bottom w:val="none" w:sz="0" w:space="0" w:color="auto"/>
            <w:right w:val="none" w:sz="0" w:space="0" w:color="auto"/>
          </w:divBdr>
        </w:div>
        <w:div w:id="1817448233">
          <w:marLeft w:val="0"/>
          <w:marRight w:val="0"/>
          <w:marTop w:val="0"/>
          <w:marBottom w:val="0"/>
          <w:divBdr>
            <w:top w:val="none" w:sz="0" w:space="0" w:color="auto"/>
            <w:left w:val="none" w:sz="0" w:space="0" w:color="auto"/>
            <w:bottom w:val="none" w:sz="0" w:space="0" w:color="auto"/>
            <w:right w:val="none" w:sz="0" w:space="0" w:color="auto"/>
          </w:divBdr>
        </w:div>
        <w:div w:id="838040692">
          <w:marLeft w:val="0"/>
          <w:marRight w:val="0"/>
          <w:marTop w:val="0"/>
          <w:marBottom w:val="0"/>
          <w:divBdr>
            <w:top w:val="none" w:sz="0" w:space="0" w:color="auto"/>
            <w:left w:val="none" w:sz="0" w:space="0" w:color="auto"/>
            <w:bottom w:val="none" w:sz="0" w:space="0" w:color="auto"/>
            <w:right w:val="none" w:sz="0" w:space="0" w:color="auto"/>
          </w:divBdr>
        </w:div>
        <w:div w:id="377096188">
          <w:marLeft w:val="0"/>
          <w:marRight w:val="0"/>
          <w:marTop w:val="0"/>
          <w:marBottom w:val="0"/>
          <w:divBdr>
            <w:top w:val="none" w:sz="0" w:space="0" w:color="auto"/>
            <w:left w:val="none" w:sz="0" w:space="0" w:color="auto"/>
            <w:bottom w:val="none" w:sz="0" w:space="0" w:color="auto"/>
            <w:right w:val="none" w:sz="0" w:space="0" w:color="auto"/>
          </w:divBdr>
        </w:div>
        <w:div w:id="1781795171">
          <w:marLeft w:val="0"/>
          <w:marRight w:val="0"/>
          <w:marTop w:val="0"/>
          <w:marBottom w:val="0"/>
          <w:divBdr>
            <w:top w:val="none" w:sz="0" w:space="0" w:color="auto"/>
            <w:left w:val="none" w:sz="0" w:space="0" w:color="auto"/>
            <w:bottom w:val="none" w:sz="0" w:space="0" w:color="auto"/>
            <w:right w:val="none" w:sz="0" w:space="0" w:color="auto"/>
          </w:divBdr>
        </w:div>
        <w:div w:id="876509286">
          <w:marLeft w:val="0"/>
          <w:marRight w:val="0"/>
          <w:marTop w:val="0"/>
          <w:marBottom w:val="0"/>
          <w:divBdr>
            <w:top w:val="none" w:sz="0" w:space="0" w:color="auto"/>
            <w:left w:val="none" w:sz="0" w:space="0" w:color="auto"/>
            <w:bottom w:val="none" w:sz="0" w:space="0" w:color="auto"/>
            <w:right w:val="none" w:sz="0" w:space="0" w:color="auto"/>
          </w:divBdr>
        </w:div>
        <w:div w:id="84620973">
          <w:marLeft w:val="0"/>
          <w:marRight w:val="0"/>
          <w:marTop w:val="0"/>
          <w:marBottom w:val="0"/>
          <w:divBdr>
            <w:top w:val="none" w:sz="0" w:space="0" w:color="auto"/>
            <w:left w:val="none" w:sz="0" w:space="0" w:color="auto"/>
            <w:bottom w:val="none" w:sz="0" w:space="0" w:color="auto"/>
            <w:right w:val="none" w:sz="0" w:space="0" w:color="auto"/>
          </w:divBdr>
        </w:div>
        <w:div w:id="483082439">
          <w:marLeft w:val="0"/>
          <w:marRight w:val="0"/>
          <w:marTop w:val="0"/>
          <w:marBottom w:val="0"/>
          <w:divBdr>
            <w:top w:val="none" w:sz="0" w:space="0" w:color="auto"/>
            <w:left w:val="none" w:sz="0" w:space="0" w:color="auto"/>
            <w:bottom w:val="none" w:sz="0" w:space="0" w:color="auto"/>
            <w:right w:val="none" w:sz="0" w:space="0" w:color="auto"/>
          </w:divBdr>
        </w:div>
        <w:div w:id="698899145">
          <w:marLeft w:val="0"/>
          <w:marRight w:val="0"/>
          <w:marTop w:val="0"/>
          <w:marBottom w:val="0"/>
          <w:divBdr>
            <w:top w:val="none" w:sz="0" w:space="0" w:color="auto"/>
            <w:left w:val="none" w:sz="0" w:space="0" w:color="auto"/>
            <w:bottom w:val="none" w:sz="0" w:space="0" w:color="auto"/>
            <w:right w:val="none" w:sz="0" w:space="0" w:color="auto"/>
          </w:divBdr>
        </w:div>
        <w:div w:id="1987587629">
          <w:marLeft w:val="0"/>
          <w:marRight w:val="0"/>
          <w:marTop w:val="0"/>
          <w:marBottom w:val="0"/>
          <w:divBdr>
            <w:top w:val="none" w:sz="0" w:space="0" w:color="auto"/>
            <w:left w:val="none" w:sz="0" w:space="0" w:color="auto"/>
            <w:bottom w:val="none" w:sz="0" w:space="0" w:color="auto"/>
            <w:right w:val="none" w:sz="0" w:space="0" w:color="auto"/>
          </w:divBdr>
        </w:div>
        <w:div w:id="2116167347">
          <w:marLeft w:val="0"/>
          <w:marRight w:val="0"/>
          <w:marTop w:val="0"/>
          <w:marBottom w:val="0"/>
          <w:divBdr>
            <w:top w:val="none" w:sz="0" w:space="0" w:color="auto"/>
            <w:left w:val="none" w:sz="0" w:space="0" w:color="auto"/>
            <w:bottom w:val="none" w:sz="0" w:space="0" w:color="auto"/>
            <w:right w:val="none" w:sz="0" w:space="0" w:color="auto"/>
          </w:divBdr>
        </w:div>
        <w:div w:id="1152213170">
          <w:marLeft w:val="0"/>
          <w:marRight w:val="0"/>
          <w:marTop w:val="0"/>
          <w:marBottom w:val="0"/>
          <w:divBdr>
            <w:top w:val="none" w:sz="0" w:space="0" w:color="auto"/>
            <w:left w:val="none" w:sz="0" w:space="0" w:color="auto"/>
            <w:bottom w:val="none" w:sz="0" w:space="0" w:color="auto"/>
            <w:right w:val="none" w:sz="0" w:space="0" w:color="auto"/>
          </w:divBdr>
        </w:div>
        <w:div w:id="1014842888">
          <w:marLeft w:val="0"/>
          <w:marRight w:val="0"/>
          <w:marTop w:val="0"/>
          <w:marBottom w:val="0"/>
          <w:divBdr>
            <w:top w:val="none" w:sz="0" w:space="0" w:color="auto"/>
            <w:left w:val="none" w:sz="0" w:space="0" w:color="auto"/>
            <w:bottom w:val="none" w:sz="0" w:space="0" w:color="auto"/>
            <w:right w:val="none" w:sz="0" w:space="0" w:color="auto"/>
          </w:divBdr>
        </w:div>
        <w:div w:id="1275821486">
          <w:marLeft w:val="0"/>
          <w:marRight w:val="0"/>
          <w:marTop w:val="0"/>
          <w:marBottom w:val="0"/>
          <w:divBdr>
            <w:top w:val="none" w:sz="0" w:space="0" w:color="auto"/>
            <w:left w:val="none" w:sz="0" w:space="0" w:color="auto"/>
            <w:bottom w:val="none" w:sz="0" w:space="0" w:color="auto"/>
            <w:right w:val="none" w:sz="0" w:space="0" w:color="auto"/>
          </w:divBdr>
        </w:div>
        <w:div w:id="70945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7E8B85-29AF-4835-A686-86F8E03225D1}"/>
</file>

<file path=customXml/itemProps2.xml><?xml version="1.0" encoding="utf-8"?>
<ds:datastoreItem xmlns:ds="http://schemas.openxmlformats.org/officeDocument/2006/customXml" ds:itemID="{22BBD92B-BB35-4962-8B5F-63E9945AD007}"/>
</file>

<file path=customXml/itemProps3.xml><?xml version="1.0" encoding="utf-8"?>
<ds:datastoreItem xmlns:ds="http://schemas.openxmlformats.org/officeDocument/2006/customXml" ds:itemID="{07122F70-9696-4E1B-B99C-40A6C85F58F9}"/>
</file>

<file path=docProps/app.xml><?xml version="1.0" encoding="utf-8"?>
<Properties xmlns="http://schemas.openxmlformats.org/officeDocument/2006/extended-properties" xmlns:vt="http://schemas.openxmlformats.org/officeDocument/2006/docPropsVTypes">
  <Template>Normal.dotm</Template>
  <TotalTime>0</TotalTime>
  <Pages>13</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2018-03-30T07:56:00Z</cp:lastPrinted>
  <dcterms:created xsi:type="dcterms:W3CDTF">2018-04-13T08:33:00Z</dcterms:created>
  <dcterms:modified xsi:type="dcterms:W3CDTF">2018-04-13T08:33:00Z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139400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