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605" w:rsidRPr="00C52742" w:rsidRDefault="00E32605" w:rsidP="00E32605">
      <w:pPr>
        <w:jc w:val="center"/>
        <w:rPr>
          <w:b/>
        </w:rPr>
      </w:pPr>
      <w:bookmarkStart w:id="0" w:name="_GoBack"/>
      <w:bookmarkEnd w:id="0"/>
      <w:r w:rsidRPr="00C52742">
        <w:rPr>
          <w:b/>
        </w:rPr>
        <w:t>EMPLOYMENT RELATIONS TRIBUNAL</w:t>
      </w:r>
    </w:p>
    <w:p w:rsidR="00E32605" w:rsidRDefault="00E32605" w:rsidP="00E32605">
      <w:pPr>
        <w:ind w:firstLine="720"/>
        <w:jc w:val="center"/>
        <w:rPr>
          <w:b/>
        </w:rPr>
      </w:pPr>
    </w:p>
    <w:p w:rsidR="00E32605" w:rsidRPr="00C52742" w:rsidRDefault="00E32605" w:rsidP="00E32605">
      <w:pPr>
        <w:ind w:firstLine="720"/>
        <w:jc w:val="center"/>
        <w:rPr>
          <w:b/>
        </w:rPr>
      </w:pPr>
      <w:r>
        <w:rPr>
          <w:b/>
        </w:rPr>
        <w:t>AWARD</w:t>
      </w:r>
    </w:p>
    <w:p w:rsidR="00E32605" w:rsidRPr="00C52742" w:rsidRDefault="00E32605" w:rsidP="00E32605">
      <w:pPr>
        <w:jc w:val="center"/>
        <w:rPr>
          <w:b/>
        </w:rPr>
      </w:pPr>
    </w:p>
    <w:p w:rsidR="00E32605" w:rsidRPr="00C52742" w:rsidRDefault="00E32605" w:rsidP="00E32605">
      <w:pPr>
        <w:jc w:val="left"/>
        <w:rPr>
          <w:b/>
        </w:rPr>
      </w:pPr>
      <w:r w:rsidRPr="00C52742">
        <w:rPr>
          <w:b/>
        </w:rPr>
        <w:t xml:space="preserve">RN </w:t>
      </w:r>
      <w:r>
        <w:rPr>
          <w:b/>
        </w:rPr>
        <w:t>179/</w:t>
      </w:r>
      <w:r w:rsidRPr="00C52742">
        <w:rPr>
          <w:b/>
        </w:rPr>
        <w:t>15</w:t>
      </w:r>
    </w:p>
    <w:p w:rsidR="00E32605" w:rsidRPr="00C52742" w:rsidRDefault="00E32605" w:rsidP="00E32605">
      <w:pPr>
        <w:jc w:val="center"/>
        <w:rPr>
          <w:b/>
        </w:rPr>
      </w:pPr>
    </w:p>
    <w:p w:rsidR="00E32605" w:rsidRDefault="00E32605" w:rsidP="00E32605">
      <w:pPr>
        <w:rPr>
          <w:b/>
        </w:rPr>
      </w:pPr>
    </w:p>
    <w:p w:rsidR="00E32605" w:rsidRDefault="00E32605" w:rsidP="00E32605">
      <w:pPr>
        <w:rPr>
          <w:b/>
        </w:rPr>
      </w:pPr>
      <w:r>
        <w:rPr>
          <w:b/>
        </w:rPr>
        <w:t>Before:</w:t>
      </w:r>
      <w:r>
        <w:rPr>
          <w:b/>
        </w:rPr>
        <w:tab/>
        <w:t>Indiren Sivaramen</w:t>
      </w:r>
      <w:r>
        <w:rPr>
          <w:b/>
        </w:rPr>
        <w:tab/>
      </w:r>
      <w:r>
        <w:rPr>
          <w:b/>
        </w:rPr>
        <w:tab/>
      </w:r>
      <w:r>
        <w:rPr>
          <w:b/>
        </w:rPr>
        <w:tab/>
      </w:r>
      <w:r>
        <w:rPr>
          <w:b/>
        </w:rPr>
        <w:tab/>
        <w:t>-</w:t>
      </w:r>
      <w:r>
        <w:rPr>
          <w:b/>
        </w:rPr>
        <w:tab/>
        <w:t>Vice-President</w:t>
      </w:r>
    </w:p>
    <w:p w:rsidR="00E32605" w:rsidRDefault="00E32605" w:rsidP="00E32605">
      <w:pPr>
        <w:rPr>
          <w:b/>
        </w:rPr>
      </w:pPr>
      <w:r>
        <w:rPr>
          <w:b/>
        </w:rPr>
        <w:tab/>
      </w:r>
      <w:r>
        <w:rPr>
          <w:b/>
        </w:rPr>
        <w:tab/>
        <w:t xml:space="preserve">Vijay Kumar Mohit </w:t>
      </w:r>
      <w:r>
        <w:rPr>
          <w:b/>
        </w:rPr>
        <w:tab/>
      </w:r>
      <w:r>
        <w:rPr>
          <w:b/>
        </w:rPr>
        <w:tab/>
      </w:r>
      <w:r>
        <w:rPr>
          <w:b/>
        </w:rPr>
        <w:tab/>
        <w:t>-</w:t>
      </w:r>
      <w:r>
        <w:rPr>
          <w:b/>
        </w:rPr>
        <w:tab/>
        <w:t>Member</w:t>
      </w:r>
    </w:p>
    <w:p w:rsidR="00E32605" w:rsidRDefault="00E32605" w:rsidP="00E32605">
      <w:pPr>
        <w:rPr>
          <w:b/>
        </w:rPr>
      </w:pPr>
      <w:r>
        <w:rPr>
          <w:b/>
        </w:rPr>
        <w:tab/>
      </w:r>
      <w:r>
        <w:rPr>
          <w:b/>
        </w:rPr>
        <w:tab/>
        <w:t>Jay Komarduth Hurry</w:t>
      </w:r>
      <w:r>
        <w:rPr>
          <w:b/>
        </w:rPr>
        <w:tab/>
      </w:r>
      <w:r>
        <w:rPr>
          <w:b/>
        </w:rPr>
        <w:tab/>
      </w:r>
      <w:r>
        <w:rPr>
          <w:b/>
        </w:rPr>
        <w:tab/>
        <w:t>-</w:t>
      </w:r>
      <w:r>
        <w:rPr>
          <w:b/>
        </w:rPr>
        <w:tab/>
        <w:t>Member</w:t>
      </w:r>
    </w:p>
    <w:p w:rsidR="00E32605" w:rsidRDefault="00E32605" w:rsidP="00E32605">
      <w:pPr>
        <w:rPr>
          <w:b/>
        </w:rPr>
      </w:pPr>
      <w:r>
        <w:rPr>
          <w:b/>
        </w:rPr>
        <w:tab/>
      </w:r>
      <w:r>
        <w:rPr>
          <w:b/>
        </w:rPr>
        <w:tab/>
        <w:t>Georges Karl Louis</w:t>
      </w:r>
      <w:r>
        <w:rPr>
          <w:b/>
        </w:rPr>
        <w:tab/>
      </w:r>
      <w:r>
        <w:rPr>
          <w:b/>
        </w:rPr>
        <w:tab/>
      </w:r>
      <w:r>
        <w:rPr>
          <w:b/>
        </w:rPr>
        <w:tab/>
        <w:t>-</w:t>
      </w:r>
      <w:r>
        <w:rPr>
          <w:b/>
        </w:rPr>
        <w:tab/>
        <w:t>Member</w:t>
      </w:r>
      <w:r>
        <w:rPr>
          <w:b/>
        </w:rPr>
        <w:tab/>
      </w:r>
    </w:p>
    <w:p w:rsidR="00E32605" w:rsidRDefault="00E32605" w:rsidP="00E32605">
      <w:pPr>
        <w:jc w:val="left"/>
        <w:rPr>
          <w:b/>
        </w:rPr>
      </w:pPr>
    </w:p>
    <w:p w:rsidR="00E32605" w:rsidRDefault="00E32605" w:rsidP="00E32605">
      <w:pPr>
        <w:jc w:val="left"/>
        <w:rPr>
          <w:b/>
        </w:rPr>
      </w:pPr>
    </w:p>
    <w:p w:rsidR="00E32605" w:rsidRPr="00C52742" w:rsidRDefault="00E32605" w:rsidP="00E32605">
      <w:pPr>
        <w:jc w:val="left"/>
        <w:rPr>
          <w:b/>
        </w:rPr>
      </w:pPr>
      <w:r w:rsidRPr="00C52742">
        <w:rPr>
          <w:b/>
        </w:rPr>
        <w:t>In the matter of:-</w:t>
      </w:r>
    </w:p>
    <w:p w:rsidR="00E32605" w:rsidRPr="007C2686" w:rsidRDefault="00E32605" w:rsidP="00E32605">
      <w:pPr>
        <w:jc w:val="center"/>
      </w:pPr>
    </w:p>
    <w:p w:rsidR="00E32605" w:rsidRPr="00C52742" w:rsidRDefault="00E32605" w:rsidP="00E32605">
      <w:pPr>
        <w:jc w:val="center"/>
        <w:rPr>
          <w:b/>
        </w:rPr>
      </w:pPr>
      <w:r w:rsidRPr="00C52742">
        <w:rPr>
          <w:b/>
        </w:rPr>
        <w:t>Mr</w:t>
      </w:r>
      <w:r>
        <w:rPr>
          <w:b/>
        </w:rPr>
        <w:t>s</w:t>
      </w:r>
      <w:r w:rsidRPr="00C52742">
        <w:rPr>
          <w:b/>
        </w:rPr>
        <w:t xml:space="preserve"> </w:t>
      </w:r>
      <w:proofErr w:type="spellStart"/>
      <w:r>
        <w:rPr>
          <w:b/>
        </w:rPr>
        <w:t>Madhyawatee</w:t>
      </w:r>
      <w:proofErr w:type="spellEnd"/>
      <w:r>
        <w:rPr>
          <w:b/>
        </w:rPr>
        <w:t xml:space="preserve"> Rambaree (</w:t>
      </w:r>
      <w:r w:rsidRPr="00C52742">
        <w:rPr>
          <w:b/>
        </w:rPr>
        <w:t>Disputant)</w:t>
      </w:r>
    </w:p>
    <w:p w:rsidR="00E32605" w:rsidRPr="00C52742" w:rsidRDefault="00E32605" w:rsidP="00E32605">
      <w:pPr>
        <w:jc w:val="center"/>
        <w:rPr>
          <w:b/>
        </w:rPr>
      </w:pPr>
    </w:p>
    <w:p w:rsidR="00E32605" w:rsidRPr="00C52742" w:rsidRDefault="00E32605" w:rsidP="00E32605">
      <w:pPr>
        <w:jc w:val="center"/>
        <w:rPr>
          <w:b/>
        </w:rPr>
      </w:pPr>
      <w:r w:rsidRPr="00C52742">
        <w:rPr>
          <w:b/>
        </w:rPr>
        <w:t>And</w:t>
      </w:r>
    </w:p>
    <w:p w:rsidR="00E32605" w:rsidRPr="00C52742" w:rsidRDefault="00E32605" w:rsidP="00E32605">
      <w:pPr>
        <w:rPr>
          <w:b/>
        </w:rPr>
      </w:pPr>
    </w:p>
    <w:p w:rsidR="00E32605" w:rsidRDefault="00E32605" w:rsidP="00E32605">
      <w:pPr>
        <w:ind w:left="720" w:firstLine="720"/>
        <w:jc w:val="center"/>
        <w:rPr>
          <w:b/>
        </w:rPr>
      </w:pPr>
      <w:r>
        <w:rPr>
          <w:b/>
        </w:rPr>
        <w:t xml:space="preserve">Central Water Authority </w:t>
      </w:r>
      <w:r w:rsidRPr="00C52742">
        <w:rPr>
          <w:b/>
        </w:rPr>
        <w:t>(Respondent)</w:t>
      </w:r>
    </w:p>
    <w:p w:rsidR="00E32605" w:rsidRDefault="00E32605" w:rsidP="00E32605">
      <w:pPr>
        <w:ind w:left="720" w:firstLine="720"/>
        <w:jc w:val="center"/>
        <w:rPr>
          <w:b/>
        </w:rPr>
      </w:pPr>
    </w:p>
    <w:p w:rsidR="00E32605" w:rsidRPr="00C52742" w:rsidRDefault="00E32605" w:rsidP="00E32605">
      <w:pPr>
        <w:ind w:left="720" w:firstLine="720"/>
        <w:jc w:val="center"/>
        <w:rPr>
          <w:b/>
        </w:rPr>
      </w:pPr>
      <w:r>
        <w:rPr>
          <w:b/>
        </w:rPr>
        <w:t>i.p.o: The Union of Employees of the Central Water Authority (Co-Respondent)</w:t>
      </w:r>
    </w:p>
    <w:p w:rsidR="00E32605" w:rsidRDefault="00E32605" w:rsidP="00E32605"/>
    <w:p w:rsidR="00E32605" w:rsidRDefault="00E32605" w:rsidP="00E32605"/>
    <w:p w:rsidR="00E32605" w:rsidRDefault="00E32605" w:rsidP="00E32605">
      <w:r w:rsidRPr="007C2686">
        <w:t xml:space="preserve">The </w:t>
      </w:r>
      <w:r>
        <w:t>above case has been referred to the Tribunal for arbitration in terms of Section 69(7) of the Employment Relations Act 2008 (the “Act”).  The Co-Respondent has been joined as a party in the present matter with the agreement of both the Disputant and Respondent.</w:t>
      </w:r>
    </w:p>
    <w:p w:rsidR="00E32605" w:rsidRDefault="00E32605" w:rsidP="00E32605">
      <w:r>
        <w:t xml:space="preserve"> </w:t>
      </w:r>
    </w:p>
    <w:p w:rsidR="00E32605" w:rsidRDefault="00E32605" w:rsidP="00E32605">
      <w:r>
        <w:t>The terms of reference read as follows:</w:t>
      </w:r>
    </w:p>
    <w:p w:rsidR="00E32605" w:rsidRDefault="00E32605" w:rsidP="00E32605"/>
    <w:p w:rsidR="00E32605" w:rsidRPr="00256DAD" w:rsidRDefault="00E32605" w:rsidP="00E32605">
      <w:pPr>
        <w:rPr>
          <w:i/>
        </w:rPr>
      </w:pPr>
      <w:r w:rsidRPr="00256DAD">
        <w:rPr>
          <w:b/>
          <w:i/>
        </w:rPr>
        <w:t>“</w:t>
      </w:r>
      <w:r w:rsidRPr="00256DAD">
        <w:rPr>
          <w:i/>
        </w:rPr>
        <w:t>Whether</w:t>
      </w:r>
      <w:r w:rsidRPr="00256DAD">
        <w:rPr>
          <w:b/>
          <w:i/>
        </w:rPr>
        <w:t xml:space="preserve"> </w:t>
      </w:r>
      <w:r w:rsidRPr="00256DAD">
        <w:rPr>
          <w:i/>
        </w:rPr>
        <w:t xml:space="preserve">I, </w:t>
      </w:r>
      <w:r>
        <w:rPr>
          <w:i/>
        </w:rPr>
        <w:t xml:space="preserve">Mrs </w:t>
      </w:r>
      <w:proofErr w:type="spellStart"/>
      <w:r>
        <w:rPr>
          <w:i/>
        </w:rPr>
        <w:t>Madhyawatee</w:t>
      </w:r>
      <w:proofErr w:type="spellEnd"/>
      <w:r>
        <w:rPr>
          <w:i/>
        </w:rPr>
        <w:t xml:space="preserve"> Rambaree</w:t>
      </w:r>
      <w:r w:rsidRPr="00256DAD">
        <w:rPr>
          <w:i/>
        </w:rPr>
        <w:t>,</w:t>
      </w:r>
      <w:r>
        <w:rPr>
          <w:i/>
        </w:rPr>
        <w:t xml:space="preserve"> </w:t>
      </w:r>
      <w:proofErr w:type="spellStart"/>
      <w:r>
        <w:rPr>
          <w:i/>
        </w:rPr>
        <w:t>ClericalOfficer</w:t>
      </w:r>
      <w:proofErr w:type="spellEnd"/>
      <w:r>
        <w:rPr>
          <w:i/>
        </w:rPr>
        <w:t>/Higher Clerical Officer,</w:t>
      </w:r>
      <w:r w:rsidRPr="00256DAD">
        <w:rPr>
          <w:i/>
        </w:rPr>
        <w:t xml:space="preserve"> posted to the Central Water Authority sub-office of </w:t>
      </w:r>
      <w:proofErr w:type="spellStart"/>
      <w:r w:rsidRPr="00256DAD">
        <w:rPr>
          <w:i/>
        </w:rPr>
        <w:t>Pamplemousses</w:t>
      </w:r>
      <w:proofErr w:type="spellEnd"/>
      <w:r w:rsidRPr="00256DAD">
        <w:rPr>
          <w:i/>
        </w:rPr>
        <w:t xml:space="preserve"> should be paid the waste water allowance of 10% of my gross salary as other colleagues posted to other CWA regions for attending waste water queries and complaints in addition to my normal duties at CWA with effect from 15 October 2013.”  </w:t>
      </w:r>
    </w:p>
    <w:p w:rsidR="00E32605" w:rsidRDefault="00E32605" w:rsidP="00E32605">
      <w:pPr>
        <w:rPr>
          <w:b/>
        </w:rPr>
      </w:pPr>
    </w:p>
    <w:p w:rsidR="00FC1879" w:rsidRDefault="00E32605" w:rsidP="00E32605">
      <w:r w:rsidRPr="001C241C">
        <w:t>Mr</w:t>
      </w:r>
      <w:r>
        <w:t>s</w:t>
      </w:r>
      <w:r w:rsidR="00C9784A">
        <w:t xml:space="preserve"> Rambaree deposed before the Tribunal and she stated that </w:t>
      </w:r>
      <w:r w:rsidR="00EF44BC">
        <w:t xml:space="preserve">she is working as Management Support Officer at the Customer Care Service at </w:t>
      </w:r>
      <w:proofErr w:type="spellStart"/>
      <w:r w:rsidR="00EF44BC">
        <w:t>Pamplemousses</w:t>
      </w:r>
      <w:proofErr w:type="spellEnd"/>
      <w:r w:rsidR="00EF44BC">
        <w:t xml:space="preserve"> sub-office.  </w:t>
      </w:r>
      <w:r w:rsidR="00363F9E">
        <w:t xml:space="preserve">She is doing the job of Public Relation Officer but is not receiving any waste water allowance.  She states that </w:t>
      </w:r>
      <w:r w:rsidR="0052069E">
        <w:t>she does all the work such as new supply</w:t>
      </w:r>
      <w:r w:rsidR="00FC1879">
        <w:t xml:space="preserve"> and re-opening disconnection</w:t>
      </w:r>
      <w:r w:rsidR="0052069E">
        <w:t xml:space="preserve"> </w:t>
      </w:r>
      <w:r w:rsidR="00FC1879">
        <w:t xml:space="preserve">in relation to water and waste water but is not paid the waste water allowance.  She was doing the same job at Port-Louis </w:t>
      </w:r>
      <w:proofErr w:type="spellStart"/>
      <w:r w:rsidR="00FC1879">
        <w:t>Decaen</w:t>
      </w:r>
      <w:proofErr w:type="spellEnd"/>
      <w:r w:rsidR="00FC1879">
        <w:t xml:space="preserve"> office before that and was paid the allowance.  Since 2005, she is posted at </w:t>
      </w:r>
      <w:proofErr w:type="spellStart"/>
      <w:r w:rsidR="00FC1879">
        <w:t>Pamplemousses</w:t>
      </w:r>
      <w:proofErr w:type="spellEnd"/>
      <w:r w:rsidR="00FC1879">
        <w:t xml:space="preserve"> office and has not been paid the waste water allowance.</w:t>
      </w:r>
    </w:p>
    <w:p w:rsidR="00FC1879" w:rsidRDefault="00FC1879" w:rsidP="00E32605"/>
    <w:p w:rsidR="004E0529" w:rsidRDefault="00FC1879" w:rsidP="00E32605">
      <w:r>
        <w:t xml:space="preserve">She was then cross-examined in relation to </w:t>
      </w:r>
      <w:r w:rsidR="00711F52">
        <w:t xml:space="preserve">a report/award known as </w:t>
      </w:r>
      <w:r>
        <w:t xml:space="preserve">the </w:t>
      </w:r>
      <w:proofErr w:type="spellStart"/>
      <w:r>
        <w:t>Heeralall</w:t>
      </w:r>
      <w:proofErr w:type="spellEnd"/>
      <w:r>
        <w:t xml:space="preserve"> Report</w:t>
      </w:r>
      <w:r w:rsidR="00711F52">
        <w:t xml:space="preserve"> on the allocation of a Wastewater Management Authority allowance to the employees of Respondent</w:t>
      </w:r>
      <w:r>
        <w:t xml:space="preserve">.  She accepted that the said report specifically provides for areas within Mauritius where the sewerage water allowances should be paid.  </w:t>
      </w:r>
      <w:r w:rsidR="00940B76">
        <w:t>She added however that management should have known that sooner or later</w:t>
      </w:r>
      <w:r>
        <w:t xml:space="preserve"> </w:t>
      </w:r>
      <w:r w:rsidR="00940B76">
        <w:t xml:space="preserve">wastewater allowance would have become relevant at </w:t>
      </w:r>
      <w:proofErr w:type="spellStart"/>
      <w:r w:rsidR="00940B76">
        <w:t>Pamplemousses</w:t>
      </w:r>
      <w:proofErr w:type="spellEnd"/>
      <w:r w:rsidR="00940B76">
        <w:t xml:space="preserve"> office.  </w:t>
      </w:r>
      <w:r w:rsidR="000458E3">
        <w:t xml:space="preserve">She agreed that the Co-Respondent objected to a management committee set up by Management from proceeding with a review of the </w:t>
      </w:r>
      <w:proofErr w:type="spellStart"/>
      <w:r w:rsidR="000458E3">
        <w:t>Heeralall</w:t>
      </w:r>
      <w:proofErr w:type="spellEnd"/>
      <w:r w:rsidR="000458E3">
        <w:t xml:space="preserve"> Report.</w:t>
      </w:r>
      <w:r w:rsidR="00940B76">
        <w:t xml:space="preserve"> </w:t>
      </w:r>
      <w:r w:rsidR="000458E3">
        <w:t xml:space="preserve"> </w:t>
      </w:r>
      <w:r w:rsidR="00ED0119">
        <w:t xml:space="preserve">Following questions put to her by the representative of Co-Respondent, she </w:t>
      </w:r>
      <w:r w:rsidR="004E0529">
        <w:t xml:space="preserve">confirmed that she was doing the same duties at </w:t>
      </w:r>
      <w:proofErr w:type="spellStart"/>
      <w:r w:rsidR="004E0529">
        <w:t>Pamplemousses</w:t>
      </w:r>
      <w:proofErr w:type="spellEnd"/>
      <w:r w:rsidR="004E0529">
        <w:t xml:space="preserve"> as compared to her duties at </w:t>
      </w:r>
      <w:proofErr w:type="spellStart"/>
      <w:r w:rsidR="004E0529">
        <w:t>Decaen</w:t>
      </w:r>
      <w:proofErr w:type="spellEnd"/>
      <w:r w:rsidR="00711F52">
        <w:t xml:space="preserve"> office (Port-Louis)</w:t>
      </w:r>
      <w:r w:rsidR="004E0529">
        <w:t xml:space="preserve">.  </w:t>
      </w:r>
    </w:p>
    <w:p w:rsidR="004E0529" w:rsidRDefault="004E0529" w:rsidP="00E32605"/>
    <w:p w:rsidR="00513D5B" w:rsidRDefault="004E0529" w:rsidP="00E32605">
      <w:r>
        <w:t xml:space="preserve">Mrs Surfraz then deposed on behalf of </w:t>
      </w:r>
      <w:r w:rsidR="001951A4">
        <w:t>Respondent and sh</w:t>
      </w:r>
      <w:r w:rsidR="0074256A">
        <w:t>e</w:t>
      </w:r>
      <w:r w:rsidR="001951A4">
        <w:t xml:space="preserve"> </w:t>
      </w:r>
      <w:r w:rsidR="00062FD2">
        <w:t>confirmed that the contents of Respondent’s statement of case were correct.</w:t>
      </w:r>
      <w:r w:rsidR="00C45620">
        <w:t xml:space="preserve">  She stated that the </w:t>
      </w:r>
      <w:proofErr w:type="spellStart"/>
      <w:r w:rsidR="00C45620">
        <w:t>Heeralall</w:t>
      </w:r>
      <w:proofErr w:type="spellEnd"/>
      <w:r w:rsidR="00C45620">
        <w:t xml:space="preserve"> Report provided for the areas where there was then waste water connection and the grades of the eligible officers for the waste water allowance. </w:t>
      </w:r>
      <w:r w:rsidR="00062FD2">
        <w:t xml:space="preserve"> </w:t>
      </w:r>
      <w:r w:rsidR="00C45620">
        <w:t>She however conceded that there are new areas which are now covered by waste water connection.  Mrs Surfraz averred that Management had set up in 2008 a management committee</w:t>
      </w:r>
      <w:r w:rsidR="00062FD2">
        <w:t xml:space="preserve"> </w:t>
      </w:r>
      <w:r w:rsidR="00C45620">
        <w:t xml:space="preserve">to look into all new cases related to waste water allowance.  She stated that the union objected to same and requested for an independent committee to be set up instead.  The management committee was disbanded.  Respondent is agreeable </w:t>
      </w:r>
      <w:r w:rsidR="00513D5B">
        <w:t xml:space="preserve">to the appointment of an independent arbitrator to revise the </w:t>
      </w:r>
      <w:proofErr w:type="spellStart"/>
      <w:r w:rsidR="00513D5B">
        <w:t>Heeralall</w:t>
      </w:r>
      <w:proofErr w:type="spellEnd"/>
      <w:r w:rsidR="00513D5B">
        <w:t xml:space="preserve"> Report.</w:t>
      </w:r>
      <w:r w:rsidR="00BD1E91">
        <w:t xml:space="preserve">  In relation to one Mr Doomun, Mrs Surfraz stated that the latter was not appointed to review the </w:t>
      </w:r>
      <w:proofErr w:type="spellStart"/>
      <w:r w:rsidR="00BD1E91">
        <w:t>Heeralall</w:t>
      </w:r>
      <w:proofErr w:type="spellEnd"/>
      <w:r w:rsidR="00BD1E91">
        <w:t xml:space="preserve"> Report but he was to consider representations made by employees with regard to waste water allowance.  </w:t>
      </w:r>
    </w:p>
    <w:p w:rsidR="00513D5B" w:rsidRDefault="00513D5B" w:rsidP="00E32605"/>
    <w:p w:rsidR="00C34D48" w:rsidRDefault="00513D5B" w:rsidP="00E32605">
      <w:r>
        <w:t xml:space="preserve">Mrs Surfraz stated that there are other areas where there are now waste water connections and the </w:t>
      </w:r>
      <w:proofErr w:type="spellStart"/>
      <w:r>
        <w:t>Heeralall</w:t>
      </w:r>
      <w:proofErr w:type="spellEnd"/>
      <w:r>
        <w:t xml:space="preserve"> Report has to be reviewed</w:t>
      </w:r>
      <w:r w:rsidR="005420C0">
        <w:t xml:space="preserve">.  </w:t>
      </w:r>
      <w:r w:rsidR="006760BE">
        <w:t>To a question from</w:t>
      </w:r>
      <w:r>
        <w:t xml:space="preserve"> </w:t>
      </w:r>
      <w:r w:rsidR="006760BE">
        <w:t xml:space="preserve">Mr </w:t>
      </w:r>
      <w:proofErr w:type="spellStart"/>
      <w:r w:rsidR="006760BE">
        <w:t>Guness</w:t>
      </w:r>
      <w:proofErr w:type="spellEnd"/>
      <w:r w:rsidR="006760BE">
        <w:t xml:space="preserve"> representing Co-Respondent, she agreed that the case of Disputant constitutes ‘a new case which has arisen’.  </w:t>
      </w:r>
      <w:r w:rsidR="008A2588">
        <w:t xml:space="preserve">When asked if management has been guided by paragraphs 1.20 and 1.26 of the </w:t>
      </w:r>
      <w:proofErr w:type="spellStart"/>
      <w:r w:rsidR="008A2588">
        <w:t>Heeralall</w:t>
      </w:r>
      <w:proofErr w:type="spellEnd"/>
      <w:r w:rsidR="008A2588">
        <w:t xml:space="preserve"> Report, Mrs Surfraz stated that management was guided to set up a management committee.  Following the request from the union for an independent arbitrator, the Respondent is proceeding accordingly.</w:t>
      </w:r>
      <w:r w:rsidR="003D0A35">
        <w:t xml:space="preserve">  She stated that though Mr Doomun was perhaps independent, the latter was not a</w:t>
      </w:r>
      <w:r w:rsidR="00A665B1">
        <w:t>ppointed</w:t>
      </w:r>
      <w:r w:rsidR="003D0A35">
        <w:t xml:space="preserve"> to review the </w:t>
      </w:r>
      <w:proofErr w:type="spellStart"/>
      <w:r w:rsidR="003D0A35">
        <w:t>Heeralall</w:t>
      </w:r>
      <w:proofErr w:type="spellEnd"/>
      <w:r w:rsidR="003D0A35">
        <w:t xml:space="preserve"> Report.  </w:t>
      </w:r>
      <w:r w:rsidR="00562E2E">
        <w:t>Mrs Surfraz confirmed that Disputant</w:t>
      </w:r>
      <w:r w:rsidR="003D0A35">
        <w:t xml:space="preserve"> </w:t>
      </w:r>
      <w:r w:rsidR="00562E2E">
        <w:t xml:space="preserve">was doing additional duties when posted at </w:t>
      </w:r>
      <w:proofErr w:type="spellStart"/>
      <w:r w:rsidR="00562E2E">
        <w:t>Deca</w:t>
      </w:r>
      <w:r w:rsidR="00BD1E91">
        <w:t>en</w:t>
      </w:r>
      <w:proofErr w:type="spellEnd"/>
      <w:r w:rsidR="00562E2E">
        <w:t xml:space="preserve"> office and was paid accordingly but she could not say if she was also doing additional works at </w:t>
      </w:r>
      <w:proofErr w:type="spellStart"/>
      <w:r w:rsidR="00562E2E">
        <w:t>Pamplemousses</w:t>
      </w:r>
      <w:proofErr w:type="spellEnd"/>
      <w:r w:rsidR="00562E2E">
        <w:t xml:space="preserve"> sub-office.</w:t>
      </w:r>
      <w:r w:rsidR="003D0A35">
        <w:t xml:space="preserve">  </w:t>
      </w:r>
      <w:r w:rsidR="001A5C55">
        <w:t xml:space="preserve">She then </w:t>
      </w:r>
      <w:r w:rsidR="00E616BC">
        <w:t xml:space="preserve">averred that </w:t>
      </w:r>
      <w:r w:rsidR="001A5C55">
        <w:t xml:space="preserve">she </w:t>
      </w:r>
      <w:r w:rsidR="00E616BC">
        <w:t xml:space="preserve">told the </w:t>
      </w:r>
      <w:r w:rsidR="001A5C55">
        <w:t xml:space="preserve">supervising officer </w:t>
      </w:r>
      <w:r w:rsidR="00E616BC">
        <w:t>that if ever Disputant was entrusted with such additional</w:t>
      </w:r>
      <w:r w:rsidR="003D0A35">
        <w:t xml:space="preserve"> </w:t>
      </w:r>
      <w:r w:rsidR="00E616BC">
        <w:t>duties without receiving any corresponding all</w:t>
      </w:r>
      <w:r w:rsidR="005B1454">
        <w:t>o</w:t>
      </w:r>
      <w:r w:rsidR="00E616BC">
        <w:t xml:space="preserve">wance, </w:t>
      </w:r>
      <w:r w:rsidR="001A5C55">
        <w:t>Disputant</w:t>
      </w:r>
      <w:r w:rsidR="00E616BC">
        <w:t xml:space="preserve"> should not </w:t>
      </w:r>
      <w:r w:rsidR="001A5C55">
        <w:t xml:space="preserve">be </w:t>
      </w:r>
      <w:r w:rsidR="00E616BC">
        <w:t>perform</w:t>
      </w:r>
      <w:r w:rsidR="001A5C55">
        <w:t>ing</w:t>
      </w:r>
      <w:r w:rsidR="00E616BC">
        <w:t xml:space="preserve"> the said duties.</w:t>
      </w:r>
      <w:r w:rsidR="007474A9">
        <w:t xml:space="preserve">  </w:t>
      </w:r>
    </w:p>
    <w:p w:rsidR="00C21C7D" w:rsidRDefault="00E616BC" w:rsidP="00E32605">
      <w:r>
        <w:t xml:space="preserve">    </w:t>
      </w:r>
      <w:r w:rsidR="008A2588">
        <w:t xml:space="preserve">  </w:t>
      </w:r>
      <w:r w:rsidR="006760BE">
        <w:t xml:space="preserve">  </w:t>
      </w:r>
    </w:p>
    <w:p w:rsidR="00BB4C5C" w:rsidRDefault="001A5C55" w:rsidP="00BB4C5C">
      <w:r>
        <w:t xml:space="preserve">The representative of Co-Respondent did not depose or adduce evidence before us. The Tribunal has examined all the evidence on record including documents produced and the submission of counsel and concluding statement made by Mr </w:t>
      </w:r>
      <w:proofErr w:type="spellStart"/>
      <w:r>
        <w:t>Guness</w:t>
      </w:r>
      <w:proofErr w:type="spellEnd"/>
      <w:r>
        <w:t xml:space="preserve">.  </w:t>
      </w:r>
      <w:r w:rsidR="00BB4C5C">
        <w:t xml:space="preserve">A copy of the </w:t>
      </w:r>
      <w:proofErr w:type="spellStart"/>
      <w:r w:rsidR="00BB4C5C">
        <w:t>Heeralall</w:t>
      </w:r>
      <w:proofErr w:type="spellEnd"/>
      <w:r w:rsidR="00BB4C5C">
        <w:t xml:space="preserve"> Report has been annexed to the Statement of Case of the Co-Respondent and the provisions </w:t>
      </w:r>
      <w:r w:rsidR="00A665B1">
        <w:t xml:space="preserve">relevant to </w:t>
      </w:r>
      <w:r w:rsidR="00BB4C5C">
        <w:t>the present case read as follows:</w:t>
      </w:r>
    </w:p>
    <w:p w:rsidR="00BB4C5C" w:rsidRDefault="00BB4C5C" w:rsidP="00BB4C5C">
      <w:pPr>
        <w:rPr>
          <w:i/>
        </w:rPr>
      </w:pPr>
    </w:p>
    <w:p w:rsidR="00BB4C5C" w:rsidRDefault="00BB4C5C" w:rsidP="00BB4C5C">
      <w:pPr>
        <w:rPr>
          <w:b/>
          <w:i/>
          <w:u w:val="single"/>
        </w:rPr>
      </w:pPr>
      <w:r>
        <w:rPr>
          <w:i/>
        </w:rPr>
        <w:tab/>
      </w:r>
      <w:r w:rsidRPr="00FA3CB4">
        <w:rPr>
          <w:b/>
          <w:i/>
          <w:u w:val="single"/>
        </w:rPr>
        <w:t>Major Points noted by the Ad Hoc Committee</w:t>
      </w:r>
    </w:p>
    <w:p w:rsidR="00AC5F68" w:rsidRPr="00AC5F68" w:rsidRDefault="00AC5F68" w:rsidP="00AC5F68">
      <w:pPr>
        <w:ind w:left="720" w:hanging="630"/>
        <w:rPr>
          <w:i/>
        </w:rPr>
      </w:pPr>
      <w:r w:rsidRPr="00AC5F68">
        <w:rPr>
          <w:i/>
        </w:rPr>
        <w:t>1.20 During the in-depth study of the submissions made, both in writing and orally, by all parties, the Ad Hoc Committee meticulously noted the salient points made in argument. As these significant points necessarily formed the basis of the Committee’s conclusions, spelling them out would undoubtedly lead to a more informed understanding of the Committee’s Award. The more important points are the following:-</w:t>
      </w:r>
    </w:p>
    <w:p w:rsidR="00AC5F68" w:rsidRPr="00AC5F68" w:rsidRDefault="00AC5F68" w:rsidP="00AC5F68">
      <w:pPr>
        <w:ind w:left="720" w:hanging="630"/>
        <w:rPr>
          <w:i/>
        </w:rPr>
      </w:pPr>
    </w:p>
    <w:p w:rsidR="00AC5F68" w:rsidRPr="00AC5F68" w:rsidRDefault="00AC5F68" w:rsidP="00AC5F68">
      <w:pPr>
        <w:pStyle w:val="ListParagraph"/>
        <w:numPr>
          <w:ilvl w:val="0"/>
          <w:numId w:val="1"/>
        </w:numPr>
        <w:spacing w:after="0"/>
        <w:ind w:left="630"/>
        <w:jc w:val="both"/>
        <w:rPr>
          <w:rFonts w:ascii="Arial" w:hAnsi="Arial" w:cs="Arial"/>
          <w:i/>
          <w:sz w:val="24"/>
          <w:szCs w:val="24"/>
        </w:rPr>
      </w:pPr>
      <w:r w:rsidRPr="00AC5F68">
        <w:rPr>
          <w:rFonts w:ascii="Arial" w:hAnsi="Arial" w:cs="Arial"/>
          <w:i/>
          <w:sz w:val="24"/>
          <w:szCs w:val="24"/>
        </w:rPr>
        <w:t>Only those who shoulder additional responsibilities, in relation to wastewater management, should be eligible for the WMA allowance.</w:t>
      </w:r>
    </w:p>
    <w:p w:rsidR="00AC5F68" w:rsidRPr="00AC5F68" w:rsidRDefault="00AC5F68" w:rsidP="00AC5F68">
      <w:pPr>
        <w:pStyle w:val="ListParagraph"/>
        <w:spacing w:after="0"/>
        <w:ind w:left="630"/>
        <w:jc w:val="both"/>
        <w:rPr>
          <w:rFonts w:ascii="Arial" w:hAnsi="Arial" w:cs="Arial"/>
          <w:i/>
          <w:sz w:val="24"/>
          <w:szCs w:val="24"/>
        </w:rPr>
      </w:pPr>
    </w:p>
    <w:p w:rsidR="00AC5F68" w:rsidRPr="00AC5F68" w:rsidRDefault="00AC5F68" w:rsidP="00AC5F68">
      <w:pPr>
        <w:pStyle w:val="ListParagraph"/>
        <w:numPr>
          <w:ilvl w:val="0"/>
          <w:numId w:val="1"/>
        </w:numPr>
        <w:spacing w:after="0"/>
        <w:ind w:left="630"/>
        <w:jc w:val="both"/>
        <w:rPr>
          <w:rFonts w:ascii="Arial" w:hAnsi="Arial" w:cs="Arial"/>
          <w:i/>
          <w:sz w:val="24"/>
          <w:szCs w:val="24"/>
        </w:rPr>
      </w:pPr>
      <w:r w:rsidRPr="00AC5F68">
        <w:rPr>
          <w:rFonts w:ascii="Arial" w:hAnsi="Arial" w:cs="Arial"/>
          <w:i/>
          <w:sz w:val="24"/>
          <w:szCs w:val="24"/>
        </w:rPr>
        <w:t>Senior staff, whose junior staff has to handle wastewater work, should in principle be eligible for the WMA allowance, depending on the degree of responsibility assumed in relation to wastewater management.</w:t>
      </w:r>
    </w:p>
    <w:p w:rsidR="00AC5F68" w:rsidRPr="00AC5F68" w:rsidRDefault="00AC5F68" w:rsidP="00AC5F68">
      <w:pPr>
        <w:pStyle w:val="ListParagraph"/>
        <w:spacing w:after="0"/>
        <w:ind w:left="630"/>
        <w:jc w:val="both"/>
        <w:rPr>
          <w:rFonts w:ascii="Arial" w:hAnsi="Arial" w:cs="Arial"/>
          <w:i/>
          <w:sz w:val="24"/>
          <w:szCs w:val="24"/>
        </w:rPr>
      </w:pPr>
    </w:p>
    <w:p w:rsidR="00AC5F68" w:rsidRPr="00AC5F68" w:rsidRDefault="00AC5F68" w:rsidP="00AC5F68">
      <w:pPr>
        <w:pStyle w:val="ListParagraph"/>
        <w:numPr>
          <w:ilvl w:val="0"/>
          <w:numId w:val="1"/>
        </w:numPr>
        <w:spacing w:after="0"/>
        <w:ind w:left="630"/>
        <w:jc w:val="both"/>
        <w:rPr>
          <w:rFonts w:ascii="Arial" w:hAnsi="Arial" w:cs="Arial"/>
          <w:i/>
          <w:sz w:val="24"/>
          <w:szCs w:val="24"/>
        </w:rPr>
      </w:pPr>
      <w:r w:rsidRPr="00AC5F68">
        <w:rPr>
          <w:rFonts w:ascii="Arial" w:hAnsi="Arial" w:cs="Arial"/>
          <w:i/>
          <w:sz w:val="24"/>
          <w:szCs w:val="24"/>
        </w:rPr>
        <w:t>As a corollary, if the roles of the staff at (b) are reversed, the same principle should apply in a few cases as, for example, in the case of a Confidential Secretary to a Division Manager.</w:t>
      </w:r>
    </w:p>
    <w:p w:rsidR="00AC5F68" w:rsidRPr="00AC5F68" w:rsidRDefault="00AC5F68" w:rsidP="00AC5F68">
      <w:pPr>
        <w:pStyle w:val="ListParagraph"/>
        <w:spacing w:after="0"/>
        <w:ind w:left="630"/>
        <w:jc w:val="both"/>
        <w:rPr>
          <w:rFonts w:ascii="Arial" w:hAnsi="Arial" w:cs="Arial"/>
          <w:i/>
          <w:sz w:val="24"/>
          <w:szCs w:val="24"/>
        </w:rPr>
      </w:pPr>
    </w:p>
    <w:p w:rsidR="00AC5F68" w:rsidRPr="00AC5F68" w:rsidRDefault="00AC5F68" w:rsidP="00AC5F68">
      <w:pPr>
        <w:pStyle w:val="ListParagraph"/>
        <w:numPr>
          <w:ilvl w:val="0"/>
          <w:numId w:val="1"/>
        </w:numPr>
        <w:spacing w:after="0"/>
        <w:ind w:left="630"/>
        <w:jc w:val="both"/>
        <w:rPr>
          <w:rFonts w:ascii="Arial" w:hAnsi="Arial" w:cs="Arial"/>
          <w:i/>
          <w:sz w:val="24"/>
          <w:szCs w:val="24"/>
        </w:rPr>
      </w:pPr>
      <w:r w:rsidRPr="00AC5F68">
        <w:rPr>
          <w:rFonts w:ascii="Arial" w:hAnsi="Arial" w:cs="Arial"/>
          <w:i/>
          <w:sz w:val="24"/>
          <w:szCs w:val="24"/>
        </w:rPr>
        <w:t>The Management of the CWA has itself, in its wisdom, sympathetically considered a few proposals for change before appointment of this Ad Hoc Committee.</w:t>
      </w:r>
    </w:p>
    <w:p w:rsidR="00AC5F68" w:rsidRPr="00AC5F68" w:rsidRDefault="00AC5F68" w:rsidP="00AC5F68">
      <w:pPr>
        <w:pStyle w:val="ListParagraph"/>
        <w:spacing w:after="0"/>
        <w:ind w:left="630"/>
        <w:jc w:val="both"/>
        <w:rPr>
          <w:rFonts w:ascii="Arial" w:hAnsi="Arial" w:cs="Arial"/>
          <w:i/>
          <w:sz w:val="24"/>
          <w:szCs w:val="24"/>
        </w:rPr>
      </w:pPr>
    </w:p>
    <w:p w:rsidR="00AC5F68" w:rsidRPr="00AC5F68" w:rsidRDefault="00AC5F68" w:rsidP="00AC5F68">
      <w:pPr>
        <w:pStyle w:val="ListParagraph"/>
        <w:numPr>
          <w:ilvl w:val="0"/>
          <w:numId w:val="1"/>
        </w:numPr>
        <w:spacing w:after="0"/>
        <w:ind w:left="630"/>
        <w:jc w:val="both"/>
        <w:rPr>
          <w:rFonts w:ascii="Arial" w:hAnsi="Arial" w:cs="Arial"/>
          <w:i/>
          <w:sz w:val="24"/>
          <w:szCs w:val="24"/>
        </w:rPr>
      </w:pPr>
      <w:r w:rsidRPr="00AC5F68">
        <w:rPr>
          <w:rFonts w:ascii="Arial" w:hAnsi="Arial" w:cs="Arial"/>
          <w:i/>
          <w:sz w:val="24"/>
          <w:szCs w:val="24"/>
        </w:rPr>
        <w:t>In certain Divisions, the initial workload clearly justified a much higher rate of WMA allowance at the introductory stage of the scheme. However, that higher rate should obviously have been re-assessed downwards at an appropriate stage when normal cruising speed was attained.</w:t>
      </w:r>
    </w:p>
    <w:p w:rsidR="00AC5F68" w:rsidRPr="00AC5F68" w:rsidRDefault="00AC5F68" w:rsidP="00AC5F68">
      <w:pPr>
        <w:pStyle w:val="ListParagraph"/>
        <w:spacing w:after="0"/>
        <w:ind w:left="630"/>
        <w:jc w:val="both"/>
        <w:rPr>
          <w:rFonts w:ascii="Arial" w:hAnsi="Arial" w:cs="Arial"/>
          <w:i/>
          <w:sz w:val="24"/>
          <w:szCs w:val="24"/>
        </w:rPr>
      </w:pPr>
    </w:p>
    <w:p w:rsidR="00AC5F68" w:rsidRPr="00AC5F68" w:rsidRDefault="00AC5F68" w:rsidP="00AC5F68">
      <w:pPr>
        <w:pStyle w:val="ListParagraph"/>
        <w:numPr>
          <w:ilvl w:val="0"/>
          <w:numId w:val="1"/>
        </w:numPr>
        <w:spacing w:after="0"/>
        <w:ind w:left="630"/>
        <w:jc w:val="both"/>
        <w:rPr>
          <w:rFonts w:ascii="Arial" w:hAnsi="Arial" w:cs="Arial"/>
          <w:i/>
          <w:sz w:val="24"/>
          <w:szCs w:val="24"/>
        </w:rPr>
      </w:pPr>
      <w:r w:rsidRPr="00AC5F68">
        <w:rPr>
          <w:rFonts w:ascii="Arial" w:hAnsi="Arial" w:cs="Arial"/>
          <w:i/>
          <w:sz w:val="24"/>
          <w:szCs w:val="24"/>
        </w:rPr>
        <w:t>In consideration of the services rendered by the CWA to the WMA, the latter pays a fee of 5% of the revenue collected as wastewater charges or taxes. Of that amount of 5%, the CWA retains 40% as the Authority’s Revenue; the remaining 60% is earmarked for the payment of the WMA allowance eligible to staff.</w:t>
      </w:r>
    </w:p>
    <w:p w:rsidR="00AC5F68" w:rsidRPr="00AC5F68" w:rsidRDefault="00AC5F68" w:rsidP="00AC5F68">
      <w:pPr>
        <w:pStyle w:val="ListParagraph"/>
        <w:spacing w:after="0"/>
        <w:ind w:left="630"/>
        <w:jc w:val="both"/>
        <w:rPr>
          <w:rFonts w:ascii="Arial" w:hAnsi="Arial" w:cs="Arial"/>
          <w:i/>
          <w:sz w:val="24"/>
          <w:szCs w:val="24"/>
        </w:rPr>
      </w:pPr>
    </w:p>
    <w:p w:rsidR="00AC5F68" w:rsidRPr="00AC5F68" w:rsidRDefault="00AC5F68" w:rsidP="00AC5F68">
      <w:pPr>
        <w:pStyle w:val="ListParagraph"/>
        <w:numPr>
          <w:ilvl w:val="0"/>
          <w:numId w:val="1"/>
        </w:numPr>
        <w:spacing w:after="0"/>
        <w:ind w:left="630"/>
        <w:jc w:val="both"/>
        <w:rPr>
          <w:rFonts w:ascii="Arial" w:hAnsi="Arial" w:cs="Arial"/>
          <w:i/>
          <w:sz w:val="24"/>
          <w:szCs w:val="24"/>
        </w:rPr>
      </w:pPr>
      <w:r w:rsidRPr="00AC5F68">
        <w:rPr>
          <w:rFonts w:ascii="Arial" w:hAnsi="Arial" w:cs="Arial"/>
          <w:i/>
          <w:sz w:val="24"/>
          <w:szCs w:val="24"/>
        </w:rPr>
        <w:t>In this connection, the Management of the CWA has provided the Committee with a detailed financial statement of the revenue collected and the WMA allowance paid as from February 2000 to October 2002. The highlights of this statement, which are quite instructive, are reproduced below:</w:t>
      </w:r>
    </w:p>
    <w:p w:rsidR="00AC5F68" w:rsidRPr="00AC5F68" w:rsidRDefault="00AC5F68" w:rsidP="00AC5F68">
      <w:pPr>
        <w:pStyle w:val="ListParagraph"/>
        <w:spacing w:after="0"/>
        <w:ind w:left="630"/>
        <w:jc w:val="both"/>
        <w:rPr>
          <w:rFonts w:ascii="Arial" w:hAnsi="Arial" w:cs="Arial"/>
          <w:i/>
          <w:sz w:val="24"/>
          <w:szCs w:val="24"/>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1815"/>
        <w:gridCol w:w="1791"/>
        <w:gridCol w:w="1791"/>
        <w:gridCol w:w="1795"/>
      </w:tblGrid>
      <w:tr w:rsidR="00AC5F68" w:rsidRPr="00AC5F68" w:rsidTr="00941B88">
        <w:tc>
          <w:tcPr>
            <w:tcW w:w="1754" w:type="dxa"/>
            <w:vMerge w:val="restart"/>
          </w:tcPr>
          <w:p w:rsidR="00AC5F68" w:rsidRPr="00AC5F68" w:rsidRDefault="00AC5F68" w:rsidP="00941B88">
            <w:pPr>
              <w:pStyle w:val="ListParagraph"/>
              <w:ind w:left="0"/>
              <w:jc w:val="both"/>
              <w:rPr>
                <w:rFonts w:ascii="Arial" w:hAnsi="Arial" w:cs="Arial"/>
                <w:b/>
                <w:i/>
                <w:sz w:val="24"/>
                <w:szCs w:val="24"/>
              </w:rPr>
            </w:pPr>
            <w:r w:rsidRPr="00AC5F68">
              <w:rPr>
                <w:rFonts w:ascii="Arial" w:hAnsi="Arial" w:cs="Arial"/>
                <w:b/>
                <w:i/>
                <w:sz w:val="24"/>
                <w:szCs w:val="24"/>
              </w:rPr>
              <w:t>F/Year</w:t>
            </w:r>
          </w:p>
        </w:tc>
        <w:tc>
          <w:tcPr>
            <w:tcW w:w="1815" w:type="dxa"/>
          </w:tcPr>
          <w:p w:rsidR="00AC5F68" w:rsidRPr="00AC5F68" w:rsidRDefault="00AC5F68" w:rsidP="00941B88">
            <w:pPr>
              <w:ind w:left="-90"/>
              <w:rPr>
                <w:b/>
                <w:i/>
                <w:sz w:val="24"/>
                <w:szCs w:val="24"/>
              </w:rPr>
            </w:pPr>
            <w:r w:rsidRPr="00AC5F68">
              <w:rPr>
                <w:b/>
                <w:i/>
                <w:sz w:val="24"/>
                <w:szCs w:val="24"/>
              </w:rPr>
              <w:t>Net Commission</w:t>
            </w:r>
          </w:p>
        </w:tc>
        <w:tc>
          <w:tcPr>
            <w:tcW w:w="1791" w:type="dxa"/>
          </w:tcPr>
          <w:p w:rsidR="00AC5F68" w:rsidRPr="00AC5F68" w:rsidRDefault="00AC5F68" w:rsidP="00941B88">
            <w:pPr>
              <w:ind w:left="-90"/>
              <w:rPr>
                <w:b/>
                <w:i/>
                <w:sz w:val="24"/>
                <w:szCs w:val="24"/>
              </w:rPr>
            </w:pPr>
            <w:r w:rsidRPr="00AC5F68">
              <w:rPr>
                <w:b/>
                <w:i/>
                <w:sz w:val="24"/>
                <w:szCs w:val="24"/>
              </w:rPr>
              <w:t>Amount for</w:t>
            </w:r>
          </w:p>
          <w:p w:rsidR="00AC5F68" w:rsidRPr="00AC5F68" w:rsidRDefault="00AC5F68" w:rsidP="00941B88">
            <w:pPr>
              <w:ind w:left="-90"/>
              <w:rPr>
                <w:b/>
                <w:i/>
                <w:sz w:val="24"/>
                <w:szCs w:val="24"/>
              </w:rPr>
            </w:pPr>
            <w:r w:rsidRPr="00AC5F68">
              <w:rPr>
                <w:b/>
                <w:i/>
                <w:sz w:val="24"/>
                <w:szCs w:val="24"/>
              </w:rPr>
              <w:t>WMA Allowance 60%</w:t>
            </w:r>
          </w:p>
        </w:tc>
        <w:tc>
          <w:tcPr>
            <w:tcW w:w="1791" w:type="dxa"/>
          </w:tcPr>
          <w:p w:rsidR="00AC5F68" w:rsidRPr="00AC5F68" w:rsidRDefault="00AC5F68" w:rsidP="00941B88">
            <w:pPr>
              <w:rPr>
                <w:b/>
                <w:i/>
                <w:sz w:val="24"/>
                <w:szCs w:val="24"/>
              </w:rPr>
            </w:pPr>
            <w:r w:rsidRPr="00AC5F68">
              <w:rPr>
                <w:b/>
                <w:i/>
                <w:sz w:val="24"/>
                <w:szCs w:val="24"/>
              </w:rPr>
              <w:t>WMA Allowance Paid</w:t>
            </w:r>
          </w:p>
        </w:tc>
        <w:tc>
          <w:tcPr>
            <w:tcW w:w="1795" w:type="dxa"/>
          </w:tcPr>
          <w:p w:rsidR="00AC5F68" w:rsidRPr="00AC5F68" w:rsidRDefault="00AC5F68" w:rsidP="00941B88">
            <w:pPr>
              <w:ind w:left="-90"/>
              <w:rPr>
                <w:b/>
                <w:i/>
                <w:sz w:val="24"/>
                <w:szCs w:val="24"/>
              </w:rPr>
            </w:pPr>
            <w:r w:rsidRPr="00AC5F68">
              <w:rPr>
                <w:b/>
                <w:i/>
                <w:sz w:val="24"/>
                <w:szCs w:val="24"/>
              </w:rPr>
              <w:t>Balance Remaining</w:t>
            </w:r>
          </w:p>
        </w:tc>
      </w:tr>
      <w:tr w:rsidR="00AC5F68" w:rsidRPr="00AC5F68" w:rsidTr="00941B88">
        <w:tc>
          <w:tcPr>
            <w:tcW w:w="1754" w:type="dxa"/>
            <w:vMerge/>
          </w:tcPr>
          <w:p w:rsidR="00AC5F68" w:rsidRPr="00AC5F68" w:rsidRDefault="00AC5F68" w:rsidP="00941B88">
            <w:pPr>
              <w:pStyle w:val="ListParagraph"/>
              <w:ind w:left="0"/>
              <w:jc w:val="both"/>
              <w:rPr>
                <w:rFonts w:ascii="Arial" w:hAnsi="Arial" w:cs="Arial"/>
                <w:b/>
                <w:i/>
                <w:sz w:val="24"/>
                <w:szCs w:val="24"/>
              </w:rPr>
            </w:pPr>
          </w:p>
        </w:tc>
        <w:tc>
          <w:tcPr>
            <w:tcW w:w="1815" w:type="dxa"/>
          </w:tcPr>
          <w:p w:rsidR="00AC5F68" w:rsidRPr="00AC5F68" w:rsidRDefault="00AC5F68" w:rsidP="00941B88">
            <w:pPr>
              <w:ind w:left="-90"/>
              <w:rPr>
                <w:b/>
                <w:i/>
                <w:sz w:val="24"/>
                <w:szCs w:val="24"/>
              </w:rPr>
            </w:pPr>
            <w:r w:rsidRPr="00AC5F68">
              <w:rPr>
                <w:b/>
                <w:i/>
                <w:sz w:val="24"/>
                <w:szCs w:val="24"/>
              </w:rPr>
              <w:t>Rs</w:t>
            </w:r>
          </w:p>
        </w:tc>
        <w:tc>
          <w:tcPr>
            <w:tcW w:w="1791" w:type="dxa"/>
          </w:tcPr>
          <w:p w:rsidR="00AC5F68" w:rsidRPr="00AC5F68" w:rsidRDefault="00AC5F68" w:rsidP="00941B88">
            <w:pPr>
              <w:ind w:left="-90"/>
              <w:rPr>
                <w:b/>
                <w:i/>
                <w:sz w:val="24"/>
                <w:szCs w:val="24"/>
              </w:rPr>
            </w:pPr>
            <w:r w:rsidRPr="00AC5F68">
              <w:rPr>
                <w:b/>
                <w:i/>
                <w:sz w:val="24"/>
                <w:szCs w:val="24"/>
              </w:rPr>
              <w:t>Rs</w:t>
            </w:r>
          </w:p>
        </w:tc>
        <w:tc>
          <w:tcPr>
            <w:tcW w:w="1791" w:type="dxa"/>
          </w:tcPr>
          <w:p w:rsidR="00AC5F68" w:rsidRPr="00AC5F68" w:rsidRDefault="00AC5F68" w:rsidP="00941B88">
            <w:pPr>
              <w:ind w:left="-90"/>
              <w:rPr>
                <w:b/>
                <w:i/>
                <w:sz w:val="24"/>
                <w:szCs w:val="24"/>
              </w:rPr>
            </w:pPr>
            <w:r w:rsidRPr="00AC5F68">
              <w:rPr>
                <w:b/>
                <w:i/>
                <w:sz w:val="24"/>
                <w:szCs w:val="24"/>
              </w:rPr>
              <w:t>Rs</w:t>
            </w:r>
          </w:p>
        </w:tc>
        <w:tc>
          <w:tcPr>
            <w:tcW w:w="1795" w:type="dxa"/>
          </w:tcPr>
          <w:p w:rsidR="00AC5F68" w:rsidRPr="00AC5F68" w:rsidRDefault="00AC5F68" w:rsidP="00941B88">
            <w:pPr>
              <w:ind w:left="-90"/>
              <w:rPr>
                <w:b/>
                <w:i/>
                <w:sz w:val="24"/>
                <w:szCs w:val="24"/>
              </w:rPr>
            </w:pPr>
            <w:r w:rsidRPr="00AC5F68">
              <w:rPr>
                <w:b/>
                <w:i/>
                <w:sz w:val="24"/>
                <w:szCs w:val="24"/>
              </w:rPr>
              <w:t>Rs</w:t>
            </w:r>
          </w:p>
          <w:p w:rsidR="00AC5F68" w:rsidRPr="00AC5F68" w:rsidRDefault="00AC5F68" w:rsidP="00941B88">
            <w:pPr>
              <w:ind w:left="-90"/>
              <w:rPr>
                <w:b/>
                <w:i/>
                <w:sz w:val="24"/>
                <w:szCs w:val="24"/>
              </w:rPr>
            </w:pPr>
          </w:p>
        </w:tc>
      </w:tr>
      <w:tr w:rsidR="00AC5F68" w:rsidRPr="00AC5F68" w:rsidTr="00941B88">
        <w:tc>
          <w:tcPr>
            <w:tcW w:w="1754" w:type="dxa"/>
            <w:vMerge w:val="restart"/>
          </w:tcPr>
          <w:p w:rsidR="00AC5F68" w:rsidRPr="00AC5F68" w:rsidRDefault="00AC5F68" w:rsidP="00941B88">
            <w:pPr>
              <w:ind w:left="-90"/>
              <w:rPr>
                <w:i/>
                <w:sz w:val="24"/>
                <w:szCs w:val="24"/>
                <w:u w:val="single"/>
              </w:rPr>
            </w:pPr>
            <w:r w:rsidRPr="00AC5F68">
              <w:rPr>
                <w:i/>
                <w:sz w:val="24"/>
                <w:szCs w:val="24"/>
                <w:u w:val="single"/>
              </w:rPr>
              <w:t>1999-2000</w:t>
            </w:r>
          </w:p>
          <w:p w:rsidR="00AC5F68" w:rsidRPr="00AC5F68" w:rsidRDefault="00AC5F68" w:rsidP="00941B88">
            <w:pPr>
              <w:ind w:left="-90"/>
              <w:rPr>
                <w:i/>
                <w:sz w:val="24"/>
                <w:szCs w:val="24"/>
              </w:rPr>
            </w:pPr>
            <w:r w:rsidRPr="00AC5F68">
              <w:rPr>
                <w:i/>
                <w:sz w:val="24"/>
                <w:szCs w:val="24"/>
              </w:rPr>
              <w:t>Feb-June</w:t>
            </w:r>
          </w:p>
        </w:tc>
        <w:tc>
          <w:tcPr>
            <w:tcW w:w="1815" w:type="dxa"/>
          </w:tcPr>
          <w:p w:rsidR="00AC5F68" w:rsidRPr="00AC5F68" w:rsidRDefault="00AC5F68" w:rsidP="00941B88">
            <w:pPr>
              <w:ind w:left="-90"/>
              <w:rPr>
                <w:i/>
                <w:sz w:val="24"/>
                <w:szCs w:val="24"/>
              </w:rPr>
            </w:pPr>
          </w:p>
        </w:tc>
        <w:tc>
          <w:tcPr>
            <w:tcW w:w="1791" w:type="dxa"/>
          </w:tcPr>
          <w:p w:rsidR="00AC5F68" w:rsidRPr="00AC5F68" w:rsidRDefault="00AC5F68" w:rsidP="00941B88">
            <w:pPr>
              <w:ind w:left="-90"/>
              <w:rPr>
                <w:i/>
                <w:sz w:val="24"/>
                <w:szCs w:val="24"/>
              </w:rPr>
            </w:pPr>
          </w:p>
        </w:tc>
        <w:tc>
          <w:tcPr>
            <w:tcW w:w="1791" w:type="dxa"/>
          </w:tcPr>
          <w:p w:rsidR="00AC5F68" w:rsidRPr="00AC5F68" w:rsidRDefault="00AC5F68" w:rsidP="00941B88">
            <w:pPr>
              <w:ind w:left="-90"/>
              <w:rPr>
                <w:i/>
                <w:sz w:val="24"/>
                <w:szCs w:val="24"/>
              </w:rPr>
            </w:pPr>
          </w:p>
        </w:tc>
        <w:tc>
          <w:tcPr>
            <w:tcW w:w="1795" w:type="dxa"/>
          </w:tcPr>
          <w:p w:rsidR="00AC5F68" w:rsidRPr="00AC5F68" w:rsidRDefault="00AC5F68" w:rsidP="00941B88">
            <w:pPr>
              <w:ind w:left="-90"/>
              <w:rPr>
                <w:i/>
                <w:sz w:val="24"/>
                <w:szCs w:val="24"/>
              </w:rPr>
            </w:pPr>
          </w:p>
        </w:tc>
      </w:tr>
      <w:tr w:rsidR="00AC5F68" w:rsidRPr="00AC5F68" w:rsidTr="00941B88">
        <w:tc>
          <w:tcPr>
            <w:tcW w:w="1754" w:type="dxa"/>
            <w:vMerge/>
          </w:tcPr>
          <w:p w:rsidR="00AC5F68" w:rsidRPr="00AC5F68" w:rsidRDefault="00AC5F68" w:rsidP="00941B88">
            <w:pPr>
              <w:ind w:left="-90"/>
              <w:rPr>
                <w:i/>
                <w:sz w:val="24"/>
                <w:szCs w:val="24"/>
              </w:rPr>
            </w:pPr>
          </w:p>
        </w:tc>
        <w:tc>
          <w:tcPr>
            <w:tcW w:w="1815" w:type="dxa"/>
          </w:tcPr>
          <w:p w:rsidR="00AC5F68" w:rsidRPr="00AC5F68" w:rsidRDefault="00AC5F68" w:rsidP="00941B88">
            <w:pPr>
              <w:ind w:left="-90"/>
              <w:rPr>
                <w:i/>
                <w:sz w:val="24"/>
                <w:szCs w:val="24"/>
              </w:rPr>
            </w:pPr>
            <w:r w:rsidRPr="00AC5F68">
              <w:rPr>
                <w:i/>
                <w:sz w:val="24"/>
                <w:szCs w:val="24"/>
              </w:rPr>
              <w:t>688, 011</w:t>
            </w:r>
          </w:p>
        </w:tc>
        <w:tc>
          <w:tcPr>
            <w:tcW w:w="1791" w:type="dxa"/>
          </w:tcPr>
          <w:p w:rsidR="00AC5F68" w:rsidRPr="00AC5F68" w:rsidRDefault="00AC5F68" w:rsidP="00941B88">
            <w:pPr>
              <w:ind w:left="-90"/>
              <w:rPr>
                <w:i/>
                <w:sz w:val="24"/>
                <w:szCs w:val="24"/>
              </w:rPr>
            </w:pPr>
            <w:r w:rsidRPr="00AC5F68">
              <w:rPr>
                <w:i/>
                <w:sz w:val="24"/>
                <w:szCs w:val="24"/>
              </w:rPr>
              <w:t>412, 807</w:t>
            </w:r>
          </w:p>
        </w:tc>
        <w:tc>
          <w:tcPr>
            <w:tcW w:w="1791" w:type="dxa"/>
          </w:tcPr>
          <w:p w:rsidR="00AC5F68" w:rsidRPr="00AC5F68" w:rsidRDefault="00AC5F68" w:rsidP="00941B88">
            <w:pPr>
              <w:ind w:left="-90"/>
              <w:rPr>
                <w:i/>
                <w:sz w:val="24"/>
                <w:szCs w:val="24"/>
              </w:rPr>
            </w:pPr>
            <w:r w:rsidRPr="00AC5F68">
              <w:rPr>
                <w:i/>
                <w:sz w:val="24"/>
                <w:szCs w:val="24"/>
              </w:rPr>
              <w:t>Nil</w:t>
            </w:r>
          </w:p>
        </w:tc>
        <w:tc>
          <w:tcPr>
            <w:tcW w:w="1795" w:type="dxa"/>
          </w:tcPr>
          <w:p w:rsidR="00AC5F68" w:rsidRPr="00AC5F68" w:rsidRDefault="00AC5F68" w:rsidP="00941B88">
            <w:pPr>
              <w:ind w:left="-90"/>
              <w:rPr>
                <w:i/>
                <w:sz w:val="24"/>
                <w:szCs w:val="24"/>
              </w:rPr>
            </w:pPr>
            <w:r w:rsidRPr="00AC5F68">
              <w:rPr>
                <w:i/>
                <w:sz w:val="24"/>
                <w:szCs w:val="24"/>
              </w:rPr>
              <w:t>412, 807</w:t>
            </w:r>
          </w:p>
          <w:p w:rsidR="00AC5F68" w:rsidRPr="00AC5F68" w:rsidRDefault="00AC5F68" w:rsidP="00941B88">
            <w:pPr>
              <w:ind w:left="-90"/>
              <w:rPr>
                <w:i/>
                <w:sz w:val="24"/>
                <w:szCs w:val="24"/>
              </w:rPr>
            </w:pPr>
          </w:p>
        </w:tc>
      </w:tr>
      <w:tr w:rsidR="00AC5F68" w:rsidRPr="00AC5F68" w:rsidTr="00941B88">
        <w:tc>
          <w:tcPr>
            <w:tcW w:w="1754" w:type="dxa"/>
          </w:tcPr>
          <w:p w:rsidR="00AC5F68" w:rsidRPr="00AC5F68" w:rsidRDefault="00AC5F68" w:rsidP="00941B88">
            <w:pPr>
              <w:ind w:left="-90"/>
              <w:rPr>
                <w:i/>
                <w:sz w:val="24"/>
                <w:szCs w:val="24"/>
              </w:rPr>
            </w:pPr>
            <w:r w:rsidRPr="00AC5F68">
              <w:rPr>
                <w:i/>
                <w:sz w:val="24"/>
                <w:szCs w:val="24"/>
                <w:u w:val="single"/>
              </w:rPr>
              <w:t>2000-2001</w:t>
            </w:r>
          </w:p>
        </w:tc>
        <w:tc>
          <w:tcPr>
            <w:tcW w:w="1815" w:type="dxa"/>
          </w:tcPr>
          <w:p w:rsidR="00AC5F68" w:rsidRPr="00AC5F68" w:rsidRDefault="00AC5F68" w:rsidP="00941B88">
            <w:pPr>
              <w:ind w:left="-90"/>
              <w:rPr>
                <w:i/>
                <w:sz w:val="24"/>
                <w:szCs w:val="24"/>
              </w:rPr>
            </w:pPr>
          </w:p>
        </w:tc>
        <w:tc>
          <w:tcPr>
            <w:tcW w:w="1791" w:type="dxa"/>
          </w:tcPr>
          <w:p w:rsidR="00AC5F68" w:rsidRPr="00AC5F68" w:rsidRDefault="00AC5F68" w:rsidP="00941B88">
            <w:pPr>
              <w:ind w:left="-90"/>
              <w:rPr>
                <w:i/>
                <w:sz w:val="24"/>
                <w:szCs w:val="24"/>
              </w:rPr>
            </w:pPr>
          </w:p>
        </w:tc>
        <w:tc>
          <w:tcPr>
            <w:tcW w:w="1791" w:type="dxa"/>
          </w:tcPr>
          <w:p w:rsidR="00AC5F68" w:rsidRPr="00AC5F68" w:rsidRDefault="00AC5F68" w:rsidP="00941B88">
            <w:pPr>
              <w:ind w:left="-90"/>
              <w:rPr>
                <w:i/>
                <w:sz w:val="24"/>
                <w:szCs w:val="24"/>
              </w:rPr>
            </w:pPr>
          </w:p>
        </w:tc>
        <w:tc>
          <w:tcPr>
            <w:tcW w:w="1795" w:type="dxa"/>
          </w:tcPr>
          <w:p w:rsidR="00AC5F68" w:rsidRPr="00AC5F68" w:rsidRDefault="00AC5F68" w:rsidP="00941B88">
            <w:pPr>
              <w:ind w:left="-90"/>
              <w:rPr>
                <w:i/>
                <w:sz w:val="24"/>
                <w:szCs w:val="24"/>
              </w:rPr>
            </w:pPr>
          </w:p>
        </w:tc>
      </w:tr>
      <w:tr w:rsidR="00AC5F68" w:rsidRPr="00AC5F68" w:rsidTr="00941B88">
        <w:tc>
          <w:tcPr>
            <w:tcW w:w="1754" w:type="dxa"/>
          </w:tcPr>
          <w:p w:rsidR="00AC5F68" w:rsidRPr="00AC5F68" w:rsidRDefault="00AC5F68" w:rsidP="00941B88">
            <w:pPr>
              <w:ind w:left="-90"/>
              <w:rPr>
                <w:i/>
                <w:sz w:val="24"/>
                <w:szCs w:val="24"/>
              </w:rPr>
            </w:pPr>
            <w:r w:rsidRPr="00AC5F68">
              <w:rPr>
                <w:i/>
                <w:sz w:val="24"/>
                <w:szCs w:val="24"/>
              </w:rPr>
              <w:t>July-June</w:t>
            </w:r>
          </w:p>
        </w:tc>
        <w:tc>
          <w:tcPr>
            <w:tcW w:w="1815" w:type="dxa"/>
          </w:tcPr>
          <w:p w:rsidR="00AC5F68" w:rsidRPr="00AC5F68" w:rsidRDefault="00AC5F68" w:rsidP="00941B88">
            <w:pPr>
              <w:ind w:left="-90"/>
              <w:rPr>
                <w:i/>
                <w:sz w:val="24"/>
                <w:szCs w:val="24"/>
              </w:rPr>
            </w:pPr>
            <w:r w:rsidRPr="00AC5F68">
              <w:rPr>
                <w:i/>
                <w:sz w:val="24"/>
                <w:szCs w:val="24"/>
              </w:rPr>
              <w:t>2, 721, 501</w:t>
            </w:r>
          </w:p>
        </w:tc>
        <w:tc>
          <w:tcPr>
            <w:tcW w:w="1791" w:type="dxa"/>
          </w:tcPr>
          <w:p w:rsidR="00AC5F68" w:rsidRPr="00AC5F68" w:rsidRDefault="00AC5F68" w:rsidP="00941B88">
            <w:pPr>
              <w:ind w:left="-90"/>
              <w:rPr>
                <w:i/>
                <w:sz w:val="24"/>
                <w:szCs w:val="24"/>
              </w:rPr>
            </w:pPr>
            <w:r w:rsidRPr="00AC5F68">
              <w:rPr>
                <w:i/>
                <w:sz w:val="24"/>
                <w:szCs w:val="24"/>
              </w:rPr>
              <w:t>1, 632, 906</w:t>
            </w:r>
          </w:p>
        </w:tc>
        <w:tc>
          <w:tcPr>
            <w:tcW w:w="1791" w:type="dxa"/>
          </w:tcPr>
          <w:p w:rsidR="00AC5F68" w:rsidRPr="00AC5F68" w:rsidRDefault="00AC5F68" w:rsidP="00941B88">
            <w:pPr>
              <w:ind w:left="-90"/>
              <w:rPr>
                <w:i/>
                <w:sz w:val="24"/>
                <w:szCs w:val="24"/>
              </w:rPr>
            </w:pPr>
            <w:r w:rsidRPr="00AC5F68">
              <w:rPr>
                <w:i/>
                <w:sz w:val="24"/>
                <w:szCs w:val="24"/>
              </w:rPr>
              <w:t>1, 563, 255</w:t>
            </w:r>
          </w:p>
        </w:tc>
        <w:tc>
          <w:tcPr>
            <w:tcW w:w="1795" w:type="dxa"/>
          </w:tcPr>
          <w:p w:rsidR="00AC5F68" w:rsidRPr="00AC5F68" w:rsidRDefault="00AC5F68" w:rsidP="00941B88">
            <w:pPr>
              <w:ind w:left="-90"/>
              <w:rPr>
                <w:i/>
                <w:sz w:val="24"/>
                <w:szCs w:val="24"/>
              </w:rPr>
            </w:pPr>
            <w:r w:rsidRPr="00AC5F68">
              <w:rPr>
                <w:i/>
                <w:sz w:val="24"/>
                <w:szCs w:val="24"/>
              </w:rPr>
              <w:t>69, 651</w:t>
            </w:r>
          </w:p>
          <w:p w:rsidR="00AC5F68" w:rsidRPr="00AC5F68" w:rsidRDefault="00AC5F68" w:rsidP="00941B88">
            <w:pPr>
              <w:ind w:left="-90"/>
              <w:rPr>
                <w:i/>
                <w:sz w:val="24"/>
                <w:szCs w:val="24"/>
              </w:rPr>
            </w:pPr>
          </w:p>
        </w:tc>
      </w:tr>
      <w:tr w:rsidR="00AC5F68" w:rsidRPr="00AC5F68" w:rsidTr="00941B88">
        <w:tc>
          <w:tcPr>
            <w:tcW w:w="1754" w:type="dxa"/>
          </w:tcPr>
          <w:p w:rsidR="00AC5F68" w:rsidRPr="00AC5F68" w:rsidRDefault="00AC5F68" w:rsidP="00941B88">
            <w:pPr>
              <w:ind w:left="-90"/>
              <w:rPr>
                <w:i/>
                <w:sz w:val="24"/>
                <w:szCs w:val="24"/>
                <w:u w:val="single"/>
              </w:rPr>
            </w:pPr>
            <w:r w:rsidRPr="00AC5F68">
              <w:rPr>
                <w:i/>
                <w:sz w:val="24"/>
                <w:szCs w:val="24"/>
                <w:u w:val="single"/>
              </w:rPr>
              <w:t>2001-2002</w:t>
            </w:r>
          </w:p>
        </w:tc>
        <w:tc>
          <w:tcPr>
            <w:tcW w:w="1815" w:type="dxa"/>
          </w:tcPr>
          <w:p w:rsidR="00AC5F68" w:rsidRPr="00AC5F68" w:rsidRDefault="00AC5F68" w:rsidP="00941B88">
            <w:pPr>
              <w:ind w:left="-90"/>
              <w:rPr>
                <w:i/>
                <w:sz w:val="24"/>
                <w:szCs w:val="24"/>
              </w:rPr>
            </w:pPr>
          </w:p>
        </w:tc>
        <w:tc>
          <w:tcPr>
            <w:tcW w:w="1791" w:type="dxa"/>
          </w:tcPr>
          <w:p w:rsidR="00AC5F68" w:rsidRPr="00AC5F68" w:rsidRDefault="00AC5F68" w:rsidP="00941B88">
            <w:pPr>
              <w:ind w:left="-90"/>
              <w:rPr>
                <w:i/>
                <w:sz w:val="24"/>
                <w:szCs w:val="24"/>
              </w:rPr>
            </w:pPr>
          </w:p>
        </w:tc>
        <w:tc>
          <w:tcPr>
            <w:tcW w:w="1791" w:type="dxa"/>
          </w:tcPr>
          <w:p w:rsidR="00AC5F68" w:rsidRPr="00AC5F68" w:rsidRDefault="00AC5F68" w:rsidP="00941B88">
            <w:pPr>
              <w:ind w:left="-90"/>
              <w:rPr>
                <w:i/>
                <w:sz w:val="24"/>
                <w:szCs w:val="24"/>
              </w:rPr>
            </w:pPr>
          </w:p>
        </w:tc>
        <w:tc>
          <w:tcPr>
            <w:tcW w:w="1795" w:type="dxa"/>
          </w:tcPr>
          <w:p w:rsidR="00AC5F68" w:rsidRPr="00AC5F68" w:rsidRDefault="00AC5F68" w:rsidP="00941B88">
            <w:pPr>
              <w:ind w:left="-90"/>
              <w:rPr>
                <w:i/>
                <w:sz w:val="24"/>
                <w:szCs w:val="24"/>
              </w:rPr>
            </w:pPr>
          </w:p>
        </w:tc>
      </w:tr>
      <w:tr w:rsidR="00AC5F68" w:rsidRPr="00AC5F68" w:rsidTr="00941B88">
        <w:tc>
          <w:tcPr>
            <w:tcW w:w="1754" w:type="dxa"/>
          </w:tcPr>
          <w:p w:rsidR="00AC5F68" w:rsidRPr="00AC5F68" w:rsidRDefault="00AC5F68" w:rsidP="00941B88">
            <w:pPr>
              <w:ind w:left="-90"/>
              <w:rPr>
                <w:i/>
                <w:sz w:val="24"/>
                <w:szCs w:val="24"/>
              </w:rPr>
            </w:pPr>
            <w:r w:rsidRPr="00AC5F68">
              <w:rPr>
                <w:i/>
                <w:sz w:val="24"/>
                <w:szCs w:val="24"/>
              </w:rPr>
              <w:t>July-June</w:t>
            </w:r>
          </w:p>
        </w:tc>
        <w:tc>
          <w:tcPr>
            <w:tcW w:w="1815" w:type="dxa"/>
          </w:tcPr>
          <w:p w:rsidR="00AC5F68" w:rsidRPr="00AC5F68" w:rsidRDefault="00AC5F68" w:rsidP="00941B88">
            <w:pPr>
              <w:ind w:left="-90"/>
              <w:rPr>
                <w:i/>
                <w:sz w:val="24"/>
                <w:szCs w:val="24"/>
              </w:rPr>
            </w:pPr>
            <w:r w:rsidRPr="00AC5F68">
              <w:rPr>
                <w:i/>
                <w:sz w:val="24"/>
                <w:szCs w:val="24"/>
              </w:rPr>
              <w:t>6, 093, 539</w:t>
            </w:r>
          </w:p>
        </w:tc>
        <w:tc>
          <w:tcPr>
            <w:tcW w:w="1791" w:type="dxa"/>
          </w:tcPr>
          <w:p w:rsidR="00AC5F68" w:rsidRPr="00AC5F68" w:rsidRDefault="00AC5F68" w:rsidP="00941B88">
            <w:pPr>
              <w:ind w:left="-90"/>
              <w:rPr>
                <w:i/>
                <w:sz w:val="24"/>
                <w:szCs w:val="24"/>
              </w:rPr>
            </w:pPr>
            <w:r w:rsidRPr="00AC5F68">
              <w:rPr>
                <w:i/>
                <w:sz w:val="24"/>
                <w:szCs w:val="24"/>
              </w:rPr>
              <w:t>3, 656, 123</w:t>
            </w:r>
          </w:p>
        </w:tc>
        <w:tc>
          <w:tcPr>
            <w:tcW w:w="1791" w:type="dxa"/>
          </w:tcPr>
          <w:p w:rsidR="00AC5F68" w:rsidRPr="00AC5F68" w:rsidRDefault="00AC5F68" w:rsidP="00941B88">
            <w:pPr>
              <w:ind w:left="-90"/>
              <w:rPr>
                <w:i/>
                <w:sz w:val="24"/>
                <w:szCs w:val="24"/>
              </w:rPr>
            </w:pPr>
            <w:r w:rsidRPr="00AC5F68">
              <w:rPr>
                <w:i/>
                <w:sz w:val="24"/>
                <w:szCs w:val="24"/>
              </w:rPr>
              <w:t>1, 710, 071</w:t>
            </w:r>
          </w:p>
        </w:tc>
        <w:tc>
          <w:tcPr>
            <w:tcW w:w="1795" w:type="dxa"/>
          </w:tcPr>
          <w:p w:rsidR="00AC5F68" w:rsidRPr="00AC5F68" w:rsidRDefault="00AC5F68" w:rsidP="00941B88">
            <w:pPr>
              <w:ind w:left="-90"/>
              <w:rPr>
                <w:i/>
                <w:sz w:val="24"/>
                <w:szCs w:val="24"/>
              </w:rPr>
            </w:pPr>
            <w:r w:rsidRPr="00AC5F68">
              <w:rPr>
                <w:i/>
                <w:sz w:val="24"/>
                <w:szCs w:val="24"/>
              </w:rPr>
              <w:t>1, 946, 052</w:t>
            </w:r>
          </w:p>
          <w:p w:rsidR="00AC5F68" w:rsidRPr="00AC5F68" w:rsidRDefault="00AC5F68" w:rsidP="00941B88">
            <w:pPr>
              <w:ind w:left="-90"/>
              <w:rPr>
                <w:i/>
                <w:sz w:val="24"/>
                <w:szCs w:val="24"/>
              </w:rPr>
            </w:pPr>
          </w:p>
        </w:tc>
      </w:tr>
      <w:tr w:rsidR="00AC5F68" w:rsidRPr="00AC5F68" w:rsidTr="00941B88">
        <w:tc>
          <w:tcPr>
            <w:tcW w:w="1754" w:type="dxa"/>
          </w:tcPr>
          <w:p w:rsidR="00AC5F68" w:rsidRPr="00AC5F68" w:rsidRDefault="00AC5F68" w:rsidP="00941B88">
            <w:pPr>
              <w:ind w:left="-90"/>
              <w:rPr>
                <w:i/>
                <w:sz w:val="24"/>
                <w:szCs w:val="24"/>
                <w:u w:val="single"/>
              </w:rPr>
            </w:pPr>
            <w:r w:rsidRPr="00AC5F68">
              <w:rPr>
                <w:i/>
                <w:sz w:val="24"/>
                <w:szCs w:val="24"/>
                <w:u w:val="single"/>
              </w:rPr>
              <w:t>2002-2003</w:t>
            </w:r>
          </w:p>
        </w:tc>
        <w:tc>
          <w:tcPr>
            <w:tcW w:w="1815" w:type="dxa"/>
          </w:tcPr>
          <w:p w:rsidR="00AC5F68" w:rsidRPr="00AC5F68" w:rsidRDefault="00AC5F68" w:rsidP="00941B88">
            <w:pPr>
              <w:ind w:left="-90"/>
              <w:rPr>
                <w:i/>
                <w:sz w:val="24"/>
                <w:szCs w:val="24"/>
              </w:rPr>
            </w:pPr>
          </w:p>
        </w:tc>
        <w:tc>
          <w:tcPr>
            <w:tcW w:w="1791" w:type="dxa"/>
          </w:tcPr>
          <w:p w:rsidR="00AC5F68" w:rsidRPr="00AC5F68" w:rsidRDefault="00AC5F68" w:rsidP="00941B88">
            <w:pPr>
              <w:ind w:left="-90"/>
              <w:rPr>
                <w:i/>
                <w:sz w:val="24"/>
                <w:szCs w:val="24"/>
              </w:rPr>
            </w:pPr>
          </w:p>
        </w:tc>
        <w:tc>
          <w:tcPr>
            <w:tcW w:w="1791" w:type="dxa"/>
          </w:tcPr>
          <w:p w:rsidR="00AC5F68" w:rsidRPr="00AC5F68" w:rsidRDefault="00AC5F68" w:rsidP="00941B88">
            <w:pPr>
              <w:ind w:left="-90"/>
              <w:rPr>
                <w:i/>
                <w:sz w:val="24"/>
                <w:szCs w:val="24"/>
              </w:rPr>
            </w:pPr>
          </w:p>
        </w:tc>
        <w:tc>
          <w:tcPr>
            <w:tcW w:w="1795" w:type="dxa"/>
          </w:tcPr>
          <w:p w:rsidR="00AC5F68" w:rsidRPr="00AC5F68" w:rsidRDefault="00AC5F68" w:rsidP="00941B88">
            <w:pPr>
              <w:ind w:left="-90"/>
              <w:rPr>
                <w:i/>
                <w:sz w:val="24"/>
                <w:szCs w:val="24"/>
              </w:rPr>
            </w:pPr>
          </w:p>
        </w:tc>
      </w:tr>
      <w:tr w:rsidR="00AC5F68" w:rsidRPr="00AC5F68" w:rsidTr="00941B88">
        <w:tc>
          <w:tcPr>
            <w:tcW w:w="1754" w:type="dxa"/>
          </w:tcPr>
          <w:p w:rsidR="00AC5F68" w:rsidRPr="00AC5F68" w:rsidRDefault="00AC5F68" w:rsidP="00941B88">
            <w:pPr>
              <w:ind w:left="-90"/>
              <w:rPr>
                <w:i/>
                <w:sz w:val="24"/>
                <w:szCs w:val="24"/>
              </w:rPr>
            </w:pPr>
            <w:r w:rsidRPr="00AC5F68">
              <w:rPr>
                <w:i/>
                <w:sz w:val="24"/>
                <w:szCs w:val="24"/>
              </w:rPr>
              <w:t>July-Oct.02</w:t>
            </w:r>
          </w:p>
        </w:tc>
        <w:tc>
          <w:tcPr>
            <w:tcW w:w="1815" w:type="dxa"/>
          </w:tcPr>
          <w:p w:rsidR="00AC5F68" w:rsidRPr="00AC5F68" w:rsidRDefault="00AC5F68" w:rsidP="00941B88">
            <w:pPr>
              <w:ind w:left="-90"/>
              <w:rPr>
                <w:i/>
                <w:sz w:val="24"/>
                <w:szCs w:val="24"/>
              </w:rPr>
            </w:pPr>
            <w:r w:rsidRPr="00AC5F68">
              <w:rPr>
                <w:i/>
                <w:sz w:val="24"/>
                <w:szCs w:val="24"/>
              </w:rPr>
              <w:t>2, 474, 301</w:t>
            </w:r>
          </w:p>
        </w:tc>
        <w:tc>
          <w:tcPr>
            <w:tcW w:w="1791" w:type="dxa"/>
          </w:tcPr>
          <w:p w:rsidR="00AC5F68" w:rsidRPr="00AC5F68" w:rsidRDefault="00AC5F68" w:rsidP="00941B88">
            <w:pPr>
              <w:ind w:left="-90"/>
              <w:rPr>
                <w:i/>
                <w:sz w:val="24"/>
                <w:szCs w:val="24"/>
              </w:rPr>
            </w:pPr>
            <w:r w:rsidRPr="00AC5F68">
              <w:rPr>
                <w:i/>
                <w:sz w:val="24"/>
                <w:szCs w:val="24"/>
              </w:rPr>
              <w:t>1, 484, 581</w:t>
            </w:r>
          </w:p>
        </w:tc>
        <w:tc>
          <w:tcPr>
            <w:tcW w:w="1791" w:type="dxa"/>
          </w:tcPr>
          <w:p w:rsidR="00AC5F68" w:rsidRPr="00AC5F68" w:rsidRDefault="00AC5F68" w:rsidP="00941B88">
            <w:pPr>
              <w:ind w:left="-90"/>
              <w:rPr>
                <w:i/>
                <w:sz w:val="24"/>
                <w:szCs w:val="24"/>
              </w:rPr>
            </w:pPr>
            <w:r w:rsidRPr="00AC5F68">
              <w:rPr>
                <w:i/>
                <w:sz w:val="24"/>
                <w:szCs w:val="24"/>
              </w:rPr>
              <w:t>456, 315</w:t>
            </w:r>
          </w:p>
        </w:tc>
        <w:tc>
          <w:tcPr>
            <w:tcW w:w="1795" w:type="dxa"/>
          </w:tcPr>
          <w:p w:rsidR="00AC5F68" w:rsidRPr="00AC5F68" w:rsidRDefault="00AC5F68" w:rsidP="00941B88">
            <w:pPr>
              <w:ind w:left="-90"/>
              <w:rPr>
                <w:i/>
                <w:sz w:val="24"/>
                <w:szCs w:val="24"/>
              </w:rPr>
            </w:pPr>
            <w:r w:rsidRPr="00AC5F68">
              <w:rPr>
                <w:i/>
                <w:sz w:val="24"/>
                <w:szCs w:val="24"/>
              </w:rPr>
              <w:t>1, 028, 266</w:t>
            </w:r>
          </w:p>
          <w:p w:rsidR="00AC5F68" w:rsidRPr="00AC5F68" w:rsidRDefault="00AC5F68" w:rsidP="00941B88">
            <w:pPr>
              <w:ind w:left="-90"/>
              <w:rPr>
                <w:i/>
                <w:sz w:val="24"/>
                <w:szCs w:val="24"/>
              </w:rPr>
            </w:pPr>
          </w:p>
        </w:tc>
      </w:tr>
    </w:tbl>
    <w:p w:rsidR="00AC5F68" w:rsidRPr="00AC5F68" w:rsidRDefault="00AC5F68" w:rsidP="00AC5F68">
      <w:pPr>
        <w:ind w:left="630"/>
        <w:rPr>
          <w:i/>
        </w:rPr>
      </w:pPr>
      <w:r w:rsidRPr="00AC5F68">
        <w:rPr>
          <w:i/>
        </w:rPr>
        <w:t xml:space="preserve">The Committee noted from the above figures that the 60% earmarked for the payment of the WMA allowance tend to be on the increase. </w:t>
      </w:r>
      <w:proofErr w:type="gramStart"/>
      <w:r w:rsidRPr="00AC5F68">
        <w:rPr>
          <w:i/>
        </w:rPr>
        <w:t>Thereby leading the “Balance Remaining” to follow a similar pattern.</w:t>
      </w:r>
      <w:proofErr w:type="gramEnd"/>
      <w:r w:rsidRPr="00AC5F68">
        <w:rPr>
          <w:i/>
        </w:rPr>
        <w:t xml:space="preserve"> The Committee was advised that this increasing trend was due mainly to an increasing number of wastewater subscribers.</w:t>
      </w:r>
    </w:p>
    <w:p w:rsidR="00AC5F68" w:rsidRPr="00AC5F68" w:rsidRDefault="00AC5F68" w:rsidP="00AC5F68">
      <w:pPr>
        <w:ind w:left="630"/>
        <w:rPr>
          <w:i/>
        </w:rPr>
      </w:pPr>
    </w:p>
    <w:p w:rsidR="00AC5F68" w:rsidRPr="00AC5F68" w:rsidRDefault="00AC5F68" w:rsidP="00AC5F68">
      <w:pPr>
        <w:pStyle w:val="ListParagraph"/>
        <w:numPr>
          <w:ilvl w:val="0"/>
          <w:numId w:val="1"/>
        </w:numPr>
        <w:spacing w:after="0"/>
        <w:ind w:left="630"/>
        <w:jc w:val="both"/>
        <w:rPr>
          <w:rFonts w:ascii="Arial" w:hAnsi="Arial" w:cs="Arial"/>
          <w:i/>
          <w:sz w:val="24"/>
          <w:szCs w:val="24"/>
        </w:rPr>
      </w:pPr>
      <w:r w:rsidRPr="00AC5F68">
        <w:rPr>
          <w:rFonts w:ascii="Arial" w:hAnsi="Arial" w:cs="Arial"/>
          <w:i/>
          <w:sz w:val="24"/>
          <w:szCs w:val="24"/>
        </w:rPr>
        <w:t>The allowance at the uniform rate of 5% of salary presently payable to “Managers” irrespective of their specific responsibility does not reflect reality. The actual responsibility of each Manager has therefore been reassessed and reflected in the Award.</w:t>
      </w:r>
    </w:p>
    <w:p w:rsidR="00AC5F68" w:rsidRPr="00AC5F68" w:rsidRDefault="00AC5F68" w:rsidP="00AC5F68">
      <w:pPr>
        <w:pStyle w:val="ListParagraph"/>
        <w:spacing w:after="0"/>
        <w:ind w:left="630"/>
        <w:jc w:val="both"/>
        <w:rPr>
          <w:rFonts w:ascii="Arial" w:hAnsi="Arial" w:cs="Arial"/>
          <w:i/>
          <w:sz w:val="24"/>
          <w:szCs w:val="24"/>
        </w:rPr>
      </w:pPr>
    </w:p>
    <w:p w:rsidR="00AC5F68" w:rsidRPr="00AC5F68" w:rsidRDefault="00AC5F68" w:rsidP="00AC5F68">
      <w:pPr>
        <w:pStyle w:val="ListParagraph"/>
        <w:numPr>
          <w:ilvl w:val="0"/>
          <w:numId w:val="1"/>
        </w:numPr>
        <w:spacing w:after="0"/>
        <w:ind w:left="630"/>
        <w:jc w:val="both"/>
        <w:rPr>
          <w:rFonts w:ascii="Arial" w:hAnsi="Arial" w:cs="Arial"/>
          <w:i/>
          <w:sz w:val="24"/>
          <w:szCs w:val="24"/>
        </w:rPr>
      </w:pPr>
      <w:r w:rsidRPr="00AC5F68">
        <w:rPr>
          <w:rFonts w:ascii="Arial" w:hAnsi="Arial" w:cs="Arial"/>
          <w:i/>
          <w:sz w:val="24"/>
          <w:szCs w:val="24"/>
        </w:rPr>
        <w:t>Increase in workload as of now should be regarded as normal CWA activity. Recourse to additional staff should, therefore, be had in the usual manner, and not to an increase in any allowance.</w:t>
      </w:r>
    </w:p>
    <w:p w:rsidR="00AC5F68" w:rsidRPr="00AC5F68" w:rsidRDefault="00AC5F68" w:rsidP="00AC5F68">
      <w:pPr>
        <w:pStyle w:val="ListParagraph"/>
        <w:spacing w:after="0"/>
        <w:ind w:left="630"/>
        <w:jc w:val="both"/>
        <w:rPr>
          <w:rFonts w:ascii="Arial" w:hAnsi="Arial" w:cs="Arial"/>
          <w:i/>
          <w:sz w:val="24"/>
          <w:szCs w:val="24"/>
        </w:rPr>
      </w:pPr>
    </w:p>
    <w:p w:rsidR="00AC5F68" w:rsidRPr="00AC5F68" w:rsidRDefault="00AC5F68" w:rsidP="00AC5F68">
      <w:pPr>
        <w:pStyle w:val="ListParagraph"/>
        <w:numPr>
          <w:ilvl w:val="0"/>
          <w:numId w:val="1"/>
        </w:numPr>
        <w:spacing w:after="0"/>
        <w:ind w:left="630"/>
        <w:jc w:val="both"/>
        <w:rPr>
          <w:rFonts w:ascii="Arial" w:hAnsi="Arial" w:cs="Arial"/>
          <w:i/>
          <w:sz w:val="24"/>
          <w:szCs w:val="24"/>
        </w:rPr>
      </w:pPr>
      <w:r w:rsidRPr="00AC5F68">
        <w:rPr>
          <w:rFonts w:ascii="Arial" w:hAnsi="Arial" w:cs="Arial"/>
          <w:i/>
          <w:sz w:val="24"/>
          <w:szCs w:val="24"/>
        </w:rPr>
        <w:t>The Committee has also observed that in respect of a number of grades, there are only a few or a certain number that are actually involved in WMA activities and these are known to the CWA Management. Wherever such grades have been included in the Appendix, the actual person who is doing this work should be identified by Management as indicated in the Award. In the cases where officers are transferred, they should be paid on a pro rata basis.</w:t>
      </w:r>
    </w:p>
    <w:p w:rsidR="00AC5F68" w:rsidRPr="00AC5F68" w:rsidRDefault="00AC5F68" w:rsidP="00AC5F68">
      <w:pPr>
        <w:pStyle w:val="ListParagraph"/>
        <w:spacing w:after="0"/>
        <w:ind w:left="630"/>
        <w:jc w:val="both"/>
        <w:rPr>
          <w:rFonts w:ascii="Arial" w:hAnsi="Arial" w:cs="Arial"/>
          <w:i/>
          <w:sz w:val="24"/>
          <w:szCs w:val="24"/>
        </w:rPr>
      </w:pPr>
    </w:p>
    <w:p w:rsidR="00AC5F68" w:rsidRPr="00AC5F68" w:rsidRDefault="00AC5F68" w:rsidP="00AC5F68">
      <w:pPr>
        <w:pStyle w:val="ListParagraph"/>
        <w:numPr>
          <w:ilvl w:val="0"/>
          <w:numId w:val="1"/>
        </w:numPr>
        <w:spacing w:after="0"/>
        <w:ind w:left="630"/>
        <w:jc w:val="both"/>
        <w:rPr>
          <w:rFonts w:ascii="Arial" w:hAnsi="Arial" w:cs="Arial"/>
          <w:i/>
          <w:sz w:val="24"/>
          <w:szCs w:val="24"/>
        </w:rPr>
      </w:pPr>
      <w:r w:rsidRPr="00AC5F68">
        <w:rPr>
          <w:rFonts w:ascii="Arial" w:hAnsi="Arial" w:cs="Arial"/>
          <w:i/>
          <w:sz w:val="24"/>
          <w:szCs w:val="24"/>
        </w:rPr>
        <w:t>The Committee has further noted that in a few cases, the designation of posts listed in the Agreement dated 14 September 2000, does not exist on the approve</w:t>
      </w:r>
      <w:r w:rsidR="00A665B1">
        <w:rPr>
          <w:rFonts w:ascii="Arial" w:hAnsi="Arial" w:cs="Arial"/>
          <w:i/>
          <w:sz w:val="24"/>
          <w:szCs w:val="24"/>
        </w:rPr>
        <w:t>d</w:t>
      </w:r>
      <w:r w:rsidRPr="00AC5F68">
        <w:rPr>
          <w:rFonts w:ascii="Arial" w:hAnsi="Arial" w:cs="Arial"/>
          <w:i/>
          <w:sz w:val="24"/>
          <w:szCs w:val="24"/>
        </w:rPr>
        <w:t xml:space="preserve"> establishment of the CWA and they are known under different ti</w:t>
      </w:r>
      <w:r w:rsidR="00A665B1">
        <w:rPr>
          <w:rFonts w:ascii="Arial" w:hAnsi="Arial" w:cs="Arial"/>
          <w:i/>
          <w:sz w:val="24"/>
          <w:szCs w:val="24"/>
        </w:rPr>
        <w:t>t</w:t>
      </w:r>
      <w:r w:rsidRPr="00AC5F68">
        <w:rPr>
          <w:rFonts w:ascii="Arial" w:hAnsi="Arial" w:cs="Arial"/>
          <w:i/>
          <w:sz w:val="24"/>
          <w:szCs w:val="24"/>
        </w:rPr>
        <w:t>les (e.g. Operator, Technician in the Information Technology Division).</w:t>
      </w:r>
      <w:r w:rsidR="00A665B1">
        <w:rPr>
          <w:rFonts w:ascii="Arial" w:hAnsi="Arial" w:cs="Arial"/>
          <w:i/>
          <w:sz w:val="24"/>
          <w:szCs w:val="24"/>
        </w:rPr>
        <w:t xml:space="preserve">  </w:t>
      </w:r>
      <w:r w:rsidRPr="00AC5F68">
        <w:rPr>
          <w:rFonts w:ascii="Arial" w:hAnsi="Arial" w:cs="Arial"/>
          <w:i/>
          <w:sz w:val="24"/>
          <w:szCs w:val="24"/>
        </w:rPr>
        <w:t xml:space="preserve">In respect of Operators, they are in fact Clerks and are drawing salary as such. The allowance of 30% presently paid to them is therefore on the basis of their salary as Clerk and not as Operator which is in a higher scale in the PRB Report. As the latter post </w:t>
      </w:r>
      <w:r w:rsidRPr="00AC5F68">
        <w:rPr>
          <w:rFonts w:ascii="Arial" w:hAnsi="Arial" w:cs="Arial"/>
          <w:i/>
          <w:sz w:val="24"/>
          <w:szCs w:val="24"/>
        </w:rPr>
        <w:lastRenderedPageBreak/>
        <w:t xml:space="preserve">does not exist, the 15% allowance in the Award should continue to be calculated as now on the basis of their salary as Clerk. Since, however, </w:t>
      </w:r>
      <w:proofErr w:type="gramStart"/>
      <w:r w:rsidRPr="00AC5F68">
        <w:rPr>
          <w:rFonts w:ascii="Arial" w:hAnsi="Arial" w:cs="Arial"/>
          <w:i/>
          <w:sz w:val="24"/>
          <w:szCs w:val="24"/>
        </w:rPr>
        <w:t>these staff are</w:t>
      </w:r>
      <w:proofErr w:type="gramEnd"/>
      <w:r w:rsidRPr="00AC5F68">
        <w:rPr>
          <w:rFonts w:ascii="Arial" w:hAnsi="Arial" w:cs="Arial"/>
          <w:i/>
          <w:sz w:val="24"/>
          <w:szCs w:val="24"/>
        </w:rPr>
        <w:t xml:space="preserve"> operating at a higher level, they should be compensated by the payment in the normal manner of an extra duty allowance.</w:t>
      </w:r>
    </w:p>
    <w:p w:rsidR="00AC5F68" w:rsidRPr="00AC5F68" w:rsidRDefault="00AC5F68" w:rsidP="00AC5F68">
      <w:pPr>
        <w:rPr>
          <w:i/>
        </w:rPr>
      </w:pPr>
    </w:p>
    <w:p w:rsidR="00AC5F68" w:rsidRPr="00AC5F68" w:rsidRDefault="00AC5F68" w:rsidP="00AC5F68">
      <w:pPr>
        <w:ind w:left="630"/>
        <w:rPr>
          <w:i/>
        </w:rPr>
      </w:pPr>
      <w:r>
        <w:rPr>
          <w:i/>
        </w:rPr>
        <w:t>…</w:t>
      </w:r>
    </w:p>
    <w:p w:rsidR="00AC5F68" w:rsidRDefault="00AC5F68" w:rsidP="00AC5F68">
      <w:pPr>
        <w:rPr>
          <w:i/>
        </w:rPr>
      </w:pPr>
    </w:p>
    <w:p w:rsidR="00BD1E91" w:rsidRDefault="00BD1E91" w:rsidP="00AC5F68">
      <w:pPr>
        <w:rPr>
          <w:b/>
          <w:i/>
          <w:u w:val="single"/>
        </w:rPr>
      </w:pPr>
      <w:r>
        <w:rPr>
          <w:i/>
        </w:rPr>
        <w:tab/>
      </w:r>
      <w:r w:rsidRPr="00BD1E91">
        <w:rPr>
          <w:b/>
          <w:i/>
          <w:u w:val="single"/>
        </w:rPr>
        <w:t>Conclusions and Award</w:t>
      </w:r>
    </w:p>
    <w:p w:rsidR="00BD1E91" w:rsidRDefault="00BD1E91" w:rsidP="00AC5F68">
      <w:pPr>
        <w:rPr>
          <w:b/>
          <w:i/>
          <w:u w:val="single"/>
        </w:rPr>
      </w:pPr>
    </w:p>
    <w:p w:rsidR="00BD1E91" w:rsidRPr="00BD1E91" w:rsidRDefault="00BD1E91" w:rsidP="00AC5F68">
      <w:pPr>
        <w:rPr>
          <w:i/>
        </w:rPr>
      </w:pPr>
      <w:r w:rsidRPr="00BD1E91">
        <w:rPr>
          <w:i/>
        </w:rPr>
        <w:tab/>
        <w:t>…</w:t>
      </w:r>
    </w:p>
    <w:p w:rsidR="00BD1E91" w:rsidRPr="00AC5F68" w:rsidRDefault="00BD1E91" w:rsidP="00BD1E91">
      <w:pPr>
        <w:ind w:left="720" w:hanging="1170"/>
        <w:rPr>
          <w:i/>
        </w:rPr>
      </w:pPr>
      <w:r w:rsidRPr="00AC5F68">
        <w:rPr>
          <w:i/>
        </w:rPr>
        <w:t>1.26</w:t>
      </w:r>
      <w:r w:rsidRPr="00AC5F68">
        <w:rPr>
          <w:i/>
        </w:rPr>
        <w:tab/>
        <w:t>In the determination of the quantum of the allowance that may be paid to each and every eligible officer, the Committee has applied the known criteria (e.g. level of responsibility, volume of work, complexity, skills/knowledge required) to arrive at its conclusions.  In a general way, the Committee’s assessment has tended to join the ones that must have been applied and reflected in the figures listed in the in-house agreement of 14 September 200</w:t>
      </w:r>
      <w:r w:rsidR="00A665B1">
        <w:rPr>
          <w:i/>
        </w:rPr>
        <w:t>0</w:t>
      </w:r>
      <w:r w:rsidRPr="00AC5F68">
        <w:rPr>
          <w:i/>
        </w:rPr>
        <w:t xml:space="preserve"> between the CWA Management and the UECWA.</w:t>
      </w:r>
    </w:p>
    <w:p w:rsidR="00BD1E91" w:rsidRDefault="00BD1E91" w:rsidP="00AC5F68">
      <w:pPr>
        <w:rPr>
          <w:i/>
        </w:rPr>
      </w:pPr>
    </w:p>
    <w:p w:rsidR="00BD1E91" w:rsidRDefault="00BD1E91" w:rsidP="00AC5F68">
      <w:pPr>
        <w:rPr>
          <w:i/>
        </w:rPr>
      </w:pPr>
      <w:r>
        <w:rPr>
          <w:i/>
        </w:rPr>
        <w:tab/>
        <w:t>….</w:t>
      </w:r>
    </w:p>
    <w:p w:rsidR="00BD1E91" w:rsidRPr="00AC5F68" w:rsidRDefault="00BD1E91" w:rsidP="00AC5F68">
      <w:pPr>
        <w:rPr>
          <w:i/>
        </w:rPr>
      </w:pPr>
    </w:p>
    <w:p w:rsidR="00AC5F68" w:rsidRPr="00AC5F68" w:rsidRDefault="00AC5F68" w:rsidP="00AC5F68">
      <w:pPr>
        <w:ind w:firstLine="720"/>
        <w:rPr>
          <w:b/>
          <w:i/>
          <w:u w:val="single"/>
        </w:rPr>
      </w:pPr>
      <w:r w:rsidRPr="00AC5F68">
        <w:rPr>
          <w:b/>
          <w:i/>
          <w:u w:val="single"/>
        </w:rPr>
        <w:t>General</w:t>
      </w:r>
    </w:p>
    <w:p w:rsidR="00AC5F68" w:rsidRPr="00AC5F68" w:rsidRDefault="00AC5F68" w:rsidP="00AC5F68">
      <w:pPr>
        <w:ind w:left="720" w:hanging="1170"/>
        <w:rPr>
          <w:i/>
        </w:rPr>
      </w:pPr>
      <w:r w:rsidRPr="00AC5F68">
        <w:rPr>
          <w:i/>
        </w:rPr>
        <w:t xml:space="preserve">1.31 </w:t>
      </w:r>
      <w:r w:rsidRPr="00AC5F68">
        <w:rPr>
          <w:i/>
        </w:rPr>
        <w:tab/>
        <w:t>The Committee also recommends that in dealing with any other case that may not have been covered in this Award or that may arise in future, the CWA Management could stand guided by the points enunciated at paragraphs 1.20 and 1.26</w:t>
      </w:r>
    </w:p>
    <w:p w:rsidR="00AC5F68" w:rsidRPr="00AC5F68" w:rsidRDefault="00AC5F68" w:rsidP="00AC5F68">
      <w:pPr>
        <w:ind w:hanging="450"/>
        <w:rPr>
          <w:i/>
        </w:rPr>
      </w:pPr>
    </w:p>
    <w:p w:rsidR="00CD4924" w:rsidRDefault="00BD1E91" w:rsidP="00CD6B48">
      <w:pPr>
        <w:ind w:left="720"/>
      </w:pPr>
      <w:r w:rsidRPr="00BD1E91">
        <w:rPr>
          <w:bCs/>
        </w:rPr>
        <w:t xml:space="preserve">Paragraph 1.31 </w:t>
      </w:r>
      <w:r w:rsidR="00CD6B48">
        <w:rPr>
          <w:bCs/>
        </w:rPr>
        <w:t xml:space="preserve">of the </w:t>
      </w:r>
      <w:proofErr w:type="spellStart"/>
      <w:r w:rsidR="00CD6B48">
        <w:rPr>
          <w:bCs/>
        </w:rPr>
        <w:t>Heeralall</w:t>
      </w:r>
      <w:proofErr w:type="spellEnd"/>
      <w:r w:rsidR="00CD6B48">
        <w:rPr>
          <w:bCs/>
        </w:rPr>
        <w:t xml:space="preserve"> Report provides a guide as to how management could deal with a case that would arise after the date of the report.</w:t>
      </w:r>
      <w:r w:rsidR="002071F7">
        <w:rPr>
          <w:b/>
          <w:bCs/>
        </w:rPr>
        <w:t xml:space="preserve">  </w:t>
      </w:r>
      <w:r w:rsidR="00CD6B48" w:rsidRPr="00CD6B48">
        <w:rPr>
          <w:bCs/>
        </w:rPr>
        <w:t xml:space="preserve">Mrs </w:t>
      </w:r>
      <w:r w:rsidR="00CD6B48">
        <w:rPr>
          <w:bCs/>
        </w:rPr>
        <w:t>S</w:t>
      </w:r>
      <w:r w:rsidR="00CD6B48" w:rsidRPr="00CD6B48">
        <w:rPr>
          <w:bCs/>
        </w:rPr>
        <w:t xml:space="preserve">urfraz </w:t>
      </w:r>
      <w:r w:rsidR="00CD6B48">
        <w:rPr>
          <w:bCs/>
        </w:rPr>
        <w:t xml:space="preserve">conceded that </w:t>
      </w:r>
      <w:r w:rsidR="00CD6B48">
        <w:t xml:space="preserve">the case of Disputant could constitute ‘a new case which has arisen’.  She also accepted that there are new areas which are now covered by waste water connection.  </w:t>
      </w:r>
      <w:r w:rsidR="008C6846">
        <w:t xml:space="preserve">Disputant stated that she was working as Management Support Officer at the Customer Care Service at </w:t>
      </w:r>
      <w:proofErr w:type="spellStart"/>
      <w:r w:rsidR="008C6846">
        <w:t>Pamplemousses</w:t>
      </w:r>
      <w:proofErr w:type="spellEnd"/>
      <w:r w:rsidR="008C6846">
        <w:t xml:space="preserve"> sub-office where she was doing the job of Public Relation Officer.  </w:t>
      </w:r>
      <w:r w:rsidR="00985993">
        <w:t xml:space="preserve">The term “Management Support Officer’ is not used in the </w:t>
      </w:r>
      <w:proofErr w:type="spellStart"/>
      <w:r w:rsidR="00985993">
        <w:t>Heeralall</w:t>
      </w:r>
      <w:proofErr w:type="spellEnd"/>
      <w:r w:rsidR="00985993">
        <w:t xml:space="preserve"> </w:t>
      </w:r>
      <w:r w:rsidR="00CD4924">
        <w:t xml:space="preserve">Report </w:t>
      </w:r>
      <w:r w:rsidR="00985993">
        <w:t>and we assume</w:t>
      </w:r>
      <w:r w:rsidR="00752D65">
        <w:t>,</w:t>
      </w:r>
      <w:r w:rsidR="00985993">
        <w:t xml:space="preserve"> </w:t>
      </w:r>
      <w:r w:rsidR="00752D65">
        <w:t xml:space="preserve">following a statement made by Mr </w:t>
      </w:r>
      <w:proofErr w:type="spellStart"/>
      <w:r w:rsidR="00752D65">
        <w:t>Guness</w:t>
      </w:r>
      <w:proofErr w:type="spellEnd"/>
      <w:r w:rsidR="00752D65">
        <w:t xml:space="preserve"> before us, </w:t>
      </w:r>
      <w:r w:rsidR="00985993">
        <w:t xml:space="preserve">that this is a new appellation.  In the terms of reference, there is mention of </w:t>
      </w:r>
      <w:r w:rsidR="00202B76">
        <w:t>“</w:t>
      </w:r>
      <w:r w:rsidR="00985993">
        <w:t>Clerical Officer/Higher Clerical Officer</w:t>
      </w:r>
      <w:r w:rsidR="00202B76">
        <w:t xml:space="preserve">”.  Here again, we do not have this </w:t>
      </w:r>
      <w:r w:rsidR="00752D65">
        <w:t xml:space="preserve">grade in the </w:t>
      </w:r>
      <w:proofErr w:type="spellStart"/>
      <w:r w:rsidR="00752D65">
        <w:t>Heeralall</w:t>
      </w:r>
      <w:proofErr w:type="spellEnd"/>
      <w:r w:rsidR="00752D65">
        <w:t xml:space="preserve"> Report</w:t>
      </w:r>
      <w:r w:rsidR="00202B76">
        <w:t xml:space="preserve">.  Bearing in mind the </w:t>
      </w:r>
      <w:r w:rsidR="00495B99">
        <w:t xml:space="preserve">rate of </w:t>
      </w:r>
      <w:r w:rsidR="00202B76">
        <w:t xml:space="preserve">waste water allowance being claimed by Disputant, and </w:t>
      </w:r>
      <w:r w:rsidR="00495B99">
        <w:t xml:space="preserve">only </w:t>
      </w:r>
      <w:r w:rsidR="00202B76">
        <w:t xml:space="preserve">for the purposes of </w:t>
      </w:r>
      <w:r w:rsidR="00752D65">
        <w:t>giving</w:t>
      </w:r>
      <w:r w:rsidR="00202B76">
        <w:t xml:space="preserve"> our reasoning, we will assume that Disputant intended to refer to “Clerk (PRU/Customer Service)” or “Senior Clerk (PRU/Customer Service)” at page 2 of the Appendix to the </w:t>
      </w:r>
      <w:proofErr w:type="spellStart"/>
      <w:r w:rsidR="00202B76">
        <w:t>Heeralall</w:t>
      </w:r>
      <w:proofErr w:type="spellEnd"/>
      <w:r w:rsidR="00202B76">
        <w:t xml:space="preserve"> Report.  These grades were granted a wastewater management authority allowance of 10%.</w:t>
      </w:r>
      <w:r w:rsidR="00CD4924">
        <w:t xml:space="preserve">  However, </w:t>
      </w:r>
      <w:r w:rsidR="00752D65">
        <w:t>very importantly, specific</w:t>
      </w:r>
      <w:r w:rsidR="00CD4924">
        <w:t xml:space="preserve"> numbers </w:t>
      </w:r>
      <w:r w:rsidR="00752D65">
        <w:t xml:space="preserve">(of such grades) have been </w:t>
      </w:r>
      <w:r w:rsidR="00495B99">
        <w:t>laid down in the Appendix by the side of</w:t>
      </w:r>
      <w:r w:rsidR="00CD4924">
        <w:t xml:space="preserve"> each of these grades, that is, 4 and 5 respectively.  </w:t>
      </w:r>
    </w:p>
    <w:p w:rsidR="00CD4924" w:rsidRDefault="00CD4924" w:rsidP="00CD6B48">
      <w:pPr>
        <w:ind w:left="720"/>
      </w:pPr>
    </w:p>
    <w:p w:rsidR="001B3B2C" w:rsidRDefault="00CD4924" w:rsidP="004900E8">
      <w:pPr>
        <w:ind w:left="720"/>
      </w:pPr>
      <w:r>
        <w:lastRenderedPageBreak/>
        <w:t xml:space="preserve">In fact, throughout the </w:t>
      </w:r>
      <w:proofErr w:type="spellStart"/>
      <w:r>
        <w:t>Heeralall</w:t>
      </w:r>
      <w:proofErr w:type="spellEnd"/>
      <w:r>
        <w:t xml:space="preserve"> Report, </w:t>
      </w:r>
      <w:r w:rsidR="00D23967">
        <w:t>it is clear that the makers of the Report carried out a</w:t>
      </w:r>
      <w:r w:rsidR="00CE2C5A">
        <w:t xml:space="preserve">n in-depth study </w:t>
      </w:r>
      <w:r w:rsidR="00D23967">
        <w:t>and</w:t>
      </w:r>
      <w:r>
        <w:t xml:space="preserve"> </w:t>
      </w:r>
      <w:r w:rsidR="00D23967">
        <w:t>meticulous scrutiny</w:t>
      </w:r>
      <w:r w:rsidR="00202B76">
        <w:t xml:space="preserve"> </w:t>
      </w:r>
      <w:r w:rsidR="00CE2C5A">
        <w:t xml:space="preserve">of the actual procedures and steps involved in the implementation of the scheme </w:t>
      </w:r>
      <w:r w:rsidR="004900E8">
        <w:t xml:space="preserve">for the payment of wastewater allowance to staff of </w:t>
      </w:r>
      <w:r w:rsidR="000847FB">
        <w:t>R</w:t>
      </w:r>
      <w:r w:rsidR="004900E8">
        <w:t xml:space="preserve">espondent </w:t>
      </w:r>
      <w:r w:rsidR="000847FB">
        <w:t>for Wastewater Management Authority work</w:t>
      </w:r>
      <w:r w:rsidR="004900E8">
        <w:t xml:space="preserve">.  Thus, the makers of the Report even </w:t>
      </w:r>
      <w:r w:rsidR="00CE2C5A">
        <w:t>carr</w:t>
      </w:r>
      <w:r w:rsidR="004900E8">
        <w:t>ied</w:t>
      </w:r>
      <w:r w:rsidR="00CE2C5A">
        <w:t xml:space="preserve"> out a number of site visits.  </w:t>
      </w:r>
      <w:r w:rsidR="004900E8">
        <w:t xml:space="preserve">They considered who are the staff involved in the process and “the degree of involvement of </w:t>
      </w:r>
      <w:r w:rsidR="004900E8" w:rsidRPr="004900E8">
        <w:rPr>
          <w:u w:val="single"/>
        </w:rPr>
        <w:t>each staff</w:t>
      </w:r>
      <w:r w:rsidR="004900E8" w:rsidRPr="004900E8">
        <w:t>” (underlining is ours)</w:t>
      </w:r>
      <w:r w:rsidR="004900E8">
        <w:t>.</w:t>
      </w:r>
      <w:r w:rsidR="00704B1C">
        <w:t xml:space="preserve">  There is no indication in the Report that a “Clerical Officer/Higher Clerical Officer” or Clerk posted </w:t>
      </w:r>
      <w:r w:rsidR="00704B1C" w:rsidRPr="00704B1C">
        <w:t xml:space="preserve">to </w:t>
      </w:r>
      <w:r w:rsidR="00704B1C">
        <w:t xml:space="preserve">Respondent’s </w:t>
      </w:r>
      <w:r w:rsidR="00704B1C" w:rsidRPr="00704B1C">
        <w:t xml:space="preserve">sub-office of </w:t>
      </w:r>
      <w:proofErr w:type="spellStart"/>
      <w:r w:rsidR="00704B1C" w:rsidRPr="00704B1C">
        <w:t>Pamplemousses</w:t>
      </w:r>
      <w:proofErr w:type="spellEnd"/>
      <w:r w:rsidR="00704B1C" w:rsidRPr="00704B1C">
        <w:t xml:space="preserve"> should be paid </w:t>
      </w:r>
      <w:r w:rsidR="00704B1C">
        <w:t>a</w:t>
      </w:r>
      <w:r w:rsidR="00704B1C" w:rsidRPr="00704B1C">
        <w:t xml:space="preserve"> waste water allowance of 10% of </w:t>
      </w:r>
      <w:r w:rsidR="00704B1C">
        <w:t xml:space="preserve">his </w:t>
      </w:r>
      <w:r w:rsidR="00704B1C" w:rsidRPr="00704B1C">
        <w:t>gross salary</w:t>
      </w:r>
      <w:r w:rsidR="00704B1C">
        <w:t>.  Paragraph 1.31</w:t>
      </w:r>
      <w:r w:rsidR="000847FB">
        <w:t xml:space="preserve"> </w:t>
      </w:r>
      <w:r w:rsidR="001B3B2C">
        <w:t xml:space="preserve">of the Report </w:t>
      </w:r>
      <w:r w:rsidR="00704B1C">
        <w:t xml:space="preserve">(above) </w:t>
      </w:r>
      <w:r w:rsidR="001B3B2C">
        <w:t xml:space="preserve">cannot be of assistance to the Tribunal in this particular case for the following reasons: </w:t>
      </w:r>
    </w:p>
    <w:p w:rsidR="001B3B2C" w:rsidRDefault="001B3B2C" w:rsidP="004900E8">
      <w:pPr>
        <w:ind w:left="720"/>
      </w:pPr>
    </w:p>
    <w:p w:rsidR="001B3B2C" w:rsidRDefault="001B3B2C" w:rsidP="00B07765">
      <w:pPr>
        <w:pStyle w:val="ListParagraph"/>
        <w:numPr>
          <w:ilvl w:val="0"/>
          <w:numId w:val="2"/>
        </w:numPr>
        <w:jc w:val="both"/>
        <w:rPr>
          <w:rFonts w:ascii="Arial" w:hAnsi="Arial" w:cs="Arial"/>
          <w:sz w:val="24"/>
          <w:szCs w:val="24"/>
        </w:rPr>
      </w:pPr>
      <w:r w:rsidRPr="001B3B2C">
        <w:rPr>
          <w:rFonts w:ascii="Arial" w:hAnsi="Arial" w:cs="Arial"/>
          <w:sz w:val="24"/>
          <w:szCs w:val="24"/>
        </w:rPr>
        <w:t xml:space="preserve">That </w:t>
      </w:r>
      <w:r>
        <w:rPr>
          <w:rFonts w:ascii="Arial" w:hAnsi="Arial" w:cs="Arial"/>
          <w:sz w:val="24"/>
          <w:szCs w:val="24"/>
        </w:rPr>
        <w:t>paragraph applies to the “CWA Management” and provides how the latter can be guided.</w:t>
      </w:r>
    </w:p>
    <w:p w:rsidR="00D13D9C" w:rsidRDefault="001B3B2C" w:rsidP="00D13D9C">
      <w:pPr>
        <w:pStyle w:val="ListParagraph"/>
        <w:numPr>
          <w:ilvl w:val="0"/>
          <w:numId w:val="2"/>
        </w:numPr>
        <w:jc w:val="both"/>
        <w:rPr>
          <w:rFonts w:ascii="Arial" w:hAnsi="Arial" w:cs="Arial"/>
          <w:sz w:val="24"/>
          <w:szCs w:val="24"/>
        </w:rPr>
      </w:pPr>
      <w:r>
        <w:rPr>
          <w:rFonts w:ascii="Arial" w:hAnsi="Arial" w:cs="Arial"/>
          <w:sz w:val="24"/>
          <w:szCs w:val="24"/>
        </w:rPr>
        <w:t xml:space="preserve">The points enunciated at paragraph 1.20 </w:t>
      </w:r>
      <w:r w:rsidR="00B8348C">
        <w:rPr>
          <w:rFonts w:ascii="Arial" w:hAnsi="Arial" w:cs="Arial"/>
          <w:sz w:val="24"/>
          <w:szCs w:val="24"/>
        </w:rPr>
        <w:t xml:space="preserve">of the same report (see above) </w:t>
      </w:r>
      <w:r>
        <w:rPr>
          <w:rFonts w:ascii="Arial" w:hAnsi="Arial" w:cs="Arial"/>
          <w:sz w:val="24"/>
          <w:szCs w:val="24"/>
        </w:rPr>
        <w:t>include</w:t>
      </w:r>
      <w:r w:rsidR="00B8348C">
        <w:rPr>
          <w:rFonts w:ascii="Arial" w:hAnsi="Arial" w:cs="Arial"/>
          <w:sz w:val="24"/>
          <w:szCs w:val="24"/>
        </w:rPr>
        <w:t xml:space="preserve"> </w:t>
      </w:r>
      <w:r w:rsidR="002A47C6">
        <w:rPr>
          <w:rFonts w:ascii="Arial" w:hAnsi="Arial" w:cs="Arial"/>
          <w:sz w:val="24"/>
          <w:szCs w:val="24"/>
        </w:rPr>
        <w:t>sub-paragraph (f) which specifically refers to the fee (5% of revenue collected as wastewater charges or taxes) paid by the Wastewater Management Authority to the Respondent</w:t>
      </w:r>
      <w:r w:rsidR="00941B88">
        <w:rPr>
          <w:rFonts w:ascii="Arial" w:hAnsi="Arial" w:cs="Arial"/>
          <w:sz w:val="24"/>
          <w:szCs w:val="24"/>
        </w:rPr>
        <w:t xml:space="preserve"> in consideration for the services rendered by Respondent to the latter</w:t>
      </w:r>
      <w:r w:rsidR="002A47C6">
        <w:rPr>
          <w:rFonts w:ascii="Arial" w:hAnsi="Arial" w:cs="Arial"/>
          <w:sz w:val="24"/>
          <w:szCs w:val="24"/>
        </w:rPr>
        <w:t xml:space="preserve">.  </w:t>
      </w:r>
      <w:r w:rsidR="000847FB">
        <w:rPr>
          <w:rFonts w:ascii="Arial" w:hAnsi="Arial" w:cs="Arial"/>
          <w:sz w:val="24"/>
          <w:szCs w:val="24"/>
        </w:rPr>
        <w:t>S</w:t>
      </w:r>
      <w:r w:rsidR="002A47C6">
        <w:rPr>
          <w:rFonts w:ascii="Arial" w:hAnsi="Arial" w:cs="Arial"/>
          <w:sz w:val="24"/>
          <w:szCs w:val="24"/>
        </w:rPr>
        <w:t xml:space="preserve">ub-paragraph (f) even goes further and includes the </w:t>
      </w:r>
      <w:r w:rsidR="0015530C">
        <w:rPr>
          <w:rFonts w:ascii="Arial" w:hAnsi="Arial" w:cs="Arial"/>
          <w:sz w:val="24"/>
          <w:szCs w:val="24"/>
        </w:rPr>
        <w:t>apportioning</w:t>
      </w:r>
      <w:r w:rsidR="002A47C6">
        <w:rPr>
          <w:rFonts w:ascii="Arial" w:hAnsi="Arial" w:cs="Arial"/>
          <w:sz w:val="24"/>
          <w:szCs w:val="24"/>
        </w:rPr>
        <w:t xml:space="preserve"> of </w:t>
      </w:r>
      <w:r w:rsidR="00B07765">
        <w:rPr>
          <w:rFonts w:ascii="Arial" w:hAnsi="Arial" w:cs="Arial"/>
          <w:sz w:val="24"/>
          <w:szCs w:val="24"/>
        </w:rPr>
        <w:t xml:space="preserve">the sum received as </w:t>
      </w:r>
      <w:r w:rsidR="002A47C6">
        <w:rPr>
          <w:rFonts w:ascii="Arial" w:hAnsi="Arial" w:cs="Arial"/>
          <w:sz w:val="24"/>
          <w:szCs w:val="24"/>
        </w:rPr>
        <w:t xml:space="preserve">fee among the Respondent </w:t>
      </w:r>
      <w:r w:rsidR="00D13D9C">
        <w:rPr>
          <w:rFonts w:ascii="Arial" w:hAnsi="Arial" w:cs="Arial"/>
          <w:sz w:val="24"/>
          <w:szCs w:val="24"/>
        </w:rPr>
        <w:t xml:space="preserve">(40%) </w:t>
      </w:r>
      <w:r w:rsidR="002A47C6">
        <w:rPr>
          <w:rFonts w:ascii="Arial" w:hAnsi="Arial" w:cs="Arial"/>
          <w:sz w:val="24"/>
          <w:szCs w:val="24"/>
        </w:rPr>
        <w:t xml:space="preserve">and </w:t>
      </w:r>
      <w:r w:rsidR="0015530C">
        <w:rPr>
          <w:rFonts w:ascii="Arial" w:hAnsi="Arial" w:cs="Arial"/>
          <w:sz w:val="24"/>
          <w:szCs w:val="24"/>
        </w:rPr>
        <w:t xml:space="preserve">eligible staff of Respondent </w:t>
      </w:r>
      <w:r w:rsidR="00D13D9C">
        <w:rPr>
          <w:rFonts w:ascii="Arial" w:hAnsi="Arial" w:cs="Arial"/>
          <w:sz w:val="24"/>
          <w:szCs w:val="24"/>
        </w:rPr>
        <w:t xml:space="preserve">for the wastewater allowance (60%).  There is unchallenged evidence before us that the calculation of this fee </w:t>
      </w:r>
      <w:r w:rsidR="00B07765">
        <w:rPr>
          <w:rFonts w:ascii="Arial" w:hAnsi="Arial" w:cs="Arial"/>
          <w:sz w:val="24"/>
          <w:szCs w:val="24"/>
        </w:rPr>
        <w:t>has</w:t>
      </w:r>
      <w:r w:rsidR="00D13D9C">
        <w:rPr>
          <w:rFonts w:ascii="Arial" w:hAnsi="Arial" w:cs="Arial"/>
          <w:sz w:val="24"/>
          <w:szCs w:val="24"/>
        </w:rPr>
        <w:t xml:space="preserve"> changed</w:t>
      </w:r>
      <w:r w:rsidR="00B07765">
        <w:rPr>
          <w:rFonts w:ascii="Arial" w:hAnsi="Arial" w:cs="Arial"/>
          <w:sz w:val="24"/>
          <w:szCs w:val="24"/>
        </w:rPr>
        <w:t xml:space="preserve"> since the </w:t>
      </w:r>
      <w:proofErr w:type="spellStart"/>
      <w:r w:rsidR="00B07765">
        <w:rPr>
          <w:rFonts w:ascii="Arial" w:hAnsi="Arial" w:cs="Arial"/>
          <w:sz w:val="24"/>
          <w:szCs w:val="24"/>
        </w:rPr>
        <w:t>Heeralall</w:t>
      </w:r>
      <w:proofErr w:type="spellEnd"/>
      <w:r w:rsidR="00B07765">
        <w:rPr>
          <w:rFonts w:ascii="Arial" w:hAnsi="Arial" w:cs="Arial"/>
          <w:sz w:val="24"/>
          <w:szCs w:val="24"/>
        </w:rPr>
        <w:t xml:space="preserve"> Report</w:t>
      </w:r>
      <w:r w:rsidR="008B05C1">
        <w:rPr>
          <w:rFonts w:ascii="Arial" w:hAnsi="Arial" w:cs="Arial"/>
          <w:sz w:val="24"/>
          <w:szCs w:val="24"/>
        </w:rPr>
        <w:t xml:space="preserve"> (as per paragraph 7 of the Statement of Case of Respondent which has been confirmed by Mrs Surfraz)</w:t>
      </w:r>
      <w:r w:rsidR="00D13D9C">
        <w:rPr>
          <w:rFonts w:ascii="Arial" w:hAnsi="Arial" w:cs="Arial"/>
          <w:sz w:val="24"/>
          <w:szCs w:val="24"/>
        </w:rPr>
        <w:t xml:space="preserve">.       </w:t>
      </w:r>
      <w:r w:rsidR="002A47C6">
        <w:rPr>
          <w:rFonts w:ascii="Arial" w:hAnsi="Arial" w:cs="Arial"/>
          <w:sz w:val="24"/>
          <w:szCs w:val="24"/>
        </w:rPr>
        <w:t xml:space="preserve">  </w:t>
      </w:r>
      <w:r>
        <w:rPr>
          <w:rFonts w:ascii="Arial" w:hAnsi="Arial" w:cs="Arial"/>
          <w:sz w:val="24"/>
          <w:szCs w:val="24"/>
        </w:rPr>
        <w:t xml:space="preserve">  </w:t>
      </w:r>
    </w:p>
    <w:p w:rsidR="00704890" w:rsidRDefault="00D13D9C" w:rsidP="00D13D9C">
      <w:pPr>
        <w:pStyle w:val="ListParagraph"/>
        <w:numPr>
          <w:ilvl w:val="0"/>
          <w:numId w:val="2"/>
        </w:numPr>
        <w:jc w:val="both"/>
        <w:rPr>
          <w:rFonts w:ascii="Arial" w:hAnsi="Arial" w:cs="Arial"/>
          <w:sz w:val="24"/>
          <w:szCs w:val="24"/>
        </w:rPr>
      </w:pPr>
      <w:r>
        <w:rPr>
          <w:rFonts w:ascii="Arial" w:hAnsi="Arial" w:cs="Arial"/>
          <w:sz w:val="24"/>
          <w:szCs w:val="24"/>
        </w:rPr>
        <w:t xml:space="preserve">The makers of the Report relied on revenue figures for the period from </w:t>
      </w:r>
      <w:r w:rsidR="00B07765">
        <w:rPr>
          <w:rFonts w:ascii="Arial" w:hAnsi="Arial" w:cs="Arial"/>
          <w:sz w:val="24"/>
          <w:szCs w:val="24"/>
        </w:rPr>
        <w:t xml:space="preserve">the years </w:t>
      </w:r>
      <w:r>
        <w:rPr>
          <w:rFonts w:ascii="Arial" w:hAnsi="Arial" w:cs="Arial"/>
          <w:sz w:val="24"/>
          <w:szCs w:val="24"/>
        </w:rPr>
        <w:t>2000 to 2002 and deliberately included these figures in the report under paragraph 1.</w:t>
      </w:r>
      <w:r w:rsidR="000D435F">
        <w:rPr>
          <w:rFonts w:ascii="Arial" w:hAnsi="Arial" w:cs="Arial"/>
          <w:sz w:val="24"/>
          <w:szCs w:val="24"/>
        </w:rPr>
        <w:t>20</w:t>
      </w:r>
      <w:r>
        <w:rPr>
          <w:rFonts w:ascii="Arial" w:hAnsi="Arial" w:cs="Arial"/>
          <w:sz w:val="24"/>
          <w:szCs w:val="24"/>
        </w:rPr>
        <w:t xml:space="preserve"> (g).  The Tribunal may safely conclude that these figures as well as other matters </w:t>
      </w:r>
      <w:r w:rsidR="00704890">
        <w:rPr>
          <w:rFonts w:ascii="Arial" w:hAnsi="Arial" w:cs="Arial"/>
          <w:sz w:val="24"/>
          <w:szCs w:val="24"/>
        </w:rPr>
        <w:t xml:space="preserve">for the same period 2000 to 2002 </w:t>
      </w:r>
      <w:r>
        <w:rPr>
          <w:rFonts w:ascii="Arial" w:hAnsi="Arial" w:cs="Arial"/>
          <w:sz w:val="24"/>
          <w:szCs w:val="24"/>
        </w:rPr>
        <w:t>dealt with in the said paragraph 1.</w:t>
      </w:r>
      <w:r w:rsidR="000D435F">
        <w:rPr>
          <w:rFonts w:ascii="Arial" w:hAnsi="Arial" w:cs="Arial"/>
          <w:sz w:val="24"/>
          <w:szCs w:val="24"/>
        </w:rPr>
        <w:t>20</w:t>
      </w:r>
      <w:r>
        <w:rPr>
          <w:rFonts w:ascii="Arial" w:hAnsi="Arial" w:cs="Arial"/>
          <w:sz w:val="24"/>
          <w:szCs w:val="24"/>
        </w:rPr>
        <w:t xml:space="preserve">(g) were “significant points </w:t>
      </w:r>
      <w:r w:rsidR="00704890">
        <w:rPr>
          <w:rFonts w:ascii="Arial" w:hAnsi="Arial" w:cs="Arial"/>
          <w:sz w:val="24"/>
          <w:szCs w:val="24"/>
        </w:rPr>
        <w:t>[</w:t>
      </w:r>
      <w:r>
        <w:rPr>
          <w:rFonts w:ascii="Arial" w:hAnsi="Arial" w:cs="Arial"/>
          <w:sz w:val="24"/>
          <w:szCs w:val="24"/>
        </w:rPr>
        <w:t>wh</w:t>
      </w:r>
      <w:r w:rsidR="00704890">
        <w:rPr>
          <w:rFonts w:ascii="Arial" w:hAnsi="Arial" w:cs="Arial"/>
          <w:sz w:val="24"/>
          <w:szCs w:val="24"/>
        </w:rPr>
        <w:t>i</w:t>
      </w:r>
      <w:r>
        <w:rPr>
          <w:rFonts w:ascii="Arial" w:hAnsi="Arial" w:cs="Arial"/>
          <w:sz w:val="24"/>
          <w:szCs w:val="24"/>
        </w:rPr>
        <w:t>ch</w:t>
      </w:r>
      <w:r w:rsidR="00704890">
        <w:rPr>
          <w:rFonts w:ascii="Arial" w:hAnsi="Arial" w:cs="Arial"/>
          <w:sz w:val="24"/>
          <w:szCs w:val="24"/>
        </w:rPr>
        <w:t>]</w:t>
      </w:r>
      <w:r>
        <w:rPr>
          <w:rFonts w:ascii="Arial" w:hAnsi="Arial" w:cs="Arial"/>
          <w:sz w:val="24"/>
          <w:szCs w:val="24"/>
        </w:rPr>
        <w:t xml:space="preserve"> </w:t>
      </w:r>
      <w:r w:rsidR="00704890">
        <w:rPr>
          <w:rFonts w:ascii="Arial" w:hAnsi="Arial" w:cs="Arial"/>
          <w:sz w:val="24"/>
          <w:szCs w:val="24"/>
        </w:rPr>
        <w:t xml:space="preserve">necessarily </w:t>
      </w:r>
      <w:r>
        <w:rPr>
          <w:rFonts w:ascii="Arial" w:hAnsi="Arial" w:cs="Arial"/>
          <w:sz w:val="24"/>
          <w:szCs w:val="24"/>
        </w:rPr>
        <w:t xml:space="preserve">formed the </w:t>
      </w:r>
      <w:r w:rsidR="00704890">
        <w:rPr>
          <w:rFonts w:ascii="Arial" w:hAnsi="Arial" w:cs="Arial"/>
          <w:sz w:val="24"/>
          <w:szCs w:val="24"/>
        </w:rPr>
        <w:t>basis of the Committee’s conclusions” (as per the first part of paragraph 1.20).</w:t>
      </w:r>
    </w:p>
    <w:p w:rsidR="00704890" w:rsidRDefault="00704890" w:rsidP="00704890">
      <w:pPr>
        <w:ind w:left="720"/>
      </w:pPr>
    </w:p>
    <w:p w:rsidR="00226D1B" w:rsidRDefault="00704890" w:rsidP="00704890">
      <w:pPr>
        <w:ind w:left="720"/>
      </w:pPr>
      <w:r>
        <w:t>Also, paragraph 1.26 of the Report which should guide Management in a decision</w:t>
      </w:r>
      <w:r w:rsidR="006C4381">
        <w:t xml:space="preserve"> makes reference to various criteria which the Tribunal </w:t>
      </w:r>
      <w:r w:rsidR="00E67BD1">
        <w:t>has not been appraised of in this particular case</w:t>
      </w:r>
      <w:r w:rsidR="006C4381">
        <w:t xml:space="preserve">.  </w:t>
      </w:r>
      <w:r w:rsidR="00E67BD1">
        <w:t>T</w:t>
      </w:r>
      <w:r w:rsidR="006C4381">
        <w:t xml:space="preserve">he Tribunal </w:t>
      </w:r>
      <w:r w:rsidR="00F15ECB">
        <w:t xml:space="preserve">notes that paragraph 1.26 of the Report refers to the quantum of allowance </w:t>
      </w:r>
      <w:r w:rsidR="00E67BD1">
        <w:t>that may</w:t>
      </w:r>
      <w:r w:rsidR="00F15ECB">
        <w:t xml:space="preserve"> be paid </w:t>
      </w:r>
      <w:r w:rsidR="00F15ECB" w:rsidRPr="00F15ECB">
        <w:rPr>
          <w:u w:val="single"/>
        </w:rPr>
        <w:t>to each and every eligible officer</w:t>
      </w:r>
      <w:r w:rsidR="00F15ECB">
        <w:rPr>
          <w:u w:val="single"/>
        </w:rPr>
        <w:t xml:space="preserve"> </w:t>
      </w:r>
      <w:r w:rsidR="00F15ECB">
        <w:t xml:space="preserve">(underlining is ours).  </w:t>
      </w:r>
      <w:r w:rsidR="00E83A77">
        <w:t xml:space="preserve">The criteria mentioned include level of responsibility and volume of work.  Now, the Disputant referred to </w:t>
      </w:r>
      <w:r w:rsidR="00284B9C">
        <w:t xml:space="preserve">the </w:t>
      </w:r>
      <w:proofErr w:type="spellStart"/>
      <w:r w:rsidR="00284B9C">
        <w:t>Decaen</w:t>
      </w:r>
      <w:proofErr w:type="spellEnd"/>
      <w:r w:rsidR="00284B9C">
        <w:t xml:space="preserve"> office in </w:t>
      </w:r>
      <w:r w:rsidR="00E83A77">
        <w:t>Port-Louis</w:t>
      </w:r>
      <w:r w:rsidR="00284B9C">
        <w:t xml:space="preserve"> </w:t>
      </w:r>
      <w:r w:rsidR="00E83A77">
        <w:t>but there is no evidence as to whether</w:t>
      </w:r>
      <w:r w:rsidR="00284B9C">
        <w:t xml:space="preserve"> </w:t>
      </w:r>
      <w:r w:rsidR="000D435F">
        <w:t xml:space="preserve">the volume of work or additional workload in relation to wastewater duties </w:t>
      </w:r>
      <w:r w:rsidR="00284B9C">
        <w:t>(</w:t>
      </w:r>
      <w:r w:rsidR="00E83A77">
        <w:t xml:space="preserve">if </w:t>
      </w:r>
      <w:r w:rsidR="006C0C56">
        <w:t xml:space="preserve">wastewater duties </w:t>
      </w:r>
      <w:r w:rsidR="00865259">
        <w:t xml:space="preserve">are indeed </w:t>
      </w:r>
      <w:r w:rsidR="006C0C56">
        <w:t xml:space="preserve">being attended to by </w:t>
      </w:r>
      <w:r w:rsidR="00284B9C">
        <w:t xml:space="preserve">the </w:t>
      </w:r>
      <w:r w:rsidR="006C0C56">
        <w:t>Disputant</w:t>
      </w:r>
      <w:r w:rsidR="000D435F">
        <w:t xml:space="preserve"> at </w:t>
      </w:r>
      <w:proofErr w:type="spellStart"/>
      <w:r w:rsidR="000D435F">
        <w:t>Pamplemousses</w:t>
      </w:r>
      <w:proofErr w:type="spellEnd"/>
      <w:r w:rsidR="00284B9C">
        <w:t>)</w:t>
      </w:r>
      <w:r w:rsidR="006C0C56">
        <w:t xml:space="preserve"> will be the same </w:t>
      </w:r>
      <w:r w:rsidR="00284B9C">
        <w:lastRenderedPageBreak/>
        <w:t xml:space="preserve">at </w:t>
      </w:r>
      <w:proofErr w:type="spellStart"/>
      <w:r w:rsidR="00284B9C">
        <w:t>Pamplemousses</w:t>
      </w:r>
      <w:proofErr w:type="spellEnd"/>
      <w:r w:rsidR="00284B9C">
        <w:t xml:space="preserve"> </w:t>
      </w:r>
      <w:r w:rsidR="00204BDC">
        <w:t>sub-</w:t>
      </w:r>
      <w:r w:rsidR="00284B9C">
        <w:t>office</w:t>
      </w:r>
      <w:r w:rsidR="000D435F">
        <w:t xml:space="preserve"> as at </w:t>
      </w:r>
      <w:proofErr w:type="spellStart"/>
      <w:r w:rsidR="000D435F">
        <w:t>Decaen</w:t>
      </w:r>
      <w:proofErr w:type="spellEnd"/>
      <w:r w:rsidR="000D435F">
        <w:t xml:space="preserve"> office in Port-Louis</w:t>
      </w:r>
      <w:r w:rsidR="00284B9C">
        <w:t>.</w:t>
      </w:r>
      <w:r w:rsidR="00226D1B">
        <w:t xml:space="preserve">  </w:t>
      </w:r>
      <w:r w:rsidR="000D435F">
        <w:t>Also, p</w:t>
      </w:r>
      <w:r w:rsidR="00226D1B">
        <w:t>aragraph 1.26 refers to an in-house agreement between CWA Management and the Co-Respondent and this document has not been produced before us.</w:t>
      </w:r>
    </w:p>
    <w:p w:rsidR="00A955DB" w:rsidRDefault="00A955DB" w:rsidP="00D46D8A">
      <w:pPr>
        <w:ind w:left="720"/>
      </w:pPr>
    </w:p>
    <w:p w:rsidR="00CD6B48" w:rsidRDefault="00A955DB" w:rsidP="00D46D8A">
      <w:pPr>
        <w:ind w:left="720"/>
      </w:pPr>
      <w:r>
        <w:t xml:space="preserve"> </w:t>
      </w:r>
      <w:r w:rsidR="007F2DEA">
        <w:t xml:space="preserve">It is not denied that the </w:t>
      </w:r>
      <w:proofErr w:type="spellStart"/>
      <w:r w:rsidR="007F2DEA">
        <w:t>Heeralall</w:t>
      </w:r>
      <w:proofErr w:type="spellEnd"/>
      <w:r w:rsidR="007F2DEA">
        <w:t xml:space="preserve"> Report does not cater specifically for Disputant.  The Tribunal </w:t>
      </w:r>
      <w:r w:rsidR="00B07765">
        <w:t>notes</w:t>
      </w:r>
      <w:r w:rsidR="007F2DEA">
        <w:t xml:space="preserve"> that the Report has been adopted following an agreement between Management and Co-Respondent and is binding on the parties.  </w:t>
      </w:r>
      <w:r w:rsidR="00CD6B48">
        <w:t xml:space="preserve">The Tribunal </w:t>
      </w:r>
      <w:r>
        <w:t>may here refer to para</w:t>
      </w:r>
      <w:r w:rsidR="00CD6B48">
        <w:t xml:space="preserve">graph 1.4 of the </w:t>
      </w:r>
      <w:proofErr w:type="spellStart"/>
      <w:r w:rsidR="00CD6B48">
        <w:t>Heeralall</w:t>
      </w:r>
      <w:proofErr w:type="spellEnd"/>
      <w:r w:rsidR="00CD6B48">
        <w:t xml:space="preserve"> Report which provides as follows:</w:t>
      </w:r>
    </w:p>
    <w:p w:rsidR="00CD6B48" w:rsidRDefault="00CD6B48" w:rsidP="00CD6B48"/>
    <w:p w:rsidR="00CD6B48" w:rsidRDefault="00CD6B48" w:rsidP="00CD6B48"/>
    <w:p w:rsidR="00CD6B48" w:rsidRPr="00874995" w:rsidRDefault="00CD6B48" w:rsidP="00CD6B48">
      <w:pPr>
        <w:ind w:left="720" w:hanging="720"/>
        <w:rPr>
          <w:i/>
        </w:rPr>
      </w:pPr>
      <w:r w:rsidRPr="00874995">
        <w:rPr>
          <w:i/>
        </w:rPr>
        <w:t xml:space="preserve">1.4 </w:t>
      </w:r>
      <w:r w:rsidRPr="00874995">
        <w:rPr>
          <w:i/>
        </w:rPr>
        <w:tab/>
        <w:t xml:space="preserve">The Committee noted with singular appreciation that the Central Water Authority (CWA) and the Union of Employees of the CWA (UECWA) had reached agreement not only on the assignment of the Committee, but also for its Award to ‘be final and binding on both parties and not subject to appeal.”  </w:t>
      </w:r>
    </w:p>
    <w:p w:rsidR="00CD6B48" w:rsidRDefault="00CD6B48" w:rsidP="00CD6B48"/>
    <w:p w:rsidR="00A955DB" w:rsidRDefault="00A955DB" w:rsidP="00CD6B48"/>
    <w:p w:rsidR="00C9784A" w:rsidRDefault="00CD6B48" w:rsidP="00CD6B48">
      <w:pPr>
        <w:rPr>
          <w:b/>
          <w:bCs/>
        </w:rPr>
      </w:pPr>
      <w:r w:rsidRPr="00B24721">
        <w:t xml:space="preserve">This provision was indeed highlighted in the </w:t>
      </w:r>
      <w:r w:rsidR="00B07765">
        <w:t>a</w:t>
      </w:r>
      <w:r w:rsidRPr="00B24721">
        <w:t xml:space="preserve">ward delivered in the case of </w:t>
      </w:r>
      <w:r w:rsidRPr="00B24721">
        <w:rPr>
          <w:b/>
          <w:bCs/>
        </w:rPr>
        <w:t xml:space="preserve">G. </w:t>
      </w:r>
      <w:proofErr w:type="spellStart"/>
      <w:r w:rsidRPr="00B24721">
        <w:rPr>
          <w:b/>
          <w:bCs/>
        </w:rPr>
        <w:t>Runghasawmi</w:t>
      </w:r>
      <w:proofErr w:type="spellEnd"/>
      <w:r w:rsidRPr="00B24721">
        <w:rPr>
          <w:b/>
          <w:bCs/>
        </w:rPr>
        <w:t xml:space="preserve"> &amp; </w:t>
      </w:r>
      <w:proofErr w:type="spellStart"/>
      <w:r w:rsidRPr="00B24721">
        <w:rPr>
          <w:b/>
          <w:bCs/>
        </w:rPr>
        <w:t>Ors</w:t>
      </w:r>
      <w:proofErr w:type="spellEnd"/>
      <w:r w:rsidRPr="00B24721">
        <w:rPr>
          <w:b/>
          <w:bCs/>
        </w:rPr>
        <w:t xml:space="preserve"> </w:t>
      </w:r>
      <w:proofErr w:type="gramStart"/>
      <w:r w:rsidRPr="00B24721">
        <w:rPr>
          <w:b/>
          <w:bCs/>
        </w:rPr>
        <w:t>And</w:t>
      </w:r>
      <w:proofErr w:type="gramEnd"/>
      <w:r w:rsidRPr="00B24721">
        <w:rPr>
          <w:b/>
          <w:bCs/>
        </w:rPr>
        <w:t xml:space="preserve"> CWA, RN 784</w:t>
      </w:r>
      <w:r>
        <w:rPr>
          <w:b/>
          <w:bCs/>
        </w:rPr>
        <w:t>.</w:t>
      </w:r>
      <w:r w:rsidR="00A955DB">
        <w:rPr>
          <w:b/>
          <w:bCs/>
        </w:rPr>
        <w:t xml:space="preserve">  </w:t>
      </w:r>
      <w:r w:rsidR="00A955DB" w:rsidRPr="00A955DB">
        <w:rPr>
          <w:bCs/>
        </w:rPr>
        <w:t>Any</w:t>
      </w:r>
      <w:r w:rsidR="00A955DB">
        <w:rPr>
          <w:b/>
          <w:bCs/>
        </w:rPr>
        <w:t xml:space="preserve"> </w:t>
      </w:r>
      <w:r w:rsidR="00A955DB" w:rsidRPr="00A955DB">
        <w:rPr>
          <w:bCs/>
        </w:rPr>
        <w:t>change</w:t>
      </w:r>
      <w:r w:rsidR="00A955DB">
        <w:rPr>
          <w:bCs/>
        </w:rPr>
        <w:t xml:space="preserve"> contemplated to the contents of th</w:t>
      </w:r>
      <w:r w:rsidR="00B07765">
        <w:rPr>
          <w:bCs/>
        </w:rPr>
        <w:t>e</w:t>
      </w:r>
      <w:r w:rsidR="00A955DB">
        <w:rPr>
          <w:bCs/>
        </w:rPr>
        <w:t xml:space="preserve"> </w:t>
      </w:r>
      <w:proofErr w:type="spellStart"/>
      <w:r w:rsidR="00B07765">
        <w:rPr>
          <w:bCs/>
        </w:rPr>
        <w:t>Heeralall</w:t>
      </w:r>
      <w:proofErr w:type="spellEnd"/>
      <w:r w:rsidR="00B07765">
        <w:rPr>
          <w:bCs/>
        </w:rPr>
        <w:t xml:space="preserve"> </w:t>
      </w:r>
      <w:r w:rsidR="00A955DB">
        <w:rPr>
          <w:bCs/>
        </w:rPr>
        <w:t xml:space="preserve">Report may </w:t>
      </w:r>
      <w:r w:rsidR="00B07765">
        <w:rPr>
          <w:bCs/>
        </w:rPr>
        <w:t xml:space="preserve">only </w:t>
      </w:r>
      <w:r w:rsidR="00A955DB">
        <w:rPr>
          <w:bCs/>
        </w:rPr>
        <w:t xml:space="preserve">be </w:t>
      </w:r>
      <w:r w:rsidR="00DB2E74">
        <w:rPr>
          <w:bCs/>
        </w:rPr>
        <w:t>made</w:t>
      </w:r>
      <w:r w:rsidR="00A955DB">
        <w:rPr>
          <w:bCs/>
        </w:rPr>
        <w:t xml:space="preserve"> </w:t>
      </w:r>
      <w:r w:rsidR="00B07765">
        <w:rPr>
          <w:bCs/>
        </w:rPr>
        <w:t xml:space="preserve">with the </w:t>
      </w:r>
      <w:r w:rsidR="00844C88">
        <w:rPr>
          <w:bCs/>
        </w:rPr>
        <w:t>consent</w:t>
      </w:r>
      <w:r w:rsidR="00B07765">
        <w:rPr>
          <w:bCs/>
        </w:rPr>
        <w:t xml:space="preserve"> of the parties to the agreement or </w:t>
      </w:r>
      <w:r w:rsidR="00A955DB">
        <w:rPr>
          <w:bCs/>
        </w:rPr>
        <w:t>as provided by law.  For all the reasons given above, the Tribunal finds that the Disputant has failed to show that she should be paid a waste water allowance of 10% of h</w:t>
      </w:r>
      <w:r w:rsidR="00B07765">
        <w:rPr>
          <w:bCs/>
        </w:rPr>
        <w:t>er</w:t>
      </w:r>
      <w:r w:rsidR="00A955DB">
        <w:rPr>
          <w:bCs/>
        </w:rPr>
        <w:t xml:space="preserve"> gross salary.   </w:t>
      </w:r>
      <w:r w:rsidR="00A955DB">
        <w:rPr>
          <w:b/>
          <w:bCs/>
        </w:rPr>
        <w:t xml:space="preserve"> </w:t>
      </w:r>
    </w:p>
    <w:p w:rsidR="00CD6B48" w:rsidRDefault="00CD6B48" w:rsidP="00CD6B48">
      <w:pPr>
        <w:rPr>
          <w:b/>
          <w:bCs/>
        </w:rPr>
      </w:pPr>
    </w:p>
    <w:p w:rsidR="00CD6B48" w:rsidRPr="00A955DB" w:rsidRDefault="00A955DB" w:rsidP="00CD6B48">
      <w:pPr>
        <w:rPr>
          <w:bCs/>
        </w:rPr>
      </w:pPr>
      <w:r w:rsidRPr="00A955DB">
        <w:rPr>
          <w:bCs/>
        </w:rPr>
        <w:t>The dispute is thus set aside.</w:t>
      </w:r>
    </w:p>
    <w:p w:rsidR="00CD6B48" w:rsidRDefault="00CD6B48" w:rsidP="00CD6B48">
      <w:pPr>
        <w:rPr>
          <w:b/>
          <w:bCs/>
        </w:rPr>
      </w:pPr>
    </w:p>
    <w:p w:rsidR="00CD6B48" w:rsidRDefault="00CD6B48" w:rsidP="00CD6B48"/>
    <w:p w:rsidR="00C9784A" w:rsidRDefault="00C9784A" w:rsidP="00E32605"/>
    <w:p w:rsidR="00C9784A" w:rsidRDefault="00C9784A" w:rsidP="00E32605"/>
    <w:p w:rsidR="00C9784A" w:rsidRPr="00C52742" w:rsidRDefault="00820018" w:rsidP="00C9784A">
      <w:pPr>
        <w:rPr>
          <w:b/>
        </w:rPr>
      </w:pPr>
      <w:r>
        <w:rPr>
          <w:b/>
          <w:bCs/>
        </w:rPr>
        <w:t>(</w:t>
      </w:r>
      <w:proofErr w:type="spellStart"/>
      <w:proofErr w:type="gramStart"/>
      <w:r>
        <w:rPr>
          <w:b/>
          <w:bCs/>
        </w:rPr>
        <w:t>Sd</w:t>
      </w:r>
      <w:proofErr w:type="spellEnd"/>
      <w:proofErr w:type="gramEnd"/>
      <w:r>
        <w:rPr>
          <w:b/>
          <w:bCs/>
        </w:rPr>
        <w:t xml:space="preserve">) </w:t>
      </w:r>
      <w:r w:rsidR="00C9784A" w:rsidRPr="00C52742">
        <w:rPr>
          <w:b/>
        </w:rPr>
        <w:t>Indiren Sivaramen</w:t>
      </w:r>
      <w:r w:rsidR="00C9784A">
        <w:rPr>
          <w:b/>
        </w:rPr>
        <w:tab/>
      </w:r>
      <w:r w:rsidR="00C9784A">
        <w:rPr>
          <w:b/>
        </w:rPr>
        <w:tab/>
      </w:r>
      <w:r w:rsidR="00C9784A">
        <w:rPr>
          <w:b/>
        </w:rPr>
        <w:tab/>
      </w:r>
      <w:r w:rsidR="00C9784A">
        <w:rPr>
          <w:b/>
        </w:rPr>
        <w:tab/>
      </w:r>
      <w:r w:rsidR="00C9784A">
        <w:rPr>
          <w:b/>
        </w:rPr>
        <w:tab/>
      </w:r>
      <w:r w:rsidR="00C9784A">
        <w:rPr>
          <w:b/>
        </w:rPr>
        <w:tab/>
      </w:r>
    </w:p>
    <w:p w:rsidR="00C9784A" w:rsidRPr="00C52742" w:rsidRDefault="00C9784A" w:rsidP="00C9784A">
      <w:pPr>
        <w:rPr>
          <w:b/>
        </w:rPr>
      </w:pPr>
      <w:r w:rsidRPr="00C52742">
        <w:rPr>
          <w:b/>
        </w:rPr>
        <w:t>Vice-President</w:t>
      </w:r>
      <w:r>
        <w:rPr>
          <w:b/>
        </w:rPr>
        <w:tab/>
      </w:r>
      <w:r>
        <w:rPr>
          <w:b/>
        </w:rPr>
        <w:tab/>
      </w:r>
      <w:r>
        <w:rPr>
          <w:b/>
        </w:rPr>
        <w:tab/>
      </w:r>
      <w:r>
        <w:rPr>
          <w:b/>
        </w:rPr>
        <w:tab/>
      </w:r>
      <w:r>
        <w:rPr>
          <w:b/>
        </w:rPr>
        <w:tab/>
      </w:r>
      <w:r>
        <w:rPr>
          <w:b/>
        </w:rPr>
        <w:tab/>
      </w:r>
    </w:p>
    <w:p w:rsidR="00C9784A" w:rsidRDefault="00C9784A" w:rsidP="00C9784A">
      <w:pPr>
        <w:rPr>
          <w:b/>
        </w:rPr>
      </w:pPr>
    </w:p>
    <w:p w:rsidR="00C9784A" w:rsidRPr="00C52742" w:rsidRDefault="00C9784A" w:rsidP="00C9784A">
      <w:pPr>
        <w:rPr>
          <w:b/>
        </w:rPr>
      </w:pPr>
    </w:p>
    <w:p w:rsidR="00C9784A" w:rsidRDefault="00C9784A" w:rsidP="00C9784A">
      <w:pPr>
        <w:rPr>
          <w:b/>
        </w:rPr>
      </w:pPr>
    </w:p>
    <w:p w:rsidR="00C9784A" w:rsidRDefault="00820018" w:rsidP="00C9784A">
      <w:pPr>
        <w:rPr>
          <w:b/>
        </w:rPr>
      </w:pPr>
      <w:r>
        <w:rPr>
          <w:b/>
          <w:bCs/>
        </w:rPr>
        <w:t>(</w:t>
      </w:r>
      <w:proofErr w:type="spellStart"/>
      <w:proofErr w:type="gramStart"/>
      <w:r>
        <w:rPr>
          <w:b/>
          <w:bCs/>
        </w:rPr>
        <w:t>Sd</w:t>
      </w:r>
      <w:proofErr w:type="spellEnd"/>
      <w:proofErr w:type="gramEnd"/>
      <w:r>
        <w:rPr>
          <w:b/>
          <w:bCs/>
        </w:rPr>
        <w:t xml:space="preserve">) </w:t>
      </w:r>
      <w:r w:rsidR="00C9784A">
        <w:rPr>
          <w:b/>
        </w:rPr>
        <w:t xml:space="preserve">Vijay Kumar Mohit </w:t>
      </w:r>
    </w:p>
    <w:p w:rsidR="00C9784A" w:rsidRDefault="00C9784A" w:rsidP="00C9784A">
      <w:pPr>
        <w:rPr>
          <w:b/>
        </w:rPr>
      </w:pPr>
      <w:r w:rsidRPr="00C52742">
        <w:rPr>
          <w:b/>
        </w:rPr>
        <w:t>Member</w:t>
      </w:r>
    </w:p>
    <w:p w:rsidR="00C9784A" w:rsidRDefault="00C9784A" w:rsidP="00C9784A">
      <w:pPr>
        <w:rPr>
          <w:b/>
        </w:rPr>
      </w:pPr>
    </w:p>
    <w:p w:rsidR="00C9784A" w:rsidRDefault="00C9784A" w:rsidP="00C9784A">
      <w:pPr>
        <w:rPr>
          <w:b/>
        </w:rPr>
      </w:pPr>
    </w:p>
    <w:p w:rsidR="00C9784A" w:rsidRDefault="00C9784A" w:rsidP="00C9784A">
      <w:pPr>
        <w:rPr>
          <w:b/>
        </w:rPr>
      </w:pPr>
    </w:p>
    <w:p w:rsidR="00C9784A" w:rsidRPr="00C52742" w:rsidRDefault="00820018" w:rsidP="00C9784A">
      <w:pPr>
        <w:rPr>
          <w:b/>
        </w:rPr>
      </w:pPr>
      <w:r>
        <w:rPr>
          <w:b/>
          <w:bCs/>
        </w:rPr>
        <w:t>(</w:t>
      </w:r>
      <w:proofErr w:type="spellStart"/>
      <w:proofErr w:type="gramStart"/>
      <w:r>
        <w:rPr>
          <w:b/>
          <w:bCs/>
        </w:rPr>
        <w:t>Sd</w:t>
      </w:r>
      <w:proofErr w:type="spellEnd"/>
      <w:proofErr w:type="gramEnd"/>
      <w:r>
        <w:rPr>
          <w:b/>
          <w:bCs/>
        </w:rPr>
        <w:t xml:space="preserve">) </w:t>
      </w:r>
      <w:r w:rsidR="00C9784A">
        <w:rPr>
          <w:b/>
        </w:rPr>
        <w:t>Jay Komarduth Hurry</w:t>
      </w:r>
      <w:r w:rsidR="00C9784A">
        <w:rPr>
          <w:b/>
        </w:rPr>
        <w:tab/>
      </w:r>
      <w:r w:rsidR="00C9784A">
        <w:rPr>
          <w:b/>
        </w:rPr>
        <w:tab/>
      </w:r>
      <w:r w:rsidR="00C9784A">
        <w:rPr>
          <w:b/>
        </w:rPr>
        <w:tab/>
      </w:r>
      <w:r w:rsidR="00C9784A">
        <w:rPr>
          <w:b/>
        </w:rPr>
        <w:tab/>
      </w:r>
      <w:r w:rsidR="00C9784A">
        <w:rPr>
          <w:b/>
        </w:rPr>
        <w:tab/>
      </w:r>
      <w:r w:rsidR="00C9784A">
        <w:rPr>
          <w:b/>
        </w:rPr>
        <w:tab/>
      </w:r>
      <w:r w:rsidR="00C9784A">
        <w:rPr>
          <w:b/>
        </w:rPr>
        <w:tab/>
      </w:r>
    </w:p>
    <w:p w:rsidR="00C9784A" w:rsidRDefault="00C9784A" w:rsidP="00C9784A">
      <w:pPr>
        <w:rPr>
          <w:b/>
        </w:rPr>
      </w:pPr>
      <w:r w:rsidRPr="00C52742">
        <w:rPr>
          <w:b/>
        </w:rPr>
        <w:t>Member</w:t>
      </w:r>
      <w:r>
        <w:rPr>
          <w:b/>
        </w:rPr>
        <w:tab/>
      </w:r>
      <w:r>
        <w:rPr>
          <w:b/>
        </w:rPr>
        <w:tab/>
      </w:r>
      <w:r>
        <w:rPr>
          <w:b/>
        </w:rPr>
        <w:tab/>
      </w:r>
      <w:r>
        <w:rPr>
          <w:b/>
        </w:rPr>
        <w:tab/>
      </w:r>
      <w:r>
        <w:rPr>
          <w:b/>
        </w:rPr>
        <w:tab/>
      </w:r>
      <w:r>
        <w:rPr>
          <w:b/>
        </w:rPr>
        <w:tab/>
      </w:r>
      <w:r>
        <w:rPr>
          <w:b/>
        </w:rPr>
        <w:tab/>
      </w:r>
    </w:p>
    <w:p w:rsidR="00C9784A" w:rsidRDefault="00C9784A" w:rsidP="00C9784A">
      <w:pPr>
        <w:rPr>
          <w:b/>
        </w:rPr>
      </w:pPr>
    </w:p>
    <w:p w:rsidR="00C9784A" w:rsidRDefault="00C9784A" w:rsidP="00C9784A">
      <w:pPr>
        <w:rPr>
          <w:b/>
        </w:rPr>
      </w:pPr>
    </w:p>
    <w:p w:rsidR="00C9784A" w:rsidRDefault="00C9784A" w:rsidP="00C9784A">
      <w:pPr>
        <w:rPr>
          <w:b/>
        </w:rPr>
      </w:pPr>
    </w:p>
    <w:p w:rsidR="00C9784A" w:rsidRDefault="00820018" w:rsidP="00C9784A">
      <w:pPr>
        <w:rPr>
          <w:b/>
        </w:rPr>
      </w:pPr>
      <w:r>
        <w:rPr>
          <w:b/>
          <w:bCs/>
        </w:rPr>
        <w:t>(</w:t>
      </w:r>
      <w:proofErr w:type="spellStart"/>
      <w:proofErr w:type="gramStart"/>
      <w:r>
        <w:rPr>
          <w:b/>
          <w:bCs/>
        </w:rPr>
        <w:t>Sd</w:t>
      </w:r>
      <w:proofErr w:type="spellEnd"/>
      <w:proofErr w:type="gramEnd"/>
      <w:r>
        <w:rPr>
          <w:b/>
          <w:bCs/>
        </w:rPr>
        <w:t xml:space="preserve">) </w:t>
      </w:r>
      <w:r w:rsidR="00C9784A">
        <w:rPr>
          <w:b/>
        </w:rPr>
        <w:t>Georges Karl Louis</w:t>
      </w:r>
    </w:p>
    <w:p w:rsidR="00C9784A" w:rsidRDefault="00C9784A" w:rsidP="00E32605">
      <w:r w:rsidRPr="00C52742">
        <w:rPr>
          <w:b/>
        </w:rPr>
        <w:t>Member</w:t>
      </w:r>
      <w:r>
        <w:rPr>
          <w:b/>
        </w:rPr>
        <w:tab/>
      </w:r>
      <w:r>
        <w:rPr>
          <w:b/>
        </w:rPr>
        <w:tab/>
      </w:r>
      <w:r>
        <w:rPr>
          <w:b/>
        </w:rPr>
        <w:tab/>
      </w:r>
      <w:r>
        <w:rPr>
          <w:b/>
        </w:rPr>
        <w:tab/>
      </w:r>
      <w:r>
        <w:rPr>
          <w:b/>
        </w:rPr>
        <w:tab/>
      </w:r>
      <w:r>
        <w:rPr>
          <w:b/>
        </w:rPr>
        <w:tab/>
      </w:r>
      <w:r>
        <w:rPr>
          <w:b/>
        </w:rPr>
        <w:tab/>
      </w:r>
      <w:r>
        <w:rPr>
          <w:b/>
        </w:rPr>
        <w:tab/>
      </w:r>
      <w:r>
        <w:rPr>
          <w:b/>
        </w:rPr>
        <w:tab/>
      </w:r>
      <w:r w:rsidR="00204BDC">
        <w:rPr>
          <w:b/>
        </w:rPr>
        <w:t>15</w:t>
      </w:r>
      <w:r w:rsidRPr="00E66F1D">
        <w:rPr>
          <w:b/>
        </w:rPr>
        <w:t xml:space="preserve"> </w:t>
      </w:r>
      <w:r>
        <w:rPr>
          <w:b/>
        </w:rPr>
        <w:t>Ju</w:t>
      </w:r>
      <w:r w:rsidR="00A955DB">
        <w:rPr>
          <w:b/>
        </w:rPr>
        <w:t>ly</w:t>
      </w:r>
      <w:r>
        <w:rPr>
          <w:b/>
        </w:rPr>
        <w:t xml:space="preserve"> </w:t>
      </w:r>
      <w:r w:rsidRPr="00C52742">
        <w:rPr>
          <w:b/>
        </w:rPr>
        <w:t>201</w:t>
      </w:r>
      <w:r>
        <w:rPr>
          <w:b/>
        </w:rPr>
        <w:t>6</w:t>
      </w:r>
    </w:p>
    <w:sectPr w:rsidR="00C9784A" w:rsidSect="008F03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C95" w:rsidRDefault="00E76C95" w:rsidP="00E54C00">
      <w:r>
        <w:separator/>
      </w:r>
    </w:p>
  </w:endnote>
  <w:endnote w:type="continuationSeparator" w:id="0">
    <w:p w:rsidR="00E76C95" w:rsidRDefault="00E76C95" w:rsidP="00E5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77857"/>
      <w:docPartObj>
        <w:docPartGallery w:val="Page Numbers (Bottom of Page)"/>
        <w:docPartUnique/>
      </w:docPartObj>
    </w:sdtPr>
    <w:sdtEndPr/>
    <w:sdtContent>
      <w:p w:rsidR="00941B88" w:rsidRDefault="00FC02C3">
        <w:pPr>
          <w:pStyle w:val="Footer"/>
          <w:jc w:val="center"/>
        </w:pPr>
        <w:r>
          <w:fldChar w:fldCharType="begin"/>
        </w:r>
        <w:r>
          <w:instrText xml:space="preserve"> PAGE   \* MERGEFORMAT </w:instrText>
        </w:r>
        <w:r>
          <w:fldChar w:fldCharType="separate"/>
        </w:r>
        <w:r w:rsidR="00533702">
          <w:rPr>
            <w:noProof/>
          </w:rPr>
          <w:t>1</w:t>
        </w:r>
        <w:r>
          <w:rPr>
            <w:noProof/>
          </w:rPr>
          <w:fldChar w:fldCharType="end"/>
        </w:r>
      </w:p>
    </w:sdtContent>
  </w:sdt>
  <w:p w:rsidR="00941B88" w:rsidRDefault="00941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C95" w:rsidRDefault="00E76C95" w:rsidP="00E54C00">
      <w:r>
        <w:separator/>
      </w:r>
    </w:p>
  </w:footnote>
  <w:footnote w:type="continuationSeparator" w:id="0">
    <w:p w:rsidR="00E76C95" w:rsidRDefault="00E76C95" w:rsidP="00E54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B1B8D"/>
    <w:multiLevelType w:val="hybridMultilevel"/>
    <w:tmpl w:val="38BCCF04"/>
    <w:lvl w:ilvl="0" w:tplc="04090017">
      <w:start w:val="1"/>
      <w:numFmt w:val="lowerLetter"/>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55BE1E47"/>
    <w:multiLevelType w:val="hybridMultilevel"/>
    <w:tmpl w:val="9B4C18EA"/>
    <w:lvl w:ilvl="0" w:tplc="0CCAE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2605"/>
    <w:rsid w:val="000458E3"/>
    <w:rsid w:val="00062FD2"/>
    <w:rsid w:val="00063F8D"/>
    <w:rsid w:val="000847FB"/>
    <w:rsid w:val="000D435F"/>
    <w:rsid w:val="0015530C"/>
    <w:rsid w:val="001951A4"/>
    <w:rsid w:val="001A5C55"/>
    <w:rsid w:val="001B21E0"/>
    <w:rsid w:val="001B3B2C"/>
    <w:rsid w:val="00202B76"/>
    <w:rsid w:val="00204BDC"/>
    <w:rsid w:val="002071F7"/>
    <w:rsid w:val="00226D1B"/>
    <w:rsid w:val="00284B9C"/>
    <w:rsid w:val="00285E58"/>
    <w:rsid w:val="002A47C6"/>
    <w:rsid w:val="00311F90"/>
    <w:rsid w:val="00363F9E"/>
    <w:rsid w:val="003C3942"/>
    <w:rsid w:val="003D0A35"/>
    <w:rsid w:val="003F6920"/>
    <w:rsid w:val="00420FBC"/>
    <w:rsid w:val="004900E8"/>
    <w:rsid w:val="00495B99"/>
    <w:rsid w:val="004E0529"/>
    <w:rsid w:val="00513D5B"/>
    <w:rsid w:val="0052069E"/>
    <w:rsid w:val="00533702"/>
    <w:rsid w:val="005420C0"/>
    <w:rsid w:val="00562E2E"/>
    <w:rsid w:val="005B1454"/>
    <w:rsid w:val="005B1F4D"/>
    <w:rsid w:val="006760BE"/>
    <w:rsid w:val="006C0C56"/>
    <w:rsid w:val="006C4381"/>
    <w:rsid w:val="006D3AAD"/>
    <w:rsid w:val="00704890"/>
    <w:rsid w:val="00704B1C"/>
    <w:rsid w:val="00711F52"/>
    <w:rsid w:val="0074256A"/>
    <w:rsid w:val="007474A9"/>
    <w:rsid w:val="00752D65"/>
    <w:rsid w:val="007F2DEA"/>
    <w:rsid w:val="007F7DEC"/>
    <w:rsid w:val="00820018"/>
    <w:rsid w:val="00833853"/>
    <w:rsid w:val="00844C88"/>
    <w:rsid w:val="00865259"/>
    <w:rsid w:val="008A2588"/>
    <w:rsid w:val="008B05C1"/>
    <w:rsid w:val="008C6846"/>
    <w:rsid w:val="008F0378"/>
    <w:rsid w:val="00915C5C"/>
    <w:rsid w:val="00940B76"/>
    <w:rsid w:val="00941420"/>
    <w:rsid w:val="00941544"/>
    <w:rsid w:val="00941B88"/>
    <w:rsid w:val="00951334"/>
    <w:rsid w:val="0098217C"/>
    <w:rsid w:val="00985993"/>
    <w:rsid w:val="009A27AE"/>
    <w:rsid w:val="00A665B1"/>
    <w:rsid w:val="00A955DB"/>
    <w:rsid w:val="00AC3DE4"/>
    <w:rsid w:val="00AC5F68"/>
    <w:rsid w:val="00AD1E28"/>
    <w:rsid w:val="00B07765"/>
    <w:rsid w:val="00B51D4B"/>
    <w:rsid w:val="00B8348C"/>
    <w:rsid w:val="00BB4C5C"/>
    <w:rsid w:val="00BD1E91"/>
    <w:rsid w:val="00C21C7D"/>
    <w:rsid w:val="00C34D48"/>
    <w:rsid w:val="00C45620"/>
    <w:rsid w:val="00C6049B"/>
    <w:rsid w:val="00C9784A"/>
    <w:rsid w:val="00CD4924"/>
    <w:rsid w:val="00CD6B48"/>
    <w:rsid w:val="00CE2C5A"/>
    <w:rsid w:val="00D13D9C"/>
    <w:rsid w:val="00D23967"/>
    <w:rsid w:val="00D26DF4"/>
    <w:rsid w:val="00D46D8A"/>
    <w:rsid w:val="00DB2E74"/>
    <w:rsid w:val="00DD7F2A"/>
    <w:rsid w:val="00DF62B0"/>
    <w:rsid w:val="00E03266"/>
    <w:rsid w:val="00E308AB"/>
    <w:rsid w:val="00E32605"/>
    <w:rsid w:val="00E54C00"/>
    <w:rsid w:val="00E616BC"/>
    <w:rsid w:val="00E67BD1"/>
    <w:rsid w:val="00E76C95"/>
    <w:rsid w:val="00E83A77"/>
    <w:rsid w:val="00EB5B55"/>
    <w:rsid w:val="00ED0119"/>
    <w:rsid w:val="00EE48B3"/>
    <w:rsid w:val="00EF44BC"/>
    <w:rsid w:val="00F15ECB"/>
    <w:rsid w:val="00F20762"/>
    <w:rsid w:val="00FC02C3"/>
    <w:rsid w:val="00FC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05"/>
    <w:pPr>
      <w:spacing w:after="0" w:line="240" w:lineRule="auto"/>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69E"/>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520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54C00"/>
    <w:pPr>
      <w:tabs>
        <w:tab w:val="center" w:pos="4680"/>
        <w:tab w:val="right" w:pos="9360"/>
      </w:tabs>
    </w:pPr>
  </w:style>
  <w:style w:type="character" w:customStyle="1" w:styleId="HeaderChar">
    <w:name w:val="Header Char"/>
    <w:basedOn w:val="DefaultParagraphFont"/>
    <w:link w:val="Header"/>
    <w:uiPriority w:val="99"/>
    <w:semiHidden/>
    <w:rsid w:val="00E54C00"/>
    <w:rPr>
      <w:rFonts w:ascii="Arial" w:eastAsia="Calibri" w:hAnsi="Arial" w:cs="Arial"/>
      <w:sz w:val="24"/>
      <w:szCs w:val="24"/>
    </w:rPr>
  </w:style>
  <w:style w:type="paragraph" w:styleId="Footer">
    <w:name w:val="footer"/>
    <w:basedOn w:val="Normal"/>
    <w:link w:val="FooterChar"/>
    <w:uiPriority w:val="99"/>
    <w:unhideWhenUsed/>
    <w:rsid w:val="00E54C00"/>
    <w:pPr>
      <w:tabs>
        <w:tab w:val="center" w:pos="4680"/>
        <w:tab w:val="right" w:pos="9360"/>
      </w:tabs>
    </w:pPr>
  </w:style>
  <w:style w:type="character" w:customStyle="1" w:styleId="FooterChar">
    <w:name w:val="Footer Char"/>
    <w:basedOn w:val="DefaultParagraphFont"/>
    <w:link w:val="Footer"/>
    <w:uiPriority w:val="99"/>
    <w:rsid w:val="00E54C00"/>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C062C8-7500-4318-8DEB-0BB4FA08518E}"/>
</file>

<file path=customXml/itemProps2.xml><?xml version="1.0" encoding="utf-8"?>
<ds:datastoreItem xmlns:ds="http://schemas.openxmlformats.org/officeDocument/2006/customXml" ds:itemID="{3689CF90-BC39-435E-9F1F-CF6BB27F40CE}"/>
</file>

<file path=customXml/itemProps3.xml><?xml version="1.0" encoding="utf-8"?>
<ds:datastoreItem xmlns:ds="http://schemas.openxmlformats.org/officeDocument/2006/customXml" ds:itemID="{8F0A3D6F-7F53-4E3D-94A4-28E7730CEF92}"/>
</file>

<file path=docProps/app.xml><?xml version="1.0" encoding="utf-8"?>
<Properties xmlns="http://schemas.openxmlformats.org/officeDocument/2006/extended-properties" xmlns:vt="http://schemas.openxmlformats.org/officeDocument/2006/docPropsVTypes">
  <Template>Normal.dotm</Template>
  <TotalTime>1</TotalTime>
  <Pages>1</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5</cp:revision>
  <cp:lastPrinted>2016-07-15T10:18:00Z</cp:lastPrinted>
  <dcterms:created xsi:type="dcterms:W3CDTF">2016-07-15T08:55:00Z</dcterms:created>
  <dcterms:modified xsi:type="dcterms:W3CDTF">2016-07-15T10:18:00Z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94700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