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CD" w:rsidRDefault="00B67DCD" w:rsidP="00B67DCD">
      <w:pPr>
        <w:widowControl w:val="0"/>
        <w:autoSpaceDE w:val="0"/>
        <w:autoSpaceDN w:val="0"/>
        <w:adjustRightInd w:val="0"/>
        <w:spacing w:after="0"/>
        <w:jc w:val="center"/>
        <w:rPr>
          <w:b/>
          <w:bCs/>
          <w:sz w:val="28"/>
          <w:szCs w:val="28"/>
        </w:rPr>
      </w:pPr>
      <w:bookmarkStart w:id="0" w:name="_GoBack"/>
      <w:bookmarkEnd w:id="0"/>
      <w:r>
        <w:rPr>
          <w:b/>
          <w:bCs/>
          <w:sz w:val="28"/>
          <w:szCs w:val="28"/>
        </w:rPr>
        <w:t>EMPLOYMENT RELATIONS TRIBUNAL</w:t>
      </w:r>
    </w:p>
    <w:p w:rsidR="00B67DCD" w:rsidRPr="00A504A4" w:rsidRDefault="00B67DCD" w:rsidP="00B67DCD">
      <w:pPr>
        <w:tabs>
          <w:tab w:val="center" w:pos="4545"/>
          <w:tab w:val="left" w:pos="5820"/>
        </w:tabs>
        <w:spacing w:after="0"/>
        <w:rPr>
          <w:b/>
          <w:sz w:val="24"/>
          <w:szCs w:val="28"/>
        </w:rPr>
      </w:pPr>
      <w:r>
        <w:rPr>
          <w:b/>
          <w:sz w:val="28"/>
          <w:szCs w:val="28"/>
        </w:rPr>
        <w:tab/>
      </w:r>
    </w:p>
    <w:p w:rsidR="00B67DCD" w:rsidRDefault="00B67DCD" w:rsidP="00B67DCD">
      <w:pPr>
        <w:tabs>
          <w:tab w:val="center" w:pos="4545"/>
          <w:tab w:val="left" w:pos="5820"/>
        </w:tabs>
        <w:spacing w:after="0" w:line="360" w:lineRule="auto"/>
        <w:rPr>
          <w:b/>
          <w:sz w:val="28"/>
          <w:szCs w:val="28"/>
        </w:rPr>
      </w:pPr>
      <w:r>
        <w:rPr>
          <w:b/>
          <w:sz w:val="28"/>
          <w:szCs w:val="28"/>
        </w:rPr>
        <w:tab/>
        <w:t>R</w:t>
      </w:r>
      <w:r w:rsidR="00DD5BDC">
        <w:rPr>
          <w:b/>
          <w:sz w:val="28"/>
          <w:szCs w:val="28"/>
        </w:rPr>
        <w:t>ULING</w:t>
      </w:r>
    </w:p>
    <w:p w:rsidR="00B67DCD" w:rsidRPr="00A504A4" w:rsidRDefault="00B67DCD" w:rsidP="00B67DCD">
      <w:pPr>
        <w:tabs>
          <w:tab w:val="center" w:pos="4545"/>
          <w:tab w:val="left" w:pos="5820"/>
        </w:tabs>
        <w:spacing w:after="0" w:line="360" w:lineRule="auto"/>
        <w:rPr>
          <w:b/>
          <w:sz w:val="24"/>
          <w:szCs w:val="28"/>
        </w:rPr>
      </w:pPr>
      <w:r w:rsidRPr="002829AE">
        <w:rPr>
          <w:b/>
          <w:sz w:val="28"/>
          <w:szCs w:val="28"/>
        </w:rPr>
        <w:tab/>
      </w:r>
    </w:p>
    <w:p w:rsidR="00B67DCD" w:rsidRPr="00CF01C9" w:rsidRDefault="00B67DCD" w:rsidP="00B67DCD">
      <w:pPr>
        <w:spacing w:after="0"/>
        <w:rPr>
          <w:sz w:val="24"/>
          <w:szCs w:val="24"/>
        </w:rPr>
      </w:pPr>
      <w:r>
        <w:rPr>
          <w:sz w:val="28"/>
          <w:szCs w:val="24"/>
        </w:rPr>
        <w:t>ERT/RN 117/2016</w:t>
      </w:r>
    </w:p>
    <w:p w:rsidR="00B67DCD" w:rsidRDefault="00B67DCD" w:rsidP="00B67DCD">
      <w:pPr>
        <w:spacing w:after="0"/>
        <w:rPr>
          <w:b/>
          <w:sz w:val="24"/>
          <w:szCs w:val="24"/>
        </w:rPr>
      </w:pPr>
    </w:p>
    <w:p w:rsidR="00B67DCD" w:rsidRPr="00CF01C9" w:rsidRDefault="00B67DCD" w:rsidP="00B67DCD">
      <w:pPr>
        <w:spacing w:after="0"/>
        <w:rPr>
          <w:sz w:val="28"/>
          <w:szCs w:val="24"/>
        </w:rPr>
      </w:pPr>
      <w:r w:rsidRPr="00CF01C9">
        <w:rPr>
          <w:sz w:val="28"/>
          <w:szCs w:val="24"/>
        </w:rPr>
        <w:t>Before:</w:t>
      </w:r>
    </w:p>
    <w:p w:rsidR="00B67DCD" w:rsidRDefault="00602499" w:rsidP="00B67DCD">
      <w:pPr>
        <w:spacing w:after="0"/>
        <w:rPr>
          <w:b/>
          <w:sz w:val="24"/>
          <w:szCs w:val="24"/>
        </w:rPr>
      </w:pPr>
      <w:r>
        <w:rPr>
          <w:b/>
          <w:sz w:val="24"/>
          <w:szCs w:val="24"/>
        </w:rPr>
        <w:tab/>
      </w:r>
    </w:p>
    <w:p w:rsidR="00B67DCD" w:rsidRPr="00E372AC" w:rsidRDefault="00B67DCD" w:rsidP="00B67DCD">
      <w:pPr>
        <w:spacing w:after="0" w:line="360" w:lineRule="auto"/>
        <w:ind w:left="720" w:right="831"/>
        <w:rPr>
          <w:b/>
          <w:bCs/>
          <w:sz w:val="28"/>
          <w:szCs w:val="24"/>
        </w:rPr>
      </w:pPr>
      <w:r>
        <w:rPr>
          <w:b/>
          <w:bCs/>
          <w:sz w:val="28"/>
          <w:szCs w:val="24"/>
        </w:rPr>
        <w:t>Shameer Janhangeer</w:t>
      </w:r>
      <w:r>
        <w:rPr>
          <w:b/>
          <w:bCs/>
          <w:sz w:val="28"/>
          <w:szCs w:val="24"/>
        </w:rPr>
        <w:tab/>
      </w:r>
      <w:r>
        <w:rPr>
          <w:b/>
          <w:bCs/>
          <w:sz w:val="28"/>
          <w:szCs w:val="24"/>
        </w:rPr>
        <w:tab/>
      </w:r>
      <w:r>
        <w:rPr>
          <w:b/>
          <w:bCs/>
          <w:sz w:val="28"/>
          <w:szCs w:val="24"/>
        </w:rPr>
        <w:tab/>
      </w:r>
      <w:r>
        <w:rPr>
          <w:b/>
          <w:bCs/>
          <w:sz w:val="28"/>
          <w:szCs w:val="24"/>
        </w:rPr>
        <w:tab/>
      </w:r>
      <w:r w:rsidRPr="00E372AC">
        <w:rPr>
          <w:b/>
          <w:bCs/>
          <w:sz w:val="28"/>
          <w:szCs w:val="24"/>
        </w:rPr>
        <w:t>-</w:t>
      </w:r>
      <w:r w:rsidRPr="00E372AC">
        <w:rPr>
          <w:b/>
          <w:bCs/>
          <w:sz w:val="28"/>
          <w:szCs w:val="24"/>
        </w:rPr>
        <w:tab/>
        <w:t>Vice-President</w:t>
      </w:r>
    </w:p>
    <w:p w:rsidR="00B67DCD" w:rsidRPr="00E372AC" w:rsidRDefault="00B67DCD" w:rsidP="00B67DCD">
      <w:pPr>
        <w:spacing w:after="0" w:line="360" w:lineRule="auto"/>
        <w:ind w:right="831" w:firstLine="720"/>
        <w:rPr>
          <w:b/>
          <w:bCs/>
          <w:sz w:val="28"/>
          <w:szCs w:val="24"/>
        </w:rPr>
      </w:pPr>
      <w:r w:rsidRPr="00E372AC">
        <w:rPr>
          <w:b/>
          <w:bCs/>
          <w:sz w:val="28"/>
          <w:szCs w:val="24"/>
        </w:rPr>
        <w:t>Esther Hanoomanjee (Mrs)</w:t>
      </w:r>
      <w:r w:rsidRPr="00E372AC">
        <w:rPr>
          <w:b/>
          <w:bCs/>
          <w:sz w:val="28"/>
          <w:szCs w:val="24"/>
        </w:rPr>
        <w:tab/>
      </w:r>
      <w:r w:rsidRPr="00E372AC">
        <w:rPr>
          <w:b/>
          <w:bCs/>
          <w:sz w:val="28"/>
          <w:szCs w:val="24"/>
        </w:rPr>
        <w:tab/>
      </w:r>
      <w:r w:rsidRPr="00E372AC">
        <w:rPr>
          <w:b/>
          <w:bCs/>
          <w:sz w:val="28"/>
          <w:szCs w:val="24"/>
        </w:rPr>
        <w:tab/>
        <w:t>-</w:t>
      </w:r>
      <w:r w:rsidRPr="00E372AC">
        <w:rPr>
          <w:b/>
          <w:bCs/>
          <w:sz w:val="28"/>
          <w:szCs w:val="24"/>
        </w:rPr>
        <w:tab/>
        <w:t>Member</w:t>
      </w:r>
    </w:p>
    <w:p w:rsidR="00B67DCD" w:rsidRPr="00E372AC" w:rsidRDefault="00B67DCD" w:rsidP="00B67DCD">
      <w:pPr>
        <w:spacing w:after="0" w:line="360" w:lineRule="auto"/>
        <w:ind w:firstLine="720"/>
        <w:rPr>
          <w:b/>
          <w:bCs/>
          <w:sz w:val="28"/>
          <w:szCs w:val="24"/>
        </w:rPr>
      </w:pPr>
      <w:r w:rsidRPr="00E372AC">
        <w:rPr>
          <w:b/>
          <w:bCs/>
          <w:sz w:val="28"/>
          <w:szCs w:val="24"/>
        </w:rPr>
        <w:t>Rajesvari Narasingam Ramdoo (Mrs)</w:t>
      </w:r>
      <w:r w:rsidRPr="00E372AC">
        <w:rPr>
          <w:b/>
          <w:bCs/>
          <w:sz w:val="28"/>
          <w:szCs w:val="24"/>
        </w:rPr>
        <w:tab/>
      </w:r>
      <w:r w:rsidRPr="00E372AC">
        <w:rPr>
          <w:b/>
          <w:bCs/>
          <w:sz w:val="28"/>
          <w:szCs w:val="24"/>
        </w:rPr>
        <w:tab/>
        <w:t>-</w:t>
      </w:r>
      <w:r w:rsidRPr="00E372AC">
        <w:rPr>
          <w:b/>
          <w:bCs/>
          <w:sz w:val="28"/>
          <w:szCs w:val="24"/>
        </w:rPr>
        <w:tab/>
        <w:t>Member</w:t>
      </w:r>
    </w:p>
    <w:p w:rsidR="00B67DCD" w:rsidRPr="00E372AC" w:rsidRDefault="00B67DCD" w:rsidP="00B67DCD">
      <w:pPr>
        <w:spacing w:after="0" w:line="360" w:lineRule="auto"/>
        <w:ind w:right="831" w:firstLine="720"/>
        <w:rPr>
          <w:b/>
          <w:bCs/>
          <w:sz w:val="28"/>
          <w:szCs w:val="24"/>
        </w:rPr>
      </w:pPr>
      <w:r w:rsidRPr="00E372AC">
        <w:rPr>
          <w:b/>
          <w:bCs/>
          <w:sz w:val="28"/>
          <w:szCs w:val="24"/>
        </w:rPr>
        <w:t>Renganaden Veeramootoo</w:t>
      </w:r>
      <w:r w:rsidRPr="00E372AC">
        <w:rPr>
          <w:b/>
          <w:bCs/>
          <w:sz w:val="28"/>
          <w:szCs w:val="24"/>
        </w:rPr>
        <w:tab/>
      </w:r>
      <w:r w:rsidRPr="00E372AC">
        <w:rPr>
          <w:b/>
          <w:bCs/>
          <w:sz w:val="28"/>
          <w:szCs w:val="24"/>
        </w:rPr>
        <w:tab/>
      </w:r>
      <w:r w:rsidRPr="00E372AC">
        <w:rPr>
          <w:b/>
          <w:bCs/>
          <w:sz w:val="28"/>
          <w:szCs w:val="24"/>
        </w:rPr>
        <w:tab/>
        <w:t>-</w:t>
      </w:r>
      <w:r w:rsidRPr="00E372AC">
        <w:rPr>
          <w:b/>
          <w:bCs/>
          <w:sz w:val="28"/>
          <w:szCs w:val="24"/>
        </w:rPr>
        <w:tab/>
        <w:t>Member</w:t>
      </w:r>
    </w:p>
    <w:p w:rsidR="00B67DCD" w:rsidRDefault="00B67DCD" w:rsidP="006B6F92">
      <w:pPr>
        <w:spacing w:after="0" w:line="276" w:lineRule="auto"/>
        <w:ind w:right="831"/>
        <w:rPr>
          <w:b/>
          <w:bCs/>
          <w:sz w:val="24"/>
          <w:szCs w:val="24"/>
        </w:rPr>
      </w:pPr>
    </w:p>
    <w:p w:rsidR="00B67DCD" w:rsidRDefault="00B67DCD" w:rsidP="006B6F92">
      <w:pPr>
        <w:spacing w:after="0" w:line="276" w:lineRule="auto"/>
        <w:ind w:right="831"/>
        <w:rPr>
          <w:b/>
          <w:bCs/>
          <w:sz w:val="24"/>
          <w:szCs w:val="24"/>
        </w:rPr>
      </w:pPr>
    </w:p>
    <w:p w:rsidR="00B67DCD" w:rsidRPr="00CF01C9" w:rsidRDefault="00B67DCD" w:rsidP="00B67DCD">
      <w:pPr>
        <w:spacing w:after="0"/>
        <w:ind w:right="831"/>
        <w:rPr>
          <w:sz w:val="24"/>
          <w:szCs w:val="24"/>
        </w:rPr>
      </w:pPr>
      <w:r w:rsidRPr="00CF01C9">
        <w:rPr>
          <w:bCs/>
          <w:sz w:val="28"/>
          <w:szCs w:val="24"/>
        </w:rPr>
        <w:t xml:space="preserve">In the matter </w:t>
      </w:r>
      <w:r>
        <w:rPr>
          <w:bCs/>
          <w:sz w:val="28"/>
          <w:szCs w:val="24"/>
        </w:rPr>
        <w:t xml:space="preserve">of: </w:t>
      </w:r>
      <w:r w:rsidRPr="00CF01C9">
        <w:rPr>
          <w:sz w:val="24"/>
          <w:szCs w:val="24"/>
        </w:rPr>
        <w:tab/>
      </w:r>
    </w:p>
    <w:p w:rsidR="00B67DCD" w:rsidRPr="00CF01C9" w:rsidRDefault="00B67DCD" w:rsidP="00B67DCD">
      <w:pPr>
        <w:spacing w:after="0"/>
        <w:jc w:val="both"/>
      </w:pPr>
    </w:p>
    <w:p w:rsidR="00B67DCD" w:rsidRPr="00E372AC" w:rsidRDefault="00B67DCD" w:rsidP="00B67DCD">
      <w:pPr>
        <w:spacing w:after="0"/>
        <w:jc w:val="center"/>
        <w:rPr>
          <w:b/>
          <w:sz w:val="28"/>
        </w:rPr>
      </w:pPr>
      <w:r w:rsidRPr="00E372AC">
        <w:rPr>
          <w:b/>
          <w:sz w:val="28"/>
        </w:rPr>
        <w:t xml:space="preserve">Private </w:t>
      </w:r>
      <w:r>
        <w:rPr>
          <w:b/>
          <w:sz w:val="28"/>
        </w:rPr>
        <w:t>Enterprises</w:t>
      </w:r>
      <w:r w:rsidRPr="00E372AC">
        <w:rPr>
          <w:b/>
          <w:sz w:val="28"/>
        </w:rPr>
        <w:t xml:space="preserve"> Employees Union</w:t>
      </w:r>
    </w:p>
    <w:p w:rsidR="00B67DCD" w:rsidRPr="00CF01C9" w:rsidRDefault="00B67DCD" w:rsidP="00B67DCD">
      <w:pPr>
        <w:spacing w:after="0"/>
        <w:jc w:val="right"/>
        <w:rPr>
          <w:i/>
          <w:sz w:val="20"/>
        </w:rPr>
      </w:pPr>
      <w:r w:rsidRPr="00CF01C9">
        <w:rPr>
          <w:i/>
          <w:sz w:val="24"/>
        </w:rPr>
        <w:t xml:space="preserve">Applicant </w:t>
      </w:r>
    </w:p>
    <w:p w:rsidR="00B67DCD" w:rsidRPr="003C0DDB" w:rsidRDefault="00B67DCD" w:rsidP="00B67DCD">
      <w:pPr>
        <w:spacing w:after="0"/>
        <w:jc w:val="center"/>
        <w:rPr>
          <w:sz w:val="28"/>
        </w:rPr>
      </w:pPr>
      <w:r w:rsidRPr="003C0DDB">
        <w:rPr>
          <w:sz w:val="28"/>
        </w:rPr>
        <w:t>and</w:t>
      </w:r>
    </w:p>
    <w:p w:rsidR="00B67DCD" w:rsidRPr="003C0DDB" w:rsidRDefault="00B67DCD" w:rsidP="00B67DCD">
      <w:pPr>
        <w:spacing w:after="0"/>
        <w:jc w:val="both"/>
        <w:rPr>
          <w:sz w:val="28"/>
        </w:rPr>
      </w:pPr>
    </w:p>
    <w:p w:rsidR="00B67DCD" w:rsidRPr="00E372AC" w:rsidRDefault="00B67DCD" w:rsidP="00B67DCD">
      <w:pPr>
        <w:spacing w:after="0"/>
        <w:jc w:val="center"/>
        <w:rPr>
          <w:b/>
          <w:sz w:val="28"/>
        </w:rPr>
      </w:pPr>
      <w:r>
        <w:rPr>
          <w:b/>
          <w:sz w:val="28"/>
        </w:rPr>
        <w:t>Mammouth Trading Company Limited</w:t>
      </w:r>
    </w:p>
    <w:p w:rsidR="00BA77D8" w:rsidRPr="007E6BDE" w:rsidRDefault="007E6BDE" w:rsidP="00B67DCD">
      <w:pPr>
        <w:spacing w:after="0" w:line="276" w:lineRule="auto"/>
        <w:jc w:val="right"/>
        <w:rPr>
          <w:i/>
          <w:sz w:val="24"/>
        </w:rPr>
      </w:pPr>
      <w:r w:rsidRPr="007E6BDE">
        <w:rPr>
          <w:i/>
          <w:sz w:val="24"/>
        </w:rPr>
        <w:t>Respondent</w:t>
      </w:r>
    </w:p>
    <w:p w:rsidR="00E81358" w:rsidRDefault="00E81358" w:rsidP="00C62906">
      <w:pPr>
        <w:spacing w:after="0" w:line="276" w:lineRule="auto"/>
        <w:jc w:val="both"/>
        <w:rPr>
          <w:sz w:val="24"/>
        </w:rPr>
      </w:pPr>
    </w:p>
    <w:p w:rsidR="00B67DCD" w:rsidRDefault="00B67DCD" w:rsidP="00C62906">
      <w:pPr>
        <w:spacing w:after="0" w:line="276" w:lineRule="auto"/>
        <w:jc w:val="both"/>
        <w:rPr>
          <w:sz w:val="24"/>
        </w:rPr>
      </w:pPr>
    </w:p>
    <w:p w:rsidR="00E81358" w:rsidRDefault="00E81358" w:rsidP="00A91531">
      <w:pPr>
        <w:spacing w:after="0"/>
        <w:ind w:firstLine="720"/>
        <w:jc w:val="both"/>
        <w:rPr>
          <w:sz w:val="24"/>
        </w:rPr>
      </w:pPr>
      <w:r>
        <w:rPr>
          <w:sz w:val="24"/>
        </w:rPr>
        <w:t>The present matter is an application</w:t>
      </w:r>
      <w:r w:rsidR="00EF34C8">
        <w:rPr>
          <w:sz w:val="24"/>
        </w:rPr>
        <w:t xml:space="preserve"> by the </w:t>
      </w:r>
      <w:r w:rsidR="00EF34C8" w:rsidRPr="00E81358">
        <w:rPr>
          <w:sz w:val="24"/>
        </w:rPr>
        <w:t>Pri</w:t>
      </w:r>
      <w:r w:rsidR="00EF34C8">
        <w:rPr>
          <w:sz w:val="24"/>
        </w:rPr>
        <w:t>vate Enterprises Employees Union</w:t>
      </w:r>
      <w:r>
        <w:rPr>
          <w:sz w:val="24"/>
        </w:rPr>
        <w:t xml:space="preserve"> under </w:t>
      </w:r>
      <w:r w:rsidRPr="00E81358">
        <w:rPr>
          <w:i/>
          <w:sz w:val="24"/>
        </w:rPr>
        <w:t>section 38</w:t>
      </w:r>
      <w:r w:rsidR="00A3112D">
        <w:rPr>
          <w:i/>
          <w:sz w:val="24"/>
        </w:rPr>
        <w:t xml:space="preserve"> </w:t>
      </w:r>
      <w:r w:rsidRPr="00E81358">
        <w:rPr>
          <w:i/>
          <w:sz w:val="24"/>
        </w:rPr>
        <w:t>(1)</w:t>
      </w:r>
      <w:r>
        <w:rPr>
          <w:sz w:val="24"/>
        </w:rPr>
        <w:t xml:space="preserve"> of the </w:t>
      </w:r>
      <w:r w:rsidRPr="00E81358">
        <w:rPr>
          <w:i/>
          <w:sz w:val="24"/>
        </w:rPr>
        <w:t>Employment Relations Act</w:t>
      </w:r>
      <w:r>
        <w:rPr>
          <w:sz w:val="24"/>
        </w:rPr>
        <w:t xml:space="preserve"> (the “</w:t>
      </w:r>
      <w:r w:rsidRPr="00A13C09">
        <w:rPr>
          <w:i/>
          <w:sz w:val="24"/>
        </w:rPr>
        <w:t>Act</w:t>
      </w:r>
      <w:r>
        <w:rPr>
          <w:sz w:val="24"/>
        </w:rPr>
        <w:t xml:space="preserve">”) </w:t>
      </w:r>
      <w:r w:rsidR="00A13C09">
        <w:rPr>
          <w:sz w:val="24"/>
        </w:rPr>
        <w:t xml:space="preserve">asking for an order of recognition in relation to employees of Mammouth Trading Company Limited. </w:t>
      </w:r>
    </w:p>
    <w:p w:rsidR="00A13C09" w:rsidRDefault="00A13C09" w:rsidP="00E81358">
      <w:pPr>
        <w:spacing w:after="0"/>
        <w:ind w:firstLine="720"/>
        <w:jc w:val="both"/>
        <w:rPr>
          <w:sz w:val="24"/>
        </w:rPr>
      </w:pPr>
    </w:p>
    <w:p w:rsidR="00A13C09" w:rsidRDefault="00A13C09" w:rsidP="00E81358">
      <w:pPr>
        <w:spacing w:after="0"/>
        <w:ind w:firstLine="720"/>
        <w:jc w:val="both"/>
        <w:rPr>
          <w:sz w:val="24"/>
        </w:rPr>
      </w:pPr>
    </w:p>
    <w:p w:rsidR="0098597B" w:rsidRDefault="0098597B" w:rsidP="00E81358">
      <w:pPr>
        <w:spacing w:after="0"/>
        <w:ind w:firstLine="720"/>
        <w:jc w:val="both"/>
        <w:rPr>
          <w:sz w:val="24"/>
        </w:rPr>
      </w:pPr>
      <w:r>
        <w:rPr>
          <w:sz w:val="24"/>
        </w:rPr>
        <w:t xml:space="preserve">The </w:t>
      </w:r>
      <w:r w:rsidRPr="0009522E">
        <w:rPr>
          <w:sz w:val="24"/>
        </w:rPr>
        <w:t>Applicant</w:t>
      </w:r>
      <w:r w:rsidR="00B63E7D">
        <w:rPr>
          <w:sz w:val="24"/>
        </w:rPr>
        <w:t xml:space="preserve"> </w:t>
      </w:r>
      <w:r w:rsidR="00F04767">
        <w:rPr>
          <w:sz w:val="24"/>
        </w:rPr>
        <w:t>T</w:t>
      </w:r>
      <w:r w:rsidR="00A3112D">
        <w:rPr>
          <w:sz w:val="24"/>
        </w:rPr>
        <w:t>rade</w:t>
      </w:r>
      <w:r w:rsidRPr="009E1B7E">
        <w:rPr>
          <w:i/>
          <w:sz w:val="24"/>
        </w:rPr>
        <w:t xml:space="preserve"> </w:t>
      </w:r>
      <w:r w:rsidR="00F04767">
        <w:rPr>
          <w:sz w:val="24"/>
        </w:rPr>
        <w:t>U</w:t>
      </w:r>
      <w:r w:rsidRPr="0009522E">
        <w:rPr>
          <w:sz w:val="24"/>
        </w:rPr>
        <w:t>nion</w:t>
      </w:r>
      <w:r w:rsidR="00B63E7D">
        <w:rPr>
          <w:sz w:val="24"/>
        </w:rPr>
        <w:t xml:space="preserve"> </w:t>
      </w:r>
      <w:r>
        <w:rPr>
          <w:sz w:val="24"/>
        </w:rPr>
        <w:t xml:space="preserve">was assisted by its trade union representative, Mr R. Chuttoo. Whereas the </w:t>
      </w:r>
      <w:r w:rsidR="00902CAA">
        <w:rPr>
          <w:sz w:val="24"/>
        </w:rPr>
        <w:t>Respondent E</w:t>
      </w:r>
      <w:r w:rsidRPr="0009522E">
        <w:rPr>
          <w:sz w:val="24"/>
        </w:rPr>
        <w:t>mployer</w:t>
      </w:r>
      <w:r w:rsidR="009E1B7E">
        <w:rPr>
          <w:sz w:val="24"/>
        </w:rPr>
        <w:t xml:space="preserve"> was assisted by </w:t>
      </w:r>
      <w:r w:rsidR="009070CB">
        <w:rPr>
          <w:sz w:val="24"/>
        </w:rPr>
        <w:t>C</w:t>
      </w:r>
      <w:r w:rsidR="009E1B7E">
        <w:rPr>
          <w:sz w:val="24"/>
        </w:rPr>
        <w:t>ounsel</w:t>
      </w:r>
      <w:r w:rsidR="0009522E">
        <w:rPr>
          <w:sz w:val="24"/>
        </w:rPr>
        <w:t xml:space="preserve"> Mr S. Oozeer</w:t>
      </w:r>
      <w:r w:rsidR="009E1B7E">
        <w:rPr>
          <w:sz w:val="24"/>
        </w:rPr>
        <w:t>.</w:t>
      </w:r>
      <w:r>
        <w:rPr>
          <w:sz w:val="24"/>
        </w:rPr>
        <w:t xml:space="preserve"> </w:t>
      </w:r>
    </w:p>
    <w:p w:rsidR="0098597B" w:rsidRDefault="0098597B" w:rsidP="00E81358">
      <w:pPr>
        <w:spacing w:after="0"/>
        <w:ind w:firstLine="720"/>
        <w:jc w:val="both"/>
        <w:rPr>
          <w:sz w:val="24"/>
        </w:rPr>
      </w:pPr>
    </w:p>
    <w:p w:rsidR="0098597B" w:rsidRDefault="0098597B" w:rsidP="00E81358">
      <w:pPr>
        <w:spacing w:after="0"/>
        <w:ind w:firstLine="720"/>
        <w:jc w:val="both"/>
        <w:rPr>
          <w:sz w:val="24"/>
        </w:rPr>
      </w:pPr>
    </w:p>
    <w:p w:rsidR="00A13C09" w:rsidRDefault="00A13C09" w:rsidP="00E81358">
      <w:pPr>
        <w:spacing w:after="0"/>
        <w:ind w:firstLine="720"/>
        <w:jc w:val="both"/>
        <w:rPr>
          <w:sz w:val="24"/>
        </w:rPr>
      </w:pPr>
      <w:r>
        <w:rPr>
          <w:sz w:val="24"/>
        </w:rPr>
        <w:t>Th</w:t>
      </w:r>
      <w:r w:rsidR="0098597B">
        <w:rPr>
          <w:sz w:val="24"/>
        </w:rPr>
        <w:t>e</w:t>
      </w:r>
      <w:r>
        <w:rPr>
          <w:sz w:val="24"/>
        </w:rPr>
        <w:t xml:space="preserve"> </w:t>
      </w:r>
      <w:r w:rsidR="00123C45">
        <w:rPr>
          <w:sz w:val="24"/>
        </w:rPr>
        <w:t>Respondent</w:t>
      </w:r>
      <w:r w:rsidR="007E6BDE">
        <w:rPr>
          <w:sz w:val="24"/>
        </w:rPr>
        <w:t xml:space="preserve"> has, in its Statement of C</w:t>
      </w:r>
      <w:r>
        <w:rPr>
          <w:sz w:val="24"/>
        </w:rPr>
        <w:t>ase, raised a preliminary objection as follows:</w:t>
      </w:r>
    </w:p>
    <w:p w:rsidR="00A13C09" w:rsidRPr="00BE2F7A" w:rsidRDefault="00A13C09" w:rsidP="00E81358">
      <w:pPr>
        <w:spacing w:after="0"/>
        <w:ind w:firstLine="720"/>
        <w:jc w:val="both"/>
      </w:pPr>
    </w:p>
    <w:p w:rsidR="00A13C09" w:rsidRPr="00E0770F" w:rsidRDefault="00A13C09" w:rsidP="00E0770F">
      <w:pPr>
        <w:spacing w:after="0"/>
        <w:ind w:left="720" w:right="900"/>
        <w:jc w:val="both"/>
        <w:rPr>
          <w:i/>
        </w:rPr>
      </w:pPr>
      <w:r w:rsidRPr="00E0770F">
        <w:rPr>
          <w:i/>
        </w:rPr>
        <w:t>The Applicant cannot proceed with the present application inasmuch as, inter alia,</w:t>
      </w:r>
    </w:p>
    <w:p w:rsidR="00A13C09" w:rsidRPr="00E0770F" w:rsidRDefault="00A13C09" w:rsidP="00E81358">
      <w:pPr>
        <w:spacing w:after="0"/>
        <w:ind w:firstLine="720"/>
        <w:jc w:val="both"/>
        <w:rPr>
          <w:i/>
        </w:rPr>
      </w:pPr>
    </w:p>
    <w:p w:rsidR="00A13C09" w:rsidRPr="00E0770F" w:rsidRDefault="007B696E" w:rsidP="007B696E">
      <w:pPr>
        <w:pStyle w:val="ListParagraph"/>
        <w:numPr>
          <w:ilvl w:val="0"/>
          <w:numId w:val="5"/>
        </w:numPr>
        <w:spacing w:after="0"/>
        <w:ind w:right="900"/>
        <w:jc w:val="both"/>
        <w:rPr>
          <w:b/>
          <w:i/>
        </w:rPr>
      </w:pPr>
      <w:r w:rsidRPr="00E0770F">
        <w:rPr>
          <w:i/>
        </w:rPr>
        <w:t>t</w:t>
      </w:r>
      <w:r w:rsidR="00A13C09" w:rsidRPr="00E0770F">
        <w:rPr>
          <w:i/>
        </w:rPr>
        <w:t>he Applicant wrongly applied in writing to the Respondent for recognition under section 37(1) of the Employment Relations Act 2008.</w:t>
      </w:r>
    </w:p>
    <w:p w:rsidR="00A13C09" w:rsidRPr="00E0770F" w:rsidRDefault="00A13C09" w:rsidP="00A13C09">
      <w:pPr>
        <w:pStyle w:val="ListParagraph"/>
        <w:spacing w:after="0"/>
        <w:ind w:left="1440"/>
        <w:jc w:val="both"/>
        <w:rPr>
          <w:b/>
          <w:i/>
        </w:rPr>
      </w:pPr>
    </w:p>
    <w:p w:rsidR="00A13C09" w:rsidRPr="00E0770F" w:rsidRDefault="007B696E" w:rsidP="007B696E">
      <w:pPr>
        <w:pStyle w:val="ListParagraph"/>
        <w:numPr>
          <w:ilvl w:val="0"/>
          <w:numId w:val="5"/>
        </w:numPr>
        <w:spacing w:after="0"/>
        <w:ind w:right="900"/>
        <w:jc w:val="both"/>
        <w:rPr>
          <w:b/>
          <w:i/>
        </w:rPr>
      </w:pPr>
      <w:r w:rsidRPr="00E0770F">
        <w:rPr>
          <w:i/>
        </w:rPr>
        <w:t xml:space="preserve">the Applicant failed to disclose in what capacity the application was being made, that is, whether as a bargaining agent or as a joint negotiating panel or as a sole bargaining agent. </w:t>
      </w:r>
    </w:p>
    <w:p w:rsidR="007B696E" w:rsidRPr="00E0770F" w:rsidRDefault="007B696E" w:rsidP="007B696E">
      <w:pPr>
        <w:pStyle w:val="ListParagraph"/>
        <w:rPr>
          <w:b/>
          <w:i/>
        </w:rPr>
      </w:pPr>
    </w:p>
    <w:p w:rsidR="007B696E" w:rsidRPr="00E0770F" w:rsidRDefault="007B696E" w:rsidP="007B696E">
      <w:pPr>
        <w:pStyle w:val="ListParagraph"/>
        <w:numPr>
          <w:ilvl w:val="0"/>
          <w:numId w:val="5"/>
        </w:numPr>
        <w:spacing w:after="0"/>
        <w:ind w:right="900"/>
        <w:jc w:val="both"/>
        <w:rPr>
          <w:b/>
          <w:i/>
        </w:rPr>
      </w:pPr>
      <w:r w:rsidRPr="00E0770F">
        <w:rPr>
          <w:i/>
        </w:rPr>
        <w:t>this present application is made in breach of section 38(1</w:t>
      </w:r>
      <w:r w:rsidR="00276482">
        <w:rPr>
          <w:i/>
        </w:rPr>
        <w:t>0</w:t>
      </w:r>
      <w:r w:rsidRPr="00E0770F">
        <w:rPr>
          <w:i/>
        </w:rPr>
        <w:t xml:space="preserve">) of the Employment Relations Act 2008 inasmuch as, a previous application </w:t>
      </w:r>
      <w:r w:rsidRPr="00E0770F">
        <w:rPr>
          <w:b/>
          <w:i/>
        </w:rPr>
        <w:t>Re: Private Enterprises Employees Union and Mammouth Trading Company Limited ERT/RN 26/16</w:t>
      </w:r>
      <w:r w:rsidRPr="00E0770F">
        <w:rPr>
          <w:i/>
        </w:rPr>
        <w:t xml:space="preserve"> was set aside on the 20</w:t>
      </w:r>
      <w:r w:rsidRPr="00E0770F">
        <w:rPr>
          <w:i/>
          <w:vertAlign w:val="superscript"/>
        </w:rPr>
        <w:t>th</w:t>
      </w:r>
      <w:r w:rsidRPr="00E0770F">
        <w:rPr>
          <w:i/>
        </w:rPr>
        <w:t xml:space="preserve"> April 2016.</w:t>
      </w:r>
    </w:p>
    <w:p w:rsidR="007B696E" w:rsidRPr="00E0770F" w:rsidRDefault="007B696E" w:rsidP="007B696E">
      <w:pPr>
        <w:pStyle w:val="ListParagraph"/>
        <w:spacing w:after="0"/>
        <w:rPr>
          <w:b/>
          <w:i/>
        </w:rPr>
      </w:pPr>
    </w:p>
    <w:p w:rsidR="007B696E" w:rsidRPr="007B696E" w:rsidRDefault="007B696E" w:rsidP="00E0770F">
      <w:pPr>
        <w:spacing w:after="0"/>
        <w:ind w:left="720" w:right="900" w:firstLine="720"/>
        <w:jc w:val="both"/>
        <w:rPr>
          <w:i/>
          <w:sz w:val="24"/>
        </w:rPr>
      </w:pPr>
      <w:r w:rsidRPr="00E0770F">
        <w:rPr>
          <w:i/>
        </w:rPr>
        <w:t>Respondent therefore moves that the application be set aside</w:t>
      </w:r>
      <w:r w:rsidRPr="007B696E">
        <w:rPr>
          <w:i/>
          <w:sz w:val="24"/>
        </w:rPr>
        <w:t>.</w:t>
      </w:r>
    </w:p>
    <w:p w:rsidR="00E81358" w:rsidRDefault="00E81358" w:rsidP="007B696E">
      <w:pPr>
        <w:spacing w:after="0" w:line="276" w:lineRule="auto"/>
        <w:jc w:val="both"/>
        <w:rPr>
          <w:sz w:val="24"/>
        </w:rPr>
      </w:pPr>
    </w:p>
    <w:p w:rsidR="007B696E" w:rsidRDefault="007B696E" w:rsidP="007B696E">
      <w:pPr>
        <w:spacing w:after="0" w:line="276" w:lineRule="auto"/>
        <w:jc w:val="both"/>
        <w:rPr>
          <w:sz w:val="24"/>
        </w:rPr>
      </w:pPr>
    </w:p>
    <w:p w:rsidR="00123C45" w:rsidRDefault="00123C45" w:rsidP="007B696E">
      <w:pPr>
        <w:spacing w:after="0" w:line="276" w:lineRule="auto"/>
        <w:jc w:val="both"/>
        <w:rPr>
          <w:sz w:val="24"/>
        </w:rPr>
      </w:pPr>
      <w:r>
        <w:rPr>
          <w:sz w:val="24"/>
        </w:rPr>
        <w:tab/>
        <w:t>Counsel for the Respondent</w:t>
      </w:r>
      <w:r w:rsidR="00B63E7D">
        <w:rPr>
          <w:sz w:val="24"/>
        </w:rPr>
        <w:t>, in his submissions,</w:t>
      </w:r>
      <w:r>
        <w:rPr>
          <w:sz w:val="24"/>
        </w:rPr>
        <w:t xml:space="preserve"> has referred to the letter dated 24 May 2016</w:t>
      </w:r>
      <w:r w:rsidR="00984670">
        <w:rPr>
          <w:sz w:val="24"/>
        </w:rPr>
        <w:t xml:space="preserve"> (enclosed as Annex 1 of the Union’s application)</w:t>
      </w:r>
      <w:r>
        <w:rPr>
          <w:sz w:val="24"/>
        </w:rPr>
        <w:t xml:space="preserve">, whereby the Union formally wrote to management applying for recognition under </w:t>
      </w:r>
      <w:r w:rsidRPr="00123C45">
        <w:rPr>
          <w:i/>
          <w:sz w:val="24"/>
        </w:rPr>
        <w:t>section 37</w:t>
      </w:r>
      <w:r w:rsidR="00A3112D">
        <w:rPr>
          <w:i/>
          <w:sz w:val="24"/>
        </w:rPr>
        <w:t xml:space="preserve"> </w:t>
      </w:r>
      <w:r w:rsidRPr="00123C45">
        <w:rPr>
          <w:i/>
          <w:sz w:val="24"/>
        </w:rPr>
        <w:t>(1)</w:t>
      </w:r>
      <w:r>
        <w:rPr>
          <w:sz w:val="24"/>
        </w:rPr>
        <w:t xml:space="preserve"> of the </w:t>
      </w:r>
      <w:r w:rsidRPr="00123C45">
        <w:rPr>
          <w:i/>
          <w:sz w:val="24"/>
        </w:rPr>
        <w:t>Act</w:t>
      </w:r>
      <w:r>
        <w:rPr>
          <w:sz w:val="24"/>
        </w:rPr>
        <w:t>. He submitted that the application was made under the wrong section</w:t>
      </w:r>
      <w:r w:rsidR="003769D0">
        <w:rPr>
          <w:sz w:val="24"/>
        </w:rPr>
        <w:t xml:space="preserve"> </w:t>
      </w:r>
      <w:r>
        <w:rPr>
          <w:sz w:val="24"/>
        </w:rPr>
        <w:t xml:space="preserve">as </w:t>
      </w:r>
      <w:r w:rsidRPr="00123C45">
        <w:rPr>
          <w:i/>
          <w:sz w:val="24"/>
        </w:rPr>
        <w:t>section 37</w:t>
      </w:r>
      <w:r>
        <w:rPr>
          <w:sz w:val="24"/>
        </w:rPr>
        <w:t xml:space="preserve"> applies to the criteria for recognition. </w:t>
      </w:r>
      <w:r w:rsidR="001D1215">
        <w:rPr>
          <w:sz w:val="24"/>
        </w:rPr>
        <w:t xml:space="preserve">There </w:t>
      </w:r>
      <w:r w:rsidR="003769D0">
        <w:rPr>
          <w:sz w:val="24"/>
        </w:rPr>
        <w:t xml:space="preserve">has </w:t>
      </w:r>
      <w:r>
        <w:rPr>
          <w:sz w:val="24"/>
        </w:rPr>
        <w:t xml:space="preserve">been no application made under </w:t>
      </w:r>
      <w:r w:rsidRPr="00123C45">
        <w:rPr>
          <w:i/>
          <w:sz w:val="24"/>
        </w:rPr>
        <w:t>section 36</w:t>
      </w:r>
      <w:r>
        <w:rPr>
          <w:sz w:val="24"/>
        </w:rPr>
        <w:t xml:space="preserve"> of the </w:t>
      </w:r>
      <w:r w:rsidRPr="00123C45">
        <w:rPr>
          <w:i/>
          <w:sz w:val="24"/>
        </w:rPr>
        <w:t>Act</w:t>
      </w:r>
      <w:r w:rsidR="00902CAA">
        <w:rPr>
          <w:sz w:val="24"/>
        </w:rPr>
        <w:t xml:space="preserve"> to the E</w:t>
      </w:r>
      <w:r w:rsidR="003769D0">
        <w:rPr>
          <w:sz w:val="24"/>
        </w:rPr>
        <w:t xml:space="preserve">mployer and </w:t>
      </w:r>
      <w:r w:rsidR="0065629D">
        <w:rPr>
          <w:sz w:val="24"/>
        </w:rPr>
        <w:t>that there is no such thing as</w:t>
      </w:r>
      <w:r w:rsidR="003769D0">
        <w:rPr>
          <w:sz w:val="24"/>
        </w:rPr>
        <w:t xml:space="preserve"> formal </w:t>
      </w:r>
      <w:r w:rsidR="00BE2F7A">
        <w:rPr>
          <w:sz w:val="24"/>
        </w:rPr>
        <w:t>recognition</w:t>
      </w:r>
      <w:r>
        <w:rPr>
          <w:sz w:val="24"/>
        </w:rPr>
        <w:t xml:space="preserve"> </w:t>
      </w:r>
      <w:r w:rsidR="003769D0">
        <w:rPr>
          <w:sz w:val="24"/>
        </w:rPr>
        <w:t xml:space="preserve">under </w:t>
      </w:r>
      <w:r w:rsidR="003769D0" w:rsidRPr="00BE2F7A">
        <w:rPr>
          <w:i/>
          <w:sz w:val="24"/>
        </w:rPr>
        <w:t>section</w:t>
      </w:r>
      <w:r w:rsidR="00BE2F7A" w:rsidRPr="00BE2F7A">
        <w:rPr>
          <w:i/>
          <w:sz w:val="24"/>
        </w:rPr>
        <w:t xml:space="preserve"> 37 (1)</w:t>
      </w:r>
      <w:r w:rsidR="00BE2F7A">
        <w:rPr>
          <w:sz w:val="24"/>
        </w:rPr>
        <w:t xml:space="preserve"> of the </w:t>
      </w:r>
      <w:r w:rsidR="00BE2F7A" w:rsidRPr="00BE2F7A">
        <w:rPr>
          <w:i/>
          <w:sz w:val="24"/>
        </w:rPr>
        <w:t>Act</w:t>
      </w:r>
      <w:r w:rsidR="00BE2F7A">
        <w:rPr>
          <w:sz w:val="24"/>
        </w:rPr>
        <w:t>.</w:t>
      </w:r>
      <w:r w:rsidR="003769D0">
        <w:rPr>
          <w:sz w:val="24"/>
        </w:rPr>
        <w:t xml:space="preserve"> </w:t>
      </w:r>
      <w:r>
        <w:rPr>
          <w:sz w:val="24"/>
        </w:rPr>
        <w:t xml:space="preserve">He also referred to the reply of the </w:t>
      </w:r>
      <w:r w:rsidR="00902CAA">
        <w:rPr>
          <w:sz w:val="24"/>
        </w:rPr>
        <w:t>E</w:t>
      </w:r>
      <w:r w:rsidRPr="0009522E">
        <w:rPr>
          <w:sz w:val="24"/>
        </w:rPr>
        <w:t>mployer</w:t>
      </w:r>
      <w:r>
        <w:rPr>
          <w:sz w:val="24"/>
        </w:rPr>
        <w:t xml:space="preserve"> dated 18 August 2016 (enclosed as Annex 2 of the Union’s application)</w:t>
      </w:r>
      <w:r w:rsidR="00BE2F7A">
        <w:rPr>
          <w:sz w:val="24"/>
        </w:rPr>
        <w:t xml:space="preserve"> whereby the Union was informed that the application does not satisfy the requirements under the applicable law which </w:t>
      </w:r>
      <w:r w:rsidR="0065629D">
        <w:rPr>
          <w:sz w:val="24"/>
        </w:rPr>
        <w:t xml:space="preserve">is </w:t>
      </w:r>
      <w:r w:rsidR="00BE2F7A" w:rsidRPr="00BE2F7A">
        <w:rPr>
          <w:i/>
          <w:sz w:val="24"/>
        </w:rPr>
        <w:t>section 36</w:t>
      </w:r>
      <w:r w:rsidR="00BE2F7A">
        <w:rPr>
          <w:sz w:val="24"/>
        </w:rPr>
        <w:t>.</w:t>
      </w:r>
      <w:r w:rsidR="002024D9">
        <w:rPr>
          <w:sz w:val="24"/>
        </w:rPr>
        <w:t xml:space="preserve"> </w:t>
      </w:r>
      <w:r w:rsidR="00BE2F7A">
        <w:rPr>
          <w:sz w:val="24"/>
        </w:rPr>
        <w:t xml:space="preserve">  </w:t>
      </w:r>
      <w:r>
        <w:rPr>
          <w:sz w:val="24"/>
        </w:rPr>
        <w:t xml:space="preserve">   </w:t>
      </w:r>
    </w:p>
    <w:p w:rsidR="00123C45" w:rsidRDefault="00123C45" w:rsidP="007B696E">
      <w:pPr>
        <w:spacing w:after="0" w:line="276" w:lineRule="auto"/>
        <w:jc w:val="both"/>
        <w:rPr>
          <w:sz w:val="24"/>
        </w:rPr>
      </w:pPr>
    </w:p>
    <w:p w:rsidR="002024D9" w:rsidRDefault="00123C45" w:rsidP="007B696E">
      <w:pPr>
        <w:spacing w:after="0" w:line="276" w:lineRule="auto"/>
        <w:jc w:val="both"/>
        <w:rPr>
          <w:sz w:val="24"/>
        </w:rPr>
      </w:pPr>
      <w:r>
        <w:rPr>
          <w:sz w:val="24"/>
        </w:rPr>
        <w:tab/>
      </w:r>
    </w:p>
    <w:p w:rsidR="00123C45" w:rsidRDefault="00123C45" w:rsidP="002024D9">
      <w:pPr>
        <w:spacing w:after="0" w:line="276" w:lineRule="auto"/>
        <w:ind w:firstLine="720"/>
        <w:jc w:val="both"/>
        <w:rPr>
          <w:sz w:val="24"/>
        </w:rPr>
      </w:pPr>
      <w:r>
        <w:rPr>
          <w:sz w:val="24"/>
        </w:rPr>
        <w:t>On the s</w:t>
      </w:r>
      <w:r w:rsidR="009070CB">
        <w:rPr>
          <w:sz w:val="24"/>
        </w:rPr>
        <w:t>econd limb of his submissions, Mr Oozeer</w:t>
      </w:r>
      <w:r>
        <w:rPr>
          <w:sz w:val="24"/>
        </w:rPr>
        <w:t xml:space="preserve"> referred to the Union’s application before the Tribunal dated 4 October 2016</w:t>
      </w:r>
      <w:r w:rsidR="00B63E7D">
        <w:rPr>
          <w:sz w:val="24"/>
        </w:rPr>
        <w:t xml:space="preserve"> wherein the U</w:t>
      </w:r>
      <w:r w:rsidR="00984670">
        <w:rPr>
          <w:sz w:val="24"/>
        </w:rPr>
        <w:t>nion has not stated</w:t>
      </w:r>
      <w:r w:rsidR="00937134">
        <w:rPr>
          <w:sz w:val="24"/>
        </w:rPr>
        <w:t xml:space="preserve"> if</w:t>
      </w:r>
      <w:r w:rsidR="00984670">
        <w:rPr>
          <w:sz w:val="24"/>
        </w:rPr>
        <w:t xml:space="preserve"> it is asking for </w:t>
      </w:r>
      <w:r w:rsidR="007C5EA4">
        <w:rPr>
          <w:sz w:val="24"/>
        </w:rPr>
        <w:t>recognition as a</w:t>
      </w:r>
      <w:r w:rsidR="00984670">
        <w:rPr>
          <w:sz w:val="24"/>
        </w:rPr>
        <w:t xml:space="preserve"> </w:t>
      </w:r>
      <w:r w:rsidR="002024D9">
        <w:rPr>
          <w:sz w:val="24"/>
        </w:rPr>
        <w:t>bargaining agent or sole bargaining agent</w:t>
      </w:r>
      <w:r w:rsidR="00984670">
        <w:rPr>
          <w:sz w:val="24"/>
        </w:rPr>
        <w:t>. Referring to the letter date</w:t>
      </w:r>
      <w:r w:rsidR="001D1215">
        <w:rPr>
          <w:sz w:val="24"/>
        </w:rPr>
        <w:t>d 24 May 2016, he noted that the</w:t>
      </w:r>
      <w:r w:rsidR="00984670">
        <w:rPr>
          <w:sz w:val="24"/>
        </w:rPr>
        <w:t xml:space="preserve"> Union stated that it has the support of not less than 30% the workforce, i.e. 377 worker</w:t>
      </w:r>
      <w:r w:rsidR="00975600">
        <w:rPr>
          <w:sz w:val="24"/>
        </w:rPr>
        <w:t xml:space="preserve">s, all over Mauritius. The law says that the Union has to provide </w:t>
      </w:r>
      <w:r w:rsidR="00984670">
        <w:rPr>
          <w:sz w:val="24"/>
        </w:rPr>
        <w:t>the number and category of members in the bargaini</w:t>
      </w:r>
      <w:r w:rsidR="00975600">
        <w:rPr>
          <w:sz w:val="24"/>
        </w:rPr>
        <w:t>ng unit and that it d</w:t>
      </w:r>
      <w:r w:rsidR="004652C3">
        <w:rPr>
          <w:sz w:val="24"/>
        </w:rPr>
        <w:t>oes not provide that this be do</w:t>
      </w:r>
      <w:r w:rsidR="00975600">
        <w:rPr>
          <w:sz w:val="24"/>
        </w:rPr>
        <w:t>n</w:t>
      </w:r>
      <w:r w:rsidR="004652C3">
        <w:rPr>
          <w:sz w:val="24"/>
        </w:rPr>
        <w:t>e</w:t>
      </w:r>
      <w:r w:rsidR="00975600">
        <w:rPr>
          <w:sz w:val="24"/>
        </w:rPr>
        <w:t xml:space="preserve"> by elimination</w:t>
      </w:r>
      <w:r w:rsidR="00984670">
        <w:rPr>
          <w:sz w:val="24"/>
        </w:rPr>
        <w:t>. He also submitted that the</w:t>
      </w:r>
      <w:r w:rsidR="004652C3">
        <w:rPr>
          <w:sz w:val="24"/>
        </w:rPr>
        <w:t xml:space="preserve"> burden is on the</w:t>
      </w:r>
      <w:r w:rsidR="00984670">
        <w:rPr>
          <w:sz w:val="24"/>
        </w:rPr>
        <w:t xml:space="preserve"> Union to do so.</w:t>
      </w:r>
      <w:r w:rsidR="002024D9">
        <w:rPr>
          <w:sz w:val="24"/>
        </w:rPr>
        <w:t xml:space="preserve"> </w:t>
      </w:r>
      <w:r w:rsidR="00984670">
        <w:rPr>
          <w:sz w:val="24"/>
        </w:rPr>
        <w:t xml:space="preserve">      </w:t>
      </w:r>
      <w:r>
        <w:rPr>
          <w:sz w:val="24"/>
        </w:rPr>
        <w:t xml:space="preserve">   </w:t>
      </w:r>
    </w:p>
    <w:p w:rsidR="007B696E" w:rsidRDefault="007B696E" w:rsidP="007B696E">
      <w:pPr>
        <w:spacing w:after="0" w:line="276" w:lineRule="auto"/>
        <w:jc w:val="both"/>
        <w:rPr>
          <w:sz w:val="24"/>
        </w:rPr>
      </w:pPr>
    </w:p>
    <w:p w:rsidR="0009522E" w:rsidRDefault="0009522E" w:rsidP="007B696E">
      <w:pPr>
        <w:spacing w:after="0" w:line="276" w:lineRule="auto"/>
        <w:jc w:val="both"/>
        <w:rPr>
          <w:sz w:val="24"/>
        </w:rPr>
      </w:pPr>
    </w:p>
    <w:p w:rsidR="007600C2" w:rsidRDefault="0009522E" w:rsidP="007B696E">
      <w:pPr>
        <w:spacing w:after="0" w:line="276" w:lineRule="auto"/>
        <w:jc w:val="both"/>
        <w:rPr>
          <w:sz w:val="24"/>
        </w:rPr>
      </w:pPr>
      <w:r>
        <w:rPr>
          <w:sz w:val="24"/>
        </w:rPr>
        <w:tab/>
        <w:t>On the third aspect of the preliminary objection, Counsel referred to the record of the case in ERT/RN 26/2016 (enclose</w:t>
      </w:r>
      <w:r w:rsidR="00937134">
        <w:rPr>
          <w:sz w:val="24"/>
        </w:rPr>
        <w:t>d as Annex 2 of the</w:t>
      </w:r>
      <w:r>
        <w:rPr>
          <w:sz w:val="24"/>
        </w:rPr>
        <w:t xml:space="preserve"> </w:t>
      </w:r>
      <w:r w:rsidR="00937134">
        <w:rPr>
          <w:sz w:val="24"/>
        </w:rPr>
        <w:t>S</w:t>
      </w:r>
      <w:r>
        <w:rPr>
          <w:sz w:val="24"/>
        </w:rPr>
        <w:t xml:space="preserve">tatement of </w:t>
      </w:r>
      <w:r w:rsidR="00937134">
        <w:rPr>
          <w:sz w:val="24"/>
        </w:rPr>
        <w:t>C</w:t>
      </w:r>
      <w:r>
        <w:rPr>
          <w:sz w:val="24"/>
        </w:rPr>
        <w:t>ase</w:t>
      </w:r>
      <w:r w:rsidR="00937134">
        <w:rPr>
          <w:sz w:val="24"/>
        </w:rPr>
        <w:t xml:space="preserve"> of the Respondent</w:t>
      </w:r>
      <w:r>
        <w:rPr>
          <w:sz w:val="24"/>
        </w:rPr>
        <w:t>) whereby</w:t>
      </w:r>
      <w:r w:rsidR="00994FF9">
        <w:rPr>
          <w:sz w:val="24"/>
        </w:rPr>
        <w:t>,</w:t>
      </w:r>
      <w:r>
        <w:rPr>
          <w:sz w:val="24"/>
        </w:rPr>
        <w:t xml:space="preserve"> on the 20 April 2016</w:t>
      </w:r>
      <w:r w:rsidR="00937134">
        <w:rPr>
          <w:sz w:val="24"/>
        </w:rPr>
        <w:t>, a</w:t>
      </w:r>
      <w:r w:rsidR="007E6A73">
        <w:rPr>
          <w:sz w:val="24"/>
        </w:rPr>
        <w:t xml:space="preserve"> </w:t>
      </w:r>
      <w:r w:rsidR="001C0272">
        <w:rPr>
          <w:sz w:val="24"/>
        </w:rPr>
        <w:t>previous</w:t>
      </w:r>
      <w:r w:rsidR="007E6A73">
        <w:rPr>
          <w:sz w:val="24"/>
        </w:rPr>
        <w:t xml:space="preserve"> application by the </w:t>
      </w:r>
      <w:r w:rsidR="007E6A73" w:rsidRPr="00E81358">
        <w:rPr>
          <w:sz w:val="24"/>
        </w:rPr>
        <w:t>Pri</w:t>
      </w:r>
      <w:r w:rsidR="007E6A73">
        <w:rPr>
          <w:sz w:val="24"/>
        </w:rPr>
        <w:t xml:space="preserve">vate Enterprises Employees </w:t>
      </w:r>
      <w:r w:rsidR="007E6A73">
        <w:rPr>
          <w:sz w:val="24"/>
        </w:rPr>
        <w:lastRenderedPageBreak/>
        <w:t>Union was set aside.</w:t>
      </w:r>
      <w:r w:rsidR="00D75ECF">
        <w:rPr>
          <w:sz w:val="24"/>
        </w:rPr>
        <w:t xml:space="preserve"> This he submitted</w:t>
      </w:r>
      <w:r w:rsidR="007146BB">
        <w:rPr>
          <w:sz w:val="24"/>
        </w:rPr>
        <w:t xml:space="preserve"> was a determination of the Tribunal</w:t>
      </w:r>
      <w:r w:rsidR="008C10C9">
        <w:rPr>
          <w:sz w:val="24"/>
        </w:rPr>
        <w:t xml:space="preserve"> citing </w:t>
      </w:r>
      <w:r w:rsidR="008C10C9" w:rsidRPr="008C10C9">
        <w:rPr>
          <w:i/>
          <w:sz w:val="24"/>
        </w:rPr>
        <w:t>section 38 (10)</w:t>
      </w:r>
      <w:r w:rsidR="008C10C9">
        <w:rPr>
          <w:sz w:val="24"/>
        </w:rPr>
        <w:t xml:space="preserve"> of the </w:t>
      </w:r>
      <w:r w:rsidR="008C10C9" w:rsidRPr="008C10C9">
        <w:rPr>
          <w:i/>
          <w:sz w:val="24"/>
        </w:rPr>
        <w:t>Act</w:t>
      </w:r>
      <w:r w:rsidR="007146BB">
        <w:rPr>
          <w:sz w:val="24"/>
        </w:rPr>
        <w:t>.</w:t>
      </w:r>
      <w:r w:rsidR="008C10C9">
        <w:rPr>
          <w:sz w:val="24"/>
        </w:rPr>
        <w:t xml:space="preserve"> </w:t>
      </w:r>
      <w:r w:rsidR="007146BB">
        <w:rPr>
          <w:sz w:val="24"/>
        </w:rPr>
        <w:t xml:space="preserve"> </w:t>
      </w:r>
      <w:r w:rsidR="007E6A73">
        <w:rPr>
          <w:sz w:val="24"/>
        </w:rPr>
        <w:t xml:space="preserve"> </w:t>
      </w:r>
    </w:p>
    <w:p w:rsidR="007600C2" w:rsidRDefault="007600C2" w:rsidP="007B696E">
      <w:pPr>
        <w:spacing w:after="0" w:line="276" w:lineRule="auto"/>
        <w:jc w:val="both"/>
        <w:rPr>
          <w:sz w:val="24"/>
        </w:rPr>
      </w:pPr>
    </w:p>
    <w:p w:rsidR="007600C2" w:rsidRDefault="007600C2" w:rsidP="007B696E">
      <w:pPr>
        <w:spacing w:after="0" w:line="276" w:lineRule="auto"/>
        <w:jc w:val="both"/>
        <w:rPr>
          <w:sz w:val="24"/>
        </w:rPr>
      </w:pPr>
      <w:r>
        <w:rPr>
          <w:sz w:val="24"/>
        </w:rPr>
        <w:tab/>
      </w:r>
    </w:p>
    <w:p w:rsidR="004D316B" w:rsidRDefault="009070CB" w:rsidP="007B696E">
      <w:pPr>
        <w:spacing w:after="0" w:line="276" w:lineRule="auto"/>
        <w:jc w:val="both"/>
        <w:rPr>
          <w:sz w:val="24"/>
        </w:rPr>
      </w:pPr>
      <w:r>
        <w:rPr>
          <w:sz w:val="24"/>
        </w:rPr>
        <w:tab/>
        <w:t>Mr</w:t>
      </w:r>
      <w:r w:rsidR="006B7077">
        <w:rPr>
          <w:sz w:val="24"/>
        </w:rPr>
        <w:t xml:space="preserve"> Chuttoo gave</w:t>
      </w:r>
      <w:r w:rsidR="007600C2">
        <w:rPr>
          <w:sz w:val="24"/>
        </w:rPr>
        <w:t xml:space="preserve"> a reply to the submissions of the Respondent. He stated that whether the application be under </w:t>
      </w:r>
      <w:r w:rsidR="007600C2" w:rsidRPr="007600C2">
        <w:rPr>
          <w:i/>
          <w:sz w:val="24"/>
        </w:rPr>
        <w:t>section 37 (1)</w:t>
      </w:r>
      <w:r w:rsidR="007600C2">
        <w:rPr>
          <w:sz w:val="24"/>
        </w:rPr>
        <w:t xml:space="preserve"> or </w:t>
      </w:r>
      <w:r w:rsidR="007600C2" w:rsidRPr="007600C2">
        <w:rPr>
          <w:i/>
          <w:sz w:val="24"/>
        </w:rPr>
        <w:t>(2)</w:t>
      </w:r>
      <w:r w:rsidR="007600C2">
        <w:rPr>
          <w:sz w:val="24"/>
        </w:rPr>
        <w:t xml:space="preserve">, </w:t>
      </w:r>
      <w:r w:rsidR="007600C2" w:rsidRPr="007600C2">
        <w:rPr>
          <w:i/>
          <w:sz w:val="24"/>
        </w:rPr>
        <w:t>section 36</w:t>
      </w:r>
      <w:r w:rsidR="007600C2">
        <w:rPr>
          <w:sz w:val="24"/>
        </w:rPr>
        <w:t xml:space="preserve"> must be satisfied. He stated that the philosophy of the law is to protect workers and divulge only</w:t>
      </w:r>
      <w:r w:rsidR="00E2176E">
        <w:rPr>
          <w:sz w:val="24"/>
        </w:rPr>
        <w:t xml:space="preserve"> their</w:t>
      </w:r>
      <w:r w:rsidR="007600C2">
        <w:rPr>
          <w:sz w:val="24"/>
        </w:rPr>
        <w:t xml:space="preserve"> numbers</w:t>
      </w:r>
      <w:r w:rsidR="004D316B">
        <w:rPr>
          <w:sz w:val="24"/>
        </w:rPr>
        <w:t xml:space="preserve"> but not the</w:t>
      </w:r>
      <w:r w:rsidR="00E2176E">
        <w:rPr>
          <w:sz w:val="24"/>
        </w:rPr>
        <w:t>ir names</w:t>
      </w:r>
      <w:r w:rsidR="004D316B">
        <w:rPr>
          <w:sz w:val="24"/>
        </w:rPr>
        <w:t>.</w:t>
      </w:r>
      <w:r w:rsidR="009737DA">
        <w:rPr>
          <w:sz w:val="24"/>
        </w:rPr>
        <w:t xml:space="preserve"> He also stated that they are not obliged under the law to state how many members they have under each category. </w:t>
      </w:r>
      <w:r w:rsidR="004D316B">
        <w:rPr>
          <w:sz w:val="24"/>
        </w:rPr>
        <w:t>H</w:t>
      </w:r>
      <w:r w:rsidR="007600C2">
        <w:rPr>
          <w:sz w:val="24"/>
        </w:rPr>
        <w:t xml:space="preserve">e also referred to the reply of the Respondent dated 18 August 2016, whereby </w:t>
      </w:r>
      <w:r w:rsidR="007600C2" w:rsidRPr="007600C2">
        <w:rPr>
          <w:i/>
          <w:sz w:val="24"/>
        </w:rPr>
        <w:t>section 37 (2)</w:t>
      </w:r>
      <w:r w:rsidR="007600C2">
        <w:rPr>
          <w:sz w:val="24"/>
        </w:rPr>
        <w:t xml:space="preserve"> of the </w:t>
      </w:r>
      <w:r w:rsidR="007600C2" w:rsidRPr="007600C2">
        <w:rPr>
          <w:i/>
          <w:sz w:val="24"/>
        </w:rPr>
        <w:t>Act</w:t>
      </w:r>
      <w:r w:rsidR="007600C2">
        <w:rPr>
          <w:sz w:val="24"/>
        </w:rPr>
        <w:t xml:space="preserve"> is being referred to, whereas the application is under </w:t>
      </w:r>
      <w:r w:rsidR="007600C2" w:rsidRPr="007600C2">
        <w:rPr>
          <w:i/>
          <w:sz w:val="24"/>
        </w:rPr>
        <w:t>section 37 (1)</w:t>
      </w:r>
      <w:r w:rsidR="007600C2">
        <w:rPr>
          <w:sz w:val="24"/>
        </w:rPr>
        <w:t xml:space="preserve"> of the </w:t>
      </w:r>
      <w:r w:rsidR="007600C2" w:rsidRPr="007600C2">
        <w:rPr>
          <w:i/>
          <w:sz w:val="24"/>
        </w:rPr>
        <w:t>Act</w:t>
      </w:r>
      <w:r w:rsidR="007600C2">
        <w:rPr>
          <w:sz w:val="24"/>
        </w:rPr>
        <w:t xml:space="preserve">. </w:t>
      </w:r>
    </w:p>
    <w:p w:rsidR="004D316B" w:rsidRDefault="004D316B" w:rsidP="007B696E">
      <w:pPr>
        <w:spacing w:after="0" w:line="276" w:lineRule="auto"/>
        <w:jc w:val="both"/>
        <w:rPr>
          <w:sz w:val="24"/>
        </w:rPr>
      </w:pPr>
    </w:p>
    <w:p w:rsidR="004D316B" w:rsidRDefault="004D316B" w:rsidP="007B696E">
      <w:pPr>
        <w:spacing w:after="0" w:line="276" w:lineRule="auto"/>
        <w:jc w:val="both"/>
        <w:rPr>
          <w:sz w:val="24"/>
        </w:rPr>
      </w:pPr>
    </w:p>
    <w:p w:rsidR="009D53E6" w:rsidRDefault="004D316B" w:rsidP="007B696E">
      <w:pPr>
        <w:spacing w:after="0" w:line="276" w:lineRule="auto"/>
        <w:jc w:val="both"/>
        <w:rPr>
          <w:sz w:val="24"/>
        </w:rPr>
      </w:pPr>
      <w:r>
        <w:rPr>
          <w:sz w:val="24"/>
        </w:rPr>
        <w:tab/>
        <w:t>On the second point of the preliminary objection,</w:t>
      </w:r>
      <w:r w:rsidR="00021A83">
        <w:rPr>
          <w:sz w:val="24"/>
        </w:rPr>
        <w:t xml:space="preserve"> Mr Chuttoo</w:t>
      </w:r>
      <w:r w:rsidR="00181C41">
        <w:rPr>
          <w:sz w:val="24"/>
        </w:rPr>
        <w:t xml:space="preserve"> stated that</w:t>
      </w:r>
      <w:r w:rsidR="007146BB">
        <w:rPr>
          <w:sz w:val="24"/>
        </w:rPr>
        <w:t xml:space="preserve"> </w:t>
      </w:r>
      <w:r w:rsidR="00CD2E32">
        <w:rPr>
          <w:sz w:val="24"/>
        </w:rPr>
        <w:t xml:space="preserve">it is clear that the application has been made as a </w:t>
      </w:r>
      <w:r w:rsidR="007146BB">
        <w:rPr>
          <w:sz w:val="24"/>
        </w:rPr>
        <w:t>bargaining agent.</w:t>
      </w:r>
      <w:r w:rsidR="00070093">
        <w:rPr>
          <w:sz w:val="24"/>
        </w:rPr>
        <w:t xml:space="preserve"> </w:t>
      </w:r>
      <w:r w:rsidR="00CD2E32">
        <w:rPr>
          <w:sz w:val="24"/>
        </w:rPr>
        <w:t xml:space="preserve">The letter dated 24 May 2016 was under </w:t>
      </w:r>
      <w:r w:rsidR="00CD2E32" w:rsidRPr="00CD2E32">
        <w:rPr>
          <w:i/>
          <w:sz w:val="24"/>
        </w:rPr>
        <w:t>section 37 (1)</w:t>
      </w:r>
      <w:r w:rsidR="00CD2E32">
        <w:rPr>
          <w:sz w:val="24"/>
        </w:rPr>
        <w:t xml:space="preserve"> which means bargaining agent. He stated that it is important </w:t>
      </w:r>
      <w:r w:rsidR="00181C41">
        <w:rPr>
          <w:sz w:val="24"/>
        </w:rPr>
        <w:t>to have good faith between the parties to have</w:t>
      </w:r>
      <w:r w:rsidR="00CD2E32">
        <w:rPr>
          <w:sz w:val="24"/>
        </w:rPr>
        <w:t xml:space="preserve"> sound industrial relations.  </w:t>
      </w:r>
    </w:p>
    <w:p w:rsidR="0009522E" w:rsidRDefault="007146BB" w:rsidP="007B696E">
      <w:pPr>
        <w:spacing w:after="0" w:line="276" w:lineRule="auto"/>
        <w:jc w:val="both"/>
        <w:rPr>
          <w:sz w:val="24"/>
        </w:rPr>
      </w:pPr>
      <w:r>
        <w:rPr>
          <w:sz w:val="24"/>
        </w:rPr>
        <w:t xml:space="preserve">   </w:t>
      </w:r>
      <w:r w:rsidR="004D316B">
        <w:rPr>
          <w:sz w:val="24"/>
        </w:rPr>
        <w:t xml:space="preserve"> </w:t>
      </w:r>
      <w:r w:rsidR="007600C2">
        <w:rPr>
          <w:sz w:val="24"/>
        </w:rPr>
        <w:t xml:space="preserve">    </w:t>
      </w:r>
      <w:r w:rsidR="00361A3E">
        <w:rPr>
          <w:sz w:val="24"/>
        </w:rPr>
        <w:t xml:space="preserve"> </w:t>
      </w:r>
      <w:r w:rsidR="007E6A73">
        <w:rPr>
          <w:sz w:val="24"/>
        </w:rPr>
        <w:t xml:space="preserve"> </w:t>
      </w:r>
      <w:r w:rsidR="0009522E">
        <w:rPr>
          <w:sz w:val="24"/>
        </w:rPr>
        <w:t xml:space="preserve"> </w:t>
      </w:r>
    </w:p>
    <w:p w:rsidR="005E34F5" w:rsidRDefault="005E34F5" w:rsidP="00C62906">
      <w:pPr>
        <w:spacing w:after="0" w:line="276" w:lineRule="auto"/>
        <w:jc w:val="both"/>
        <w:rPr>
          <w:sz w:val="24"/>
        </w:rPr>
      </w:pPr>
    </w:p>
    <w:p w:rsidR="00237012" w:rsidRDefault="00146671" w:rsidP="00237012">
      <w:pPr>
        <w:spacing w:after="0" w:line="276" w:lineRule="auto"/>
        <w:jc w:val="both"/>
        <w:rPr>
          <w:sz w:val="24"/>
        </w:rPr>
      </w:pPr>
      <w:r>
        <w:rPr>
          <w:sz w:val="24"/>
        </w:rPr>
        <w:tab/>
        <w:t>As regards the third point raised, Mr Chuttoo stated that there has been no</w:t>
      </w:r>
      <w:r w:rsidR="00CD2E32">
        <w:rPr>
          <w:sz w:val="24"/>
        </w:rPr>
        <w:t xml:space="preserve"> order or</w:t>
      </w:r>
      <w:r>
        <w:rPr>
          <w:sz w:val="24"/>
        </w:rPr>
        <w:t xml:space="preserve"> determination of the Tribunal in the previous application made by the Union before the Tribunal.</w:t>
      </w:r>
      <w:r w:rsidR="00CD2E32">
        <w:rPr>
          <w:sz w:val="24"/>
        </w:rPr>
        <w:t xml:space="preserve"> How could there have been a determination when the Union withdrew the case and there was no hearing?</w:t>
      </w:r>
      <w:r w:rsidR="00F509CC">
        <w:rPr>
          <w:sz w:val="24"/>
        </w:rPr>
        <w:t xml:space="preserve"> According to</w:t>
      </w:r>
      <w:r w:rsidR="00CD2E32">
        <w:rPr>
          <w:sz w:val="24"/>
        </w:rPr>
        <w:t xml:space="preserve"> him, it is clear that the point does not stand.  </w:t>
      </w:r>
      <w:r>
        <w:rPr>
          <w:sz w:val="24"/>
        </w:rPr>
        <w:t xml:space="preserve"> </w:t>
      </w:r>
    </w:p>
    <w:p w:rsidR="00F63682" w:rsidRDefault="00F63682" w:rsidP="00F63682">
      <w:pPr>
        <w:spacing w:after="0"/>
        <w:rPr>
          <w:sz w:val="24"/>
        </w:rPr>
      </w:pPr>
    </w:p>
    <w:p w:rsidR="00F63682" w:rsidRDefault="00F63682" w:rsidP="00F63682">
      <w:pPr>
        <w:spacing w:after="0"/>
        <w:rPr>
          <w:sz w:val="24"/>
        </w:rPr>
      </w:pPr>
    </w:p>
    <w:p w:rsidR="00C32DB6" w:rsidRDefault="00C32DB6" w:rsidP="00F63682">
      <w:pPr>
        <w:ind w:firstLine="720"/>
        <w:jc w:val="both"/>
        <w:rPr>
          <w:sz w:val="24"/>
        </w:rPr>
      </w:pPr>
      <w:r>
        <w:rPr>
          <w:sz w:val="24"/>
        </w:rPr>
        <w:t xml:space="preserve">In the present matter, it has not been disputed that the trade union in making its application to the employer via a letter dated 24 May 2016 has stated same to be under </w:t>
      </w:r>
      <w:r>
        <w:rPr>
          <w:i/>
          <w:sz w:val="24"/>
        </w:rPr>
        <w:t>section 37</w:t>
      </w:r>
      <w:r>
        <w:rPr>
          <w:sz w:val="24"/>
        </w:rPr>
        <w:t xml:space="preserve"> </w:t>
      </w:r>
      <w:r w:rsidR="001A7250" w:rsidRPr="001A7250">
        <w:rPr>
          <w:i/>
          <w:sz w:val="24"/>
        </w:rPr>
        <w:t xml:space="preserve">(1) </w:t>
      </w:r>
      <w:r>
        <w:rPr>
          <w:sz w:val="24"/>
        </w:rPr>
        <w:t xml:space="preserve">of the </w:t>
      </w:r>
      <w:r>
        <w:rPr>
          <w:i/>
          <w:sz w:val="24"/>
        </w:rPr>
        <w:t>Act</w:t>
      </w:r>
      <w:r>
        <w:rPr>
          <w:sz w:val="24"/>
        </w:rPr>
        <w:t>. It may also be noted this has also been clearly stated in the Uni</w:t>
      </w:r>
      <w:r w:rsidR="008406DC">
        <w:rPr>
          <w:sz w:val="24"/>
        </w:rPr>
        <w:t>on’s reply to the Respondent’s Statement of C</w:t>
      </w:r>
      <w:r>
        <w:rPr>
          <w:sz w:val="24"/>
        </w:rPr>
        <w:t>ase that the ‘</w:t>
      </w:r>
      <w:r>
        <w:rPr>
          <w:i/>
          <w:sz w:val="24"/>
        </w:rPr>
        <w:t>Application was made under Section 37(1) of the Employment Relations Act as all the criteria for recognition of trade union were met</w:t>
      </w:r>
      <w:r>
        <w:rPr>
          <w:sz w:val="24"/>
        </w:rPr>
        <w:t>’</w:t>
      </w:r>
      <w:r w:rsidR="00F63682">
        <w:rPr>
          <w:sz w:val="24"/>
        </w:rPr>
        <w:t>.</w:t>
      </w:r>
      <w:r>
        <w:rPr>
          <w:sz w:val="24"/>
        </w:rPr>
        <w:t xml:space="preserve"> </w:t>
      </w: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r>
        <w:rPr>
          <w:sz w:val="24"/>
        </w:rPr>
        <w:tab/>
      </w:r>
    </w:p>
    <w:p w:rsidR="00C32DB6" w:rsidRDefault="00C32DB6" w:rsidP="00C32DB6">
      <w:pPr>
        <w:spacing w:after="0" w:line="276" w:lineRule="auto"/>
        <w:jc w:val="both"/>
        <w:rPr>
          <w:sz w:val="24"/>
        </w:rPr>
      </w:pPr>
      <w:r>
        <w:rPr>
          <w:sz w:val="24"/>
        </w:rPr>
        <w:tab/>
        <w:t>The letter dated 24 May 2016 bears the heading ‘</w:t>
      </w:r>
      <w:r>
        <w:rPr>
          <w:b/>
          <w:i/>
          <w:sz w:val="24"/>
          <w:u w:val="single"/>
        </w:rPr>
        <w:t>Application for Recognition as per Section 37(1) of the Employment Relations Act</w:t>
      </w:r>
      <w:r w:rsidR="001A7250">
        <w:rPr>
          <w:sz w:val="24"/>
        </w:rPr>
        <w:t>’. It would be pertinent</w:t>
      </w:r>
      <w:r>
        <w:rPr>
          <w:sz w:val="24"/>
        </w:rPr>
        <w:t xml:space="preserve"> to note the </w:t>
      </w:r>
      <w:r w:rsidR="001A7250">
        <w:rPr>
          <w:sz w:val="24"/>
        </w:rPr>
        <w:t>relevant</w:t>
      </w:r>
      <w:r>
        <w:rPr>
          <w:sz w:val="24"/>
        </w:rPr>
        <w:t xml:space="preserve"> aspect of the aforesaid letter addressed to the Employer indicating the section under which the application was made:</w:t>
      </w:r>
    </w:p>
    <w:p w:rsidR="00C32DB6" w:rsidRDefault="00C32DB6" w:rsidP="00C32DB6">
      <w:pPr>
        <w:spacing w:after="0" w:line="276" w:lineRule="auto"/>
        <w:jc w:val="both"/>
      </w:pPr>
    </w:p>
    <w:p w:rsidR="00C32DB6" w:rsidRDefault="00C32DB6" w:rsidP="00C32DB6">
      <w:pPr>
        <w:spacing w:after="0" w:line="276" w:lineRule="auto"/>
        <w:ind w:left="720" w:right="900"/>
        <w:jc w:val="both"/>
      </w:pPr>
      <w:r>
        <w:rPr>
          <w:i/>
        </w:rPr>
        <w:lastRenderedPageBreak/>
        <w:t>In line with provisions of the Employment Relations Act (2008) the Private Enterprises Employees Union (PEEU) is kindly making a formal application for recognition, under Section 37(1).</w:t>
      </w:r>
      <w:r>
        <w:t xml:space="preserve">  </w:t>
      </w: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r>
        <w:rPr>
          <w:sz w:val="24"/>
        </w:rPr>
        <w:tab/>
        <w:t xml:space="preserve">In an application for recognition of a trade union, one cannot overlook </w:t>
      </w:r>
      <w:r>
        <w:rPr>
          <w:i/>
          <w:sz w:val="24"/>
        </w:rPr>
        <w:t>section 36 (1)</w:t>
      </w:r>
      <w:r>
        <w:rPr>
          <w:sz w:val="24"/>
        </w:rPr>
        <w:t xml:space="preserve"> of the </w:t>
      </w:r>
      <w:r>
        <w:rPr>
          <w:i/>
          <w:sz w:val="24"/>
        </w:rPr>
        <w:t>Act</w:t>
      </w:r>
      <w:r>
        <w:rPr>
          <w:sz w:val="24"/>
        </w:rPr>
        <w:t xml:space="preserve">. This reads as follows: </w:t>
      </w:r>
    </w:p>
    <w:p w:rsidR="00C32DB6" w:rsidRDefault="00141F1E" w:rsidP="00C32DB6">
      <w:pPr>
        <w:spacing w:after="0" w:line="276" w:lineRule="auto"/>
        <w:jc w:val="both"/>
      </w:pPr>
      <w:r>
        <w:tab/>
      </w:r>
    </w:p>
    <w:p w:rsidR="00C32DB6" w:rsidRDefault="00C32DB6" w:rsidP="00C32DB6">
      <w:pPr>
        <w:autoSpaceDE w:val="0"/>
        <w:autoSpaceDN w:val="0"/>
        <w:adjustRightInd w:val="0"/>
        <w:spacing w:after="0" w:line="240" w:lineRule="auto"/>
        <w:rPr>
          <w:rFonts w:cs="Arial-BoldMT"/>
          <w:b/>
          <w:bCs/>
          <w:i/>
        </w:rPr>
      </w:pPr>
      <w:r>
        <w:rPr>
          <w:sz w:val="24"/>
        </w:rPr>
        <w:tab/>
      </w:r>
      <w:r>
        <w:rPr>
          <w:rFonts w:cs="Arial-BoldMT"/>
          <w:b/>
          <w:bCs/>
          <w:i/>
        </w:rPr>
        <w:t xml:space="preserve">36. </w:t>
      </w:r>
      <w:r>
        <w:rPr>
          <w:rFonts w:cs="Arial-BoldMT"/>
          <w:b/>
          <w:bCs/>
          <w:i/>
        </w:rPr>
        <w:tab/>
        <w:t>Application for recognition</w:t>
      </w:r>
    </w:p>
    <w:p w:rsidR="00C32DB6" w:rsidRDefault="00C32DB6" w:rsidP="00C32DB6">
      <w:pPr>
        <w:autoSpaceDE w:val="0"/>
        <w:autoSpaceDN w:val="0"/>
        <w:adjustRightInd w:val="0"/>
        <w:spacing w:after="0" w:line="240" w:lineRule="auto"/>
        <w:rPr>
          <w:rFonts w:cs="ArialMT"/>
          <w:i/>
        </w:rPr>
      </w:pPr>
      <w:r>
        <w:rPr>
          <w:rFonts w:cs="ArialMT"/>
          <w:i/>
        </w:rPr>
        <w:tab/>
      </w:r>
      <w:r>
        <w:rPr>
          <w:rFonts w:cs="ArialMT"/>
          <w:i/>
        </w:rPr>
        <w:tab/>
      </w:r>
    </w:p>
    <w:p w:rsidR="00C32DB6" w:rsidRDefault="00C32DB6" w:rsidP="00C32DB6">
      <w:pPr>
        <w:autoSpaceDE w:val="0"/>
        <w:autoSpaceDN w:val="0"/>
        <w:adjustRightInd w:val="0"/>
        <w:spacing w:after="0" w:line="240" w:lineRule="auto"/>
        <w:ind w:left="720" w:right="900" w:firstLine="720"/>
        <w:jc w:val="both"/>
        <w:rPr>
          <w:rFonts w:cs="ArialMT"/>
          <w:i/>
        </w:rPr>
      </w:pPr>
      <w:r>
        <w:rPr>
          <w:rFonts w:cs="ArialMT"/>
          <w:i/>
        </w:rPr>
        <w:t xml:space="preserve">(1) </w:t>
      </w:r>
      <w:r>
        <w:rPr>
          <w:rFonts w:cs="ArialMT"/>
          <w:i/>
        </w:rPr>
        <w:tab/>
        <w:t>A trade union or a group of trade unions of workers acting jointly may apply in writing to an employer for recognition as a bargaining agent, or as a joint negotiating panel, or as a sole bargaining agent, for a bargaining unit.</w:t>
      </w: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p>
    <w:p w:rsidR="00C32DB6" w:rsidRDefault="00C32DB6" w:rsidP="00C32DB6">
      <w:pPr>
        <w:spacing w:after="0" w:line="276" w:lineRule="auto"/>
        <w:ind w:firstLine="720"/>
        <w:jc w:val="both"/>
        <w:rPr>
          <w:sz w:val="24"/>
        </w:rPr>
      </w:pPr>
      <w:r>
        <w:rPr>
          <w:sz w:val="24"/>
        </w:rPr>
        <w:t xml:space="preserve">On the other hand, </w:t>
      </w:r>
      <w:r>
        <w:rPr>
          <w:i/>
          <w:sz w:val="24"/>
        </w:rPr>
        <w:t>section 37</w:t>
      </w:r>
      <w:r>
        <w:rPr>
          <w:sz w:val="24"/>
        </w:rPr>
        <w:t xml:space="preserve"> refers to the ‘</w:t>
      </w:r>
      <w:r>
        <w:rPr>
          <w:b/>
          <w:i/>
          <w:sz w:val="24"/>
        </w:rPr>
        <w:t>Criteria for recognition of trade union of workers</w:t>
      </w:r>
      <w:r>
        <w:rPr>
          <w:sz w:val="24"/>
        </w:rPr>
        <w:t xml:space="preserve">’ and at </w:t>
      </w:r>
      <w:r>
        <w:rPr>
          <w:i/>
          <w:sz w:val="24"/>
        </w:rPr>
        <w:t>subsection (1)</w:t>
      </w:r>
      <w:r>
        <w:rPr>
          <w:sz w:val="24"/>
        </w:rPr>
        <w:t xml:space="preserve"> provides as follows:</w:t>
      </w:r>
    </w:p>
    <w:p w:rsidR="00C32DB6" w:rsidRPr="00584086" w:rsidRDefault="00C32DB6" w:rsidP="00C32DB6">
      <w:pPr>
        <w:spacing w:after="0" w:line="276" w:lineRule="auto"/>
        <w:ind w:firstLine="720"/>
        <w:jc w:val="both"/>
      </w:pPr>
    </w:p>
    <w:p w:rsidR="00C32DB6" w:rsidRDefault="00C32DB6" w:rsidP="00C32DB6">
      <w:pPr>
        <w:autoSpaceDE w:val="0"/>
        <w:autoSpaceDN w:val="0"/>
        <w:adjustRightInd w:val="0"/>
        <w:spacing w:after="0" w:line="240" w:lineRule="auto"/>
        <w:ind w:left="720" w:right="900" w:firstLine="720"/>
        <w:jc w:val="both"/>
        <w:rPr>
          <w:rFonts w:cs="ArialMT"/>
          <w:i/>
        </w:rPr>
      </w:pPr>
      <w:r>
        <w:rPr>
          <w:rFonts w:cs="ArialMT"/>
          <w:i/>
        </w:rPr>
        <w:t xml:space="preserve">(1) </w:t>
      </w:r>
      <w:r>
        <w:rPr>
          <w:rFonts w:cs="ArialMT"/>
          <w:i/>
        </w:rPr>
        <w:tab/>
        <w:t>Subject to subsections (2) and (3), a trade union shall be entitled to recognition as a bargaining agent for a bargaining unit in an enterprise or industry, where it has the support of not less than 30 per cent and not more than 50 per cent of the workers in the bargaining unit of the enterprise or industry.</w:t>
      </w: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r>
        <w:rPr>
          <w:sz w:val="24"/>
        </w:rPr>
        <w:tab/>
      </w:r>
    </w:p>
    <w:p w:rsidR="00C32DB6" w:rsidRDefault="00C32DB6" w:rsidP="00C32DB6">
      <w:pPr>
        <w:spacing w:after="0" w:line="276" w:lineRule="auto"/>
        <w:ind w:firstLine="720"/>
        <w:jc w:val="both"/>
        <w:rPr>
          <w:sz w:val="24"/>
        </w:rPr>
      </w:pPr>
      <w:r>
        <w:rPr>
          <w:sz w:val="24"/>
        </w:rPr>
        <w:t xml:space="preserve">Although, the Union may claim that the requirements for recognition under </w:t>
      </w:r>
      <w:r>
        <w:rPr>
          <w:i/>
          <w:sz w:val="24"/>
        </w:rPr>
        <w:t>section 37 (1)</w:t>
      </w:r>
      <w:r>
        <w:rPr>
          <w:sz w:val="24"/>
        </w:rPr>
        <w:t xml:space="preserve"> have been satisfied and that the requirements of </w:t>
      </w:r>
      <w:r>
        <w:rPr>
          <w:i/>
          <w:sz w:val="24"/>
        </w:rPr>
        <w:t>section 36</w:t>
      </w:r>
      <w:r>
        <w:rPr>
          <w:sz w:val="24"/>
        </w:rPr>
        <w:t xml:space="preserve"> have been complied with, it would have been proper for the Union to have written to the Employer under </w:t>
      </w:r>
      <w:r>
        <w:rPr>
          <w:i/>
          <w:sz w:val="24"/>
        </w:rPr>
        <w:t>section 36</w:t>
      </w:r>
      <w:r>
        <w:rPr>
          <w:sz w:val="24"/>
        </w:rPr>
        <w:t xml:space="preserve"> when applying for recognition.  </w:t>
      </w: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r>
        <w:rPr>
          <w:sz w:val="24"/>
        </w:rPr>
        <w:tab/>
        <w:t>It must also be noted that s</w:t>
      </w:r>
      <w:r>
        <w:rPr>
          <w:i/>
          <w:sz w:val="24"/>
        </w:rPr>
        <w:t>ection 36 (1)</w:t>
      </w:r>
      <w:r>
        <w:rPr>
          <w:sz w:val="24"/>
        </w:rPr>
        <w:t xml:space="preserve"> of the </w:t>
      </w:r>
      <w:r>
        <w:rPr>
          <w:i/>
          <w:sz w:val="24"/>
        </w:rPr>
        <w:t>Act</w:t>
      </w:r>
      <w:r>
        <w:rPr>
          <w:sz w:val="24"/>
        </w:rPr>
        <w:t xml:space="preserve"> cannot be read in isolation. Indeed, there are certain requirements attached to an application made under the aforesaid </w:t>
      </w:r>
      <w:r>
        <w:rPr>
          <w:i/>
          <w:sz w:val="24"/>
        </w:rPr>
        <w:t>section</w:t>
      </w:r>
      <w:r>
        <w:rPr>
          <w:sz w:val="24"/>
        </w:rPr>
        <w:t xml:space="preserve"> of the law:</w:t>
      </w:r>
      <w:r w:rsidR="00CB48B9">
        <w:rPr>
          <w:sz w:val="24"/>
        </w:rPr>
        <w:t xml:space="preserve"> </w:t>
      </w:r>
    </w:p>
    <w:p w:rsidR="00C32DB6" w:rsidRDefault="00C32DB6" w:rsidP="00C32DB6">
      <w:pPr>
        <w:spacing w:after="0" w:line="276" w:lineRule="auto"/>
        <w:jc w:val="both"/>
      </w:pPr>
      <w:r>
        <w:tab/>
      </w:r>
    </w:p>
    <w:p w:rsidR="00C32DB6" w:rsidRDefault="00C32DB6" w:rsidP="00C32DB6">
      <w:pPr>
        <w:spacing w:after="0" w:line="276" w:lineRule="auto"/>
        <w:jc w:val="both"/>
        <w:rPr>
          <w:rFonts w:cs="Arial-BoldMT"/>
          <w:b/>
          <w:bCs/>
          <w:i/>
        </w:rPr>
      </w:pPr>
      <w:r>
        <w:tab/>
      </w:r>
      <w:r>
        <w:rPr>
          <w:rFonts w:cs="Arial-BoldMT"/>
          <w:b/>
          <w:bCs/>
          <w:i/>
        </w:rPr>
        <w:t xml:space="preserve">36. </w:t>
      </w:r>
      <w:r>
        <w:rPr>
          <w:rFonts w:cs="Arial-BoldMT"/>
          <w:b/>
          <w:bCs/>
          <w:i/>
        </w:rPr>
        <w:tab/>
        <w:t>Application for recognition</w:t>
      </w:r>
    </w:p>
    <w:p w:rsidR="00C32DB6" w:rsidRDefault="00C32DB6" w:rsidP="00C32DB6">
      <w:pPr>
        <w:spacing w:after="0" w:line="276" w:lineRule="auto"/>
        <w:jc w:val="both"/>
      </w:pPr>
      <w:r>
        <w:tab/>
      </w:r>
      <w:r>
        <w:tab/>
        <w:t>…</w:t>
      </w:r>
    </w:p>
    <w:p w:rsidR="00C32DB6" w:rsidRDefault="00C32DB6" w:rsidP="00C32DB6">
      <w:pPr>
        <w:autoSpaceDE w:val="0"/>
        <w:autoSpaceDN w:val="0"/>
        <w:adjustRightInd w:val="0"/>
        <w:spacing w:after="0" w:line="240" w:lineRule="auto"/>
        <w:jc w:val="both"/>
        <w:rPr>
          <w:rFonts w:cs="ArialMT"/>
          <w:i/>
        </w:rPr>
      </w:pPr>
      <w:r>
        <w:rPr>
          <w:sz w:val="24"/>
        </w:rPr>
        <w:tab/>
      </w:r>
      <w:r>
        <w:rPr>
          <w:sz w:val="24"/>
        </w:rPr>
        <w:tab/>
      </w:r>
      <w:r>
        <w:rPr>
          <w:rFonts w:cs="ArialMT"/>
          <w:i/>
        </w:rPr>
        <w:t xml:space="preserve">(2) </w:t>
      </w:r>
      <w:r>
        <w:rPr>
          <w:rFonts w:cs="ArialMT"/>
          <w:i/>
        </w:rPr>
        <w:tab/>
        <w:t>An application under subsection (1) shall be accompanied by –</w:t>
      </w:r>
    </w:p>
    <w:p w:rsidR="00C32DB6" w:rsidRDefault="00C32DB6" w:rsidP="00C32DB6">
      <w:pPr>
        <w:autoSpaceDE w:val="0"/>
        <w:autoSpaceDN w:val="0"/>
        <w:adjustRightInd w:val="0"/>
        <w:spacing w:after="0" w:line="240" w:lineRule="auto"/>
        <w:jc w:val="both"/>
        <w:rPr>
          <w:rFonts w:cs="ArialMT"/>
          <w:i/>
        </w:rPr>
      </w:pPr>
      <w:r>
        <w:rPr>
          <w:rFonts w:cs="ArialMT"/>
          <w:i/>
        </w:rPr>
        <w:tab/>
      </w:r>
      <w:r>
        <w:rPr>
          <w:rFonts w:cs="ArialMT"/>
          <w:i/>
        </w:rPr>
        <w:tab/>
      </w:r>
      <w:r>
        <w:rPr>
          <w:rFonts w:cs="ArialMT"/>
          <w:i/>
        </w:rPr>
        <w:tab/>
      </w:r>
    </w:p>
    <w:p w:rsidR="00C32DB6" w:rsidRDefault="00C32DB6" w:rsidP="00C32DB6">
      <w:pPr>
        <w:pStyle w:val="ListParagraph"/>
        <w:numPr>
          <w:ilvl w:val="0"/>
          <w:numId w:val="7"/>
        </w:numPr>
        <w:autoSpaceDE w:val="0"/>
        <w:autoSpaceDN w:val="0"/>
        <w:adjustRightInd w:val="0"/>
        <w:spacing w:after="0" w:line="240" w:lineRule="auto"/>
        <w:jc w:val="both"/>
        <w:rPr>
          <w:rFonts w:cs="ArialMT"/>
          <w:i/>
        </w:rPr>
      </w:pPr>
      <w:r>
        <w:rPr>
          <w:rFonts w:cs="ArialMT"/>
          <w:i/>
        </w:rPr>
        <w:t>a copy of the certificate of registration of each trade union;</w:t>
      </w:r>
    </w:p>
    <w:p w:rsidR="00C32DB6" w:rsidRDefault="00C32DB6" w:rsidP="00C32DB6">
      <w:pPr>
        <w:pStyle w:val="ListParagraph"/>
        <w:autoSpaceDE w:val="0"/>
        <w:autoSpaceDN w:val="0"/>
        <w:adjustRightInd w:val="0"/>
        <w:spacing w:after="0" w:line="240" w:lineRule="auto"/>
        <w:ind w:left="2880"/>
        <w:jc w:val="both"/>
        <w:rPr>
          <w:rFonts w:cs="ArialMT"/>
          <w:i/>
        </w:rPr>
      </w:pPr>
    </w:p>
    <w:p w:rsidR="00C32DB6" w:rsidRDefault="00C32DB6" w:rsidP="00C32DB6">
      <w:pPr>
        <w:pStyle w:val="ListParagraph"/>
        <w:numPr>
          <w:ilvl w:val="0"/>
          <w:numId w:val="7"/>
        </w:numPr>
        <w:autoSpaceDE w:val="0"/>
        <w:autoSpaceDN w:val="0"/>
        <w:adjustRightInd w:val="0"/>
        <w:spacing w:after="0" w:line="240" w:lineRule="auto"/>
        <w:ind w:left="2160" w:right="900" w:firstLine="0"/>
        <w:jc w:val="both"/>
        <w:rPr>
          <w:rFonts w:cs="ArialMT"/>
          <w:i/>
        </w:rPr>
      </w:pPr>
      <w:r>
        <w:rPr>
          <w:rFonts w:cs="ArialMT"/>
          <w:i/>
        </w:rPr>
        <w:t>a copy of the agreement between or among the trade unions in the case of a group of trade unions acting jointly; and</w:t>
      </w:r>
    </w:p>
    <w:p w:rsidR="00C32DB6" w:rsidRDefault="00C32DB6" w:rsidP="00C32DB6">
      <w:pPr>
        <w:autoSpaceDE w:val="0"/>
        <w:autoSpaceDN w:val="0"/>
        <w:adjustRightInd w:val="0"/>
        <w:spacing w:after="0" w:line="240" w:lineRule="auto"/>
        <w:ind w:right="900"/>
        <w:jc w:val="both"/>
        <w:rPr>
          <w:rFonts w:cs="ArialMT"/>
          <w:i/>
        </w:rPr>
      </w:pPr>
    </w:p>
    <w:p w:rsidR="00C32DB6" w:rsidRDefault="00C32DB6" w:rsidP="00C32DB6">
      <w:pPr>
        <w:autoSpaceDE w:val="0"/>
        <w:autoSpaceDN w:val="0"/>
        <w:adjustRightInd w:val="0"/>
        <w:spacing w:after="0" w:line="240" w:lineRule="auto"/>
        <w:ind w:left="2160" w:right="900"/>
        <w:jc w:val="both"/>
        <w:rPr>
          <w:rFonts w:cs="ArialMT"/>
          <w:i/>
        </w:rPr>
      </w:pPr>
      <w:r>
        <w:rPr>
          <w:rFonts w:cs="ArialMT"/>
          <w:i/>
        </w:rPr>
        <w:t xml:space="preserve">(c) </w:t>
      </w:r>
      <w:r>
        <w:rPr>
          <w:rFonts w:cs="ArialMT"/>
          <w:i/>
        </w:rPr>
        <w:tab/>
        <w:t>the number and category of members that each of the trade unions has in the bargaining unit.</w:t>
      </w:r>
    </w:p>
    <w:p w:rsidR="00C32DB6" w:rsidRDefault="00C32DB6" w:rsidP="00C32DB6">
      <w:pPr>
        <w:autoSpaceDE w:val="0"/>
        <w:autoSpaceDN w:val="0"/>
        <w:adjustRightInd w:val="0"/>
        <w:spacing w:after="0" w:line="240" w:lineRule="auto"/>
        <w:ind w:right="900"/>
        <w:jc w:val="both"/>
        <w:rPr>
          <w:rFonts w:cs="ArialMT"/>
          <w:sz w:val="24"/>
        </w:rPr>
      </w:pPr>
    </w:p>
    <w:p w:rsidR="00C32DB6" w:rsidRDefault="00C32DB6" w:rsidP="00C32DB6">
      <w:pPr>
        <w:spacing w:after="0" w:line="276" w:lineRule="auto"/>
        <w:jc w:val="both"/>
        <w:rPr>
          <w:sz w:val="24"/>
        </w:rPr>
      </w:pPr>
      <w:r>
        <w:rPr>
          <w:sz w:val="24"/>
        </w:rPr>
        <w:t xml:space="preserve">     </w:t>
      </w:r>
    </w:p>
    <w:p w:rsidR="00BF52C2" w:rsidRDefault="00C32DB6" w:rsidP="00BF52C2">
      <w:pPr>
        <w:spacing w:after="0" w:line="276" w:lineRule="auto"/>
        <w:jc w:val="both"/>
        <w:rPr>
          <w:sz w:val="24"/>
        </w:rPr>
      </w:pPr>
      <w:r>
        <w:rPr>
          <w:sz w:val="24"/>
        </w:rPr>
        <w:tab/>
      </w:r>
      <w:r w:rsidR="00BF52C2">
        <w:rPr>
          <w:sz w:val="24"/>
        </w:rPr>
        <w:t>In this context, the Union in its letter dated 24 May 2016</w:t>
      </w:r>
      <w:r w:rsidR="00163D6A">
        <w:rPr>
          <w:sz w:val="24"/>
        </w:rPr>
        <w:t xml:space="preserve"> addressed to the Employer</w:t>
      </w:r>
      <w:r w:rsidR="00BF52C2">
        <w:rPr>
          <w:sz w:val="24"/>
        </w:rPr>
        <w:t xml:space="preserve"> has put forward the categories of employees which do not form part of the bargaining unit. However, no list of the categories of members forming the bargaining unit has been enclosed to the application letter addressed to the Employer. </w:t>
      </w: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r>
        <w:rPr>
          <w:sz w:val="24"/>
        </w:rPr>
        <w:tab/>
        <w:t xml:space="preserve">The Employer also contends that the Applicant </w:t>
      </w:r>
      <w:r w:rsidR="00333E99">
        <w:rPr>
          <w:sz w:val="24"/>
        </w:rPr>
        <w:t>T</w:t>
      </w:r>
      <w:r>
        <w:rPr>
          <w:sz w:val="24"/>
        </w:rPr>
        <w:t xml:space="preserve">rade </w:t>
      </w:r>
      <w:r w:rsidR="00333E99">
        <w:rPr>
          <w:sz w:val="24"/>
        </w:rPr>
        <w:t>U</w:t>
      </w:r>
      <w:r>
        <w:rPr>
          <w:sz w:val="24"/>
        </w:rPr>
        <w:t xml:space="preserve">nion has not disclosed whether it is applying for recognition as a bargaining agent, a joint negotiating panel or as a sole bargaining agent. Although, the Union has contended that it is obvious from their application that they are applying as a bargaining agent, it is pertinent to note the requirements set forth in </w:t>
      </w:r>
      <w:r>
        <w:rPr>
          <w:i/>
          <w:sz w:val="24"/>
        </w:rPr>
        <w:t>section 36 (1)</w:t>
      </w:r>
      <w:r>
        <w:rPr>
          <w:sz w:val="24"/>
        </w:rPr>
        <w:t xml:space="preserve"> of the </w:t>
      </w:r>
      <w:r>
        <w:rPr>
          <w:i/>
          <w:sz w:val="24"/>
        </w:rPr>
        <w:t>Act</w:t>
      </w:r>
      <w:r>
        <w:rPr>
          <w:sz w:val="24"/>
        </w:rPr>
        <w:t xml:space="preserve"> whereby the purpose of the application for recognition must be stated. </w:t>
      </w:r>
    </w:p>
    <w:p w:rsidR="00C32DB6" w:rsidRDefault="00C32DB6" w:rsidP="00C32DB6">
      <w:pPr>
        <w:spacing w:after="0" w:line="276" w:lineRule="auto"/>
        <w:jc w:val="both"/>
        <w:rPr>
          <w:sz w:val="24"/>
        </w:rPr>
      </w:pPr>
    </w:p>
    <w:p w:rsidR="00C32DB6" w:rsidRDefault="00C32DB6" w:rsidP="00C32DB6">
      <w:pPr>
        <w:spacing w:after="0" w:line="276" w:lineRule="auto"/>
        <w:jc w:val="both"/>
        <w:rPr>
          <w:sz w:val="24"/>
        </w:rPr>
      </w:pPr>
    </w:p>
    <w:p w:rsidR="00B72070" w:rsidRDefault="00C32DB6" w:rsidP="00C32DB6">
      <w:pPr>
        <w:spacing w:after="0" w:line="276" w:lineRule="auto"/>
        <w:jc w:val="both"/>
        <w:rPr>
          <w:sz w:val="24"/>
        </w:rPr>
      </w:pPr>
      <w:r>
        <w:rPr>
          <w:sz w:val="24"/>
        </w:rPr>
        <w:tab/>
        <w:t xml:space="preserve">It may also be noted that the Applicant, in the present matter, has </w:t>
      </w:r>
      <w:r w:rsidR="00B72070">
        <w:rPr>
          <w:sz w:val="24"/>
        </w:rPr>
        <w:t xml:space="preserve">omitted </w:t>
      </w:r>
      <w:r>
        <w:rPr>
          <w:sz w:val="24"/>
        </w:rPr>
        <w:t xml:space="preserve">to disclose whether it is seeking an order for recognition as a bargaining agent or as a sole bargaining agent in its application made under </w:t>
      </w:r>
      <w:r>
        <w:rPr>
          <w:i/>
          <w:sz w:val="24"/>
        </w:rPr>
        <w:t>section 38 (1)</w:t>
      </w:r>
      <w:r>
        <w:rPr>
          <w:sz w:val="24"/>
        </w:rPr>
        <w:t xml:space="preserve"> of the </w:t>
      </w:r>
      <w:r>
        <w:rPr>
          <w:i/>
          <w:sz w:val="24"/>
        </w:rPr>
        <w:t>Act</w:t>
      </w:r>
      <w:r>
        <w:rPr>
          <w:sz w:val="24"/>
        </w:rPr>
        <w:t xml:space="preserve"> to the Tribunal.   </w:t>
      </w:r>
    </w:p>
    <w:p w:rsidR="00B72070" w:rsidRDefault="00B72070" w:rsidP="00C32DB6">
      <w:pPr>
        <w:spacing w:after="0" w:line="276" w:lineRule="auto"/>
        <w:jc w:val="both"/>
        <w:rPr>
          <w:sz w:val="24"/>
        </w:rPr>
      </w:pPr>
    </w:p>
    <w:p w:rsidR="00B72070" w:rsidRDefault="00B72070" w:rsidP="00C32DB6">
      <w:pPr>
        <w:spacing w:after="0" w:line="276" w:lineRule="auto"/>
        <w:jc w:val="both"/>
        <w:rPr>
          <w:sz w:val="24"/>
        </w:rPr>
      </w:pPr>
    </w:p>
    <w:p w:rsidR="00C32DB6" w:rsidRDefault="00B72070" w:rsidP="00C32DB6">
      <w:pPr>
        <w:spacing w:after="0" w:line="276" w:lineRule="auto"/>
        <w:jc w:val="both"/>
        <w:rPr>
          <w:sz w:val="24"/>
        </w:rPr>
      </w:pPr>
      <w:r>
        <w:rPr>
          <w:sz w:val="24"/>
        </w:rPr>
        <w:tab/>
        <w:t xml:space="preserve">As regards the third </w:t>
      </w:r>
      <w:r w:rsidR="000912B5">
        <w:rPr>
          <w:sz w:val="24"/>
        </w:rPr>
        <w:t>point</w:t>
      </w:r>
      <w:r>
        <w:rPr>
          <w:sz w:val="24"/>
        </w:rPr>
        <w:t xml:space="preserve"> of the preliminary objection raised, it would be pertinent to consider </w:t>
      </w:r>
      <w:r w:rsidRPr="00B72070">
        <w:rPr>
          <w:i/>
          <w:sz w:val="24"/>
        </w:rPr>
        <w:t>section 38 (10)</w:t>
      </w:r>
      <w:r>
        <w:rPr>
          <w:sz w:val="24"/>
        </w:rPr>
        <w:t xml:space="preserve"> of the </w:t>
      </w:r>
      <w:r w:rsidRPr="00B72070">
        <w:rPr>
          <w:i/>
          <w:sz w:val="24"/>
        </w:rPr>
        <w:t>Act</w:t>
      </w:r>
      <w:r>
        <w:rPr>
          <w:sz w:val="24"/>
        </w:rPr>
        <w:t xml:space="preserve"> as to whether the Tribunal made a determination in setting aside a previous application for recognition in ERT/RN 26/2016. </w:t>
      </w:r>
    </w:p>
    <w:p w:rsidR="00C32DB6" w:rsidRDefault="00C32DB6" w:rsidP="00C32DB6">
      <w:pPr>
        <w:spacing w:after="0" w:line="276" w:lineRule="auto"/>
        <w:jc w:val="both"/>
        <w:rPr>
          <w:sz w:val="24"/>
        </w:rPr>
      </w:pPr>
    </w:p>
    <w:p w:rsidR="00A22496" w:rsidRDefault="00A22496" w:rsidP="00C32DB6">
      <w:pPr>
        <w:spacing w:after="0" w:line="276" w:lineRule="auto"/>
        <w:jc w:val="both"/>
        <w:rPr>
          <w:sz w:val="24"/>
        </w:rPr>
      </w:pPr>
      <w:r>
        <w:rPr>
          <w:sz w:val="24"/>
        </w:rPr>
        <w:tab/>
      </w:r>
    </w:p>
    <w:p w:rsidR="00031B93" w:rsidRDefault="00C36D94" w:rsidP="00237012">
      <w:pPr>
        <w:spacing w:after="0" w:line="276" w:lineRule="auto"/>
        <w:jc w:val="both"/>
        <w:rPr>
          <w:sz w:val="24"/>
        </w:rPr>
      </w:pPr>
      <w:r>
        <w:rPr>
          <w:sz w:val="24"/>
        </w:rPr>
        <w:tab/>
      </w:r>
      <w:r w:rsidRPr="00C36D94">
        <w:rPr>
          <w:i/>
          <w:sz w:val="24"/>
        </w:rPr>
        <w:t>Section 38 (10)</w:t>
      </w:r>
      <w:r>
        <w:rPr>
          <w:sz w:val="24"/>
        </w:rPr>
        <w:t xml:space="preserve"> of the </w:t>
      </w:r>
      <w:r w:rsidRPr="00C36D94">
        <w:rPr>
          <w:i/>
          <w:sz w:val="24"/>
        </w:rPr>
        <w:t>Act</w:t>
      </w:r>
      <w:r>
        <w:rPr>
          <w:sz w:val="24"/>
        </w:rPr>
        <w:t xml:space="preserve"> provides as follows:</w:t>
      </w:r>
    </w:p>
    <w:p w:rsidR="00C36D94" w:rsidRPr="0086156E" w:rsidRDefault="00EA74F0" w:rsidP="00237012">
      <w:pPr>
        <w:spacing w:after="0" w:line="276" w:lineRule="auto"/>
        <w:jc w:val="both"/>
      </w:pPr>
      <w:r>
        <w:rPr>
          <w:sz w:val="24"/>
        </w:rPr>
        <w:tab/>
      </w:r>
      <w:r w:rsidR="00333E99">
        <w:rPr>
          <w:sz w:val="24"/>
        </w:rPr>
        <w:tab/>
      </w:r>
    </w:p>
    <w:p w:rsidR="00C36D94" w:rsidRPr="00C36D94" w:rsidRDefault="00C36D94" w:rsidP="00C36D94">
      <w:pPr>
        <w:autoSpaceDE w:val="0"/>
        <w:autoSpaceDN w:val="0"/>
        <w:adjustRightInd w:val="0"/>
        <w:spacing w:after="0" w:line="240" w:lineRule="auto"/>
        <w:ind w:left="720" w:right="900" w:firstLine="720"/>
        <w:jc w:val="both"/>
        <w:rPr>
          <w:rFonts w:cs="ArialMT"/>
          <w:i/>
        </w:rPr>
      </w:pPr>
      <w:r w:rsidRPr="00C36D94">
        <w:rPr>
          <w:rFonts w:cs="ArialMT"/>
          <w:i/>
        </w:rPr>
        <w:t xml:space="preserve">(10) </w:t>
      </w:r>
      <w:r w:rsidRPr="00C36D94">
        <w:rPr>
          <w:rFonts w:cs="ArialMT"/>
          <w:i/>
        </w:rPr>
        <w:tab/>
        <w:t>Where recognition has been ordered or determined under this section, no claim for recognition or revocation or variation of recognition in the same bargaining unit shall be entertained before the expiry of a period of 12 months commencing on the date of the order or determination, as the case may be.</w:t>
      </w:r>
    </w:p>
    <w:p w:rsidR="00031B93" w:rsidRDefault="00031B93" w:rsidP="00C36D94">
      <w:pPr>
        <w:spacing w:after="0" w:line="276" w:lineRule="auto"/>
        <w:jc w:val="both"/>
        <w:rPr>
          <w:sz w:val="24"/>
        </w:rPr>
      </w:pPr>
    </w:p>
    <w:p w:rsidR="00C36D94" w:rsidRDefault="00C36D94" w:rsidP="00C36D94">
      <w:pPr>
        <w:spacing w:after="0" w:line="276" w:lineRule="auto"/>
        <w:jc w:val="both"/>
        <w:rPr>
          <w:sz w:val="24"/>
        </w:rPr>
      </w:pPr>
    </w:p>
    <w:p w:rsidR="0076275D" w:rsidRDefault="00C36D94" w:rsidP="00C36D94">
      <w:pPr>
        <w:spacing w:after="0" w:line="276" w:lineRule="auto"/>
        <w:jc w:val="both"/>
        <w:rPr>
          <w:sz w:val="24"/>
        </w:rPr>
      </w:pPr>
      <w:r>
        <w:rPr>
          <w:sz w:val="24"/>
        </w:rPr>
        <w:tab/>
      </w:r>
      <w:r w:rsidR="0076275D">
        <w:rPr>
          <w:sz w:val="24"/>
        </w:rPr>
        <w:t xml:space="preserve">It has not been disputed that </w:t>
      </w:r>
      <w:r w:rsidR="000D2817">
        <w:rPr>
          <w:sz w:val="24"/>
        </w:rPr>
        <w:t>the aforesaid case</w:t>
      </w:r>
      <w:r w:rsidR="0076275D">
        <w:rPr>
          <w:sz w:val="24"/>
        </w:rPr>
        <w:t xml:space="preserve"> was set aside upon the withdrawal of the Union in relation to its then application. </w:t>
      </w:r>
      <w:r>
        <w:rPr>
          <w:sz w:val="24"/>
        </w:rPr>
        <w:t>As per the record of the proceedings</w:t>
      </w:r>
      <w:r w:rsidR="0086156E">
        <w:rPr>
          <w:sz w:val="24"/>
        </w:rPr>
        <w:t xml:space="preserve"> of 20 April 2016</w:t>
      </w:r>
      <w:r>
        <w:rPr>
          <w:sz w:val="24"/>
        </w:rPr>
        <w:t xml:space="preserve"> in the aforesaid case</w:t>
      </w:r>
      <w:r w:rsidR="0076275D">
        <w:rPr>
          <w:sz w:val="24"/>
        </w:rPr>
        <w:t>, t</w:t>
      </w:r>
      <w:r>
        <w:rPr>
          <w:sz w:val="24"/>
        </w:rPr>
        <w:t>he matt</w:t>
      </w:r>
      <w:r w:rsidR="0076275D">
        <w:rPr>
          <w:sz w:val="24"/>
        </w:rPr>
        <w:t xml:space="preserve">er was called for mention </w:t>
      </w:r>
      <w:r w:rsidR="00CB48B9">
        <w:rPr>
          <w:sz w:val="24"/>
        </w:rPr>
        <w:t>wherein</w:t>
      </w:r>
      <w:r>
        <w:rPr>
          <w:sz w:val="24"/>
        </w:rPr>
        <w:t xml:space="preserve"> it was withdrawn upon certain observations made by the Tribunal</w:t>
      </w:r>
      <w:r w:rsidR="0076275D">
        <w:rPr>
          <w:sz w:val="24"/>
        </w:rPr>
        <w:t xml:space="preserve"> as to the Union’s application</w:t>
      </w:r>
      <w:r>
        <w:rPr>
          <w:sz w:val="24"/>
        </w:rPr>
        <w:t>.</w:t>
      </w:r>
      <w:r w:rsidR="0076275D">
        <w:rPr>
          <w:sz w:val="24"/>
        </w:rPr>
        <w:t xml:space="preserve"> In fact, the </w:t>
      </w:r>
      <w:r w:rsidR="0076275D">
        <w:rPr>
          <w:sz w:val="24"/>
        </w:rPr>
        <w:lastRenderedPageBreak/>
        <w:t>proceedings do reflect that Mr Oozeer, Counsel for the Respondent stated ‘</w:t>
      </w:r>
      <w:r w:rsidR="0076275D" w:rsidRPr="0076275D">
        <w:rPr>
          <w:i/>
          <w:sz w:val="24"/>
        </w:rPr>
        <w:t>Just to be in order, a fresh application would be more appropriate</w:t>
      </w:r>
      <w:r w:rsidR="0076275D">
        <w:rPr>
          <w:sz w:val="24"/>
        </w:rPr>
        <w:t>’.</w:t>
      </w:r>
      <w:r>
        <w:rPr>
          <w:sz w:val="24"/>
        </w:rPr>
        <w:t xml:space="preserve"> </w:t>
      </w:r>
      <w:r w:rsidR="0076275D">
        <w:rPr>
          <w:sz w:val="24"/>
        </w:rPr>
        <w:t>Following which Mr Chuttoo</w:t>
      </w:r>
      <w:r w:rsidR="007A4607">
        <w:rPr>
          <w:sz w:val="24"/>
        </w:rPr>
        <w:t xml:space="preserve"> eventually</w:t>
      </w:r>
      <w:r w:rsidR="0076275D">
        <w:rPr>
          <w:sz w:val="24"/>
        </w:rPr>
        <w:t xml:space="preserve"> stated that ‘</w:t>
      </w:r>
      <w:r w:rsidR="0076275D" w:rsidRPr="0076275D">
        <w:rPr>
          <w:i/>
          <w:sz w:val="24"/>
        </w:rPr>
        <w:t>Ok, I withdraw the case, for a new application</w:t>
      </w:r>
      <w:r w:rsidR="0076275D">
        <w:rPr>
          <w:sz w:val="24"/>
        </w:rPr>
        <w:t xml:space="preserve">’. </w:t>
      </w:r>
    </w:p>
    <w:p w:rsidR="0076275D" w:rsidRDefault="0076275D" w:rsidP="00C36D94">
      <w:pPr>
        <w:spacing w:after="0" w:line="276" w:lineRule="auto"/>
        <w:jc w:val="both"/>
        <w:rPr>
          <w:sz w:val="24"/>
        </w:rPr>
      </w:pPr>
    </w:p>
    <w:p w:rsidR="0076275D" w:rsidRDefault="0076275D" w:rsidP="00C36D94">
      <w:pPr>
        <w:spacing w:after="0" w:line="276" w:lineRule="auto"/>
        <w:jc w:val="both"/>
        <w:rPr>
          <w:sz w:val="24"/>
        </w:rPr>
      </w:pPr>
    </w:p>
    <w:p w:rsidR="00C36D94" w:rsidRDefault="0076275D" w:rsidP="0076275D">
      <w:pPr>
        <w:spacing w:after="0" w:line="276" w:lineRule="auto"/>
        <w:ind w:firstLine="720"/>
        <w:jc w:val="both"/>
        <w:rPr>
          <w:sz w:val="24"/>
        </w:rPr>
      </w:pPr>
      <w:r>
        <w:rPr>
          <w:sz w:val="24"/>
        </w:rPr>
        <w:t>I</w:t>
      </w:r>
      <w:r w:rsidR="00EA74F0">
        <w:rPr>
          <w:sz w:val="24"/>
        </w:rPr>
        <w:t>t</w:t>
      </w:r>
      <w:r>
        <w:rPr>
          <w:sz w:val="24"/>
        </w:rPr>
        <w:t xml:space="preserve"> therefore</w:t>
      </w:r>
      <w:r w:rsidR="00EA74F0">
        <w:rPr>
          <w:sz w:val="24"/>
        </w:rPr>
        <w:t xml:space="preserve"> cannot</w:t>
      </w:r>
      <w:r>
        <w:rPr>
          <w:sz w:val="24"/>
        </w:rPr>
        <w:t xml:space="preserve"> be said that there has been a determination of recognition under </w:t>
      </w:r>
      <w:r w:rsidRPr="00EA74F0">
        <w:rPr>
          <w:i/>
          <w:sz w:val="24"/>
        </w:rPr>
        <w:t>section 38</w:t>
      </w:r>
      <w:r>
        <w:rPr>
          <w:sz w:val="24"/>
        </w:rPr>
        <w:t xml:space="preserve"> of the </w:t>
      </w:r>
      <w:r w:rsidRPr="00EA74F0">
        <w:rPr>
          <w:i/>
          <w:sz w:val="24"/>
        </w:rPr>
        <w:t>Act</w:t>
      </w:r>
      <w:r w:rsidR="00EA74F0">
        <w:rPr>
          <w:sz w:val="24"/>
        </w:rPr>
        <w:t xml:space="preserve"> as is required </w:t>
      </w:r>
      <w:r w:rsidR="000D2817">
        <w:rPr>
          <w:sz w:val="24"/>
        </w:rPr>
        <w:t>under</w:t>
      </w:r>
      <w:r w:rsidR="00EA74F0">
        <w:rPr>
          <w:sz w:val="24"/>
        </w:rPr>
        <w:t xml:space="preserve"> </w:t>
      </w:r>
      <w:r w:rsidR="00EA74F0" w:rsidRPr="00EA74F0">
        <w:rPr>
          <w:i/>
          <w:sz w:val="24"/>
        </w:rPr>
        <w:t>section 38 (10)</w:t>
      </w:r>
      <w:r w:rsidR="00EA74F0">
        <w:rPr>
          <w:sz w:val="24"/>
        </w:rPr>
        <w:t xml:space="preserve"> of the </w:t>
      </w:r>
      <w:r w:rsidR="00EA74F0" w:rsidRPr="00EA74F0">
        <w:rPr>
          <w:i/>
          <w:sz w:val="24"/>
        </w:rPr>
        <w:t>Act</w:t>
      </w:r>
      <w:r w:rsidR="00EA74F0">
        <w:rPr>
          <w:sz w:val="24"/>
        </w:rPr>
        <w:t xml:space="preserve">.  </w:t>
      </w:r>
      <w:r>
        <w:rPr>
          <w:sz w:val="24"/>
        </w:rPr>
        <w:t xml:space="preserve"> </w:t>
      </w:r>
    </w:p>
    <w:p w:rsidR="00A33FEA" w:rsidRDefault="00A33FEA" w:rsidP="0076275D">
      <w:pPr>
        <w:spacing w:after="0" w:line="276" w:lineRule="auto"/>
        <w:ind w:firstLine="720"/>
        <w:jc w:val="both"/>
        <w:rPr>
          <w:sz w:val="24"/>
        </w:rPr>
      </w:pPr>
    </w:p>
    <w:p w:rsidR="00A33FEA" w:rsidRDefault="00A33FEA" w:rsidP="0076275D">
      <w:pPr>
        <w:spacing w:after="0" w:line="276" w:lineRule="auto"/>
        <w:ind w:firstLine="720"/>
        <w:jc w:val="both"/>
        <w:rPr>
          <w:sz w:val="24"/>
        </w:rPr>
      </w:pPr>
    </w:p>
    <w:p w:rsidR="005058B1" w:rsidRDefault="00A33FEA" w:rsidP="0076275D">
      <w:pPr>
        <w:spacing w:after="0" w:line="276" w:lineRule="auto"/>
        <w:ind w:firstLine="720"/>
        <w:jc w:val="both"/>
        <w:rPr>
          <w:sz w:val="24"/>
        </w:rPr>
      </w:pPr>
      <w:r>
        <w:rPr>
          <w:sz w:val="24"/>
        </w:rPr>
        <w:t xml:space="preserve">In the circumstances, the Tribunal finds that the Respondent has succeeded on the first two points of the preliminary objection raised in relation to the present application made before the Tribunal under </w:t>
      </w:r>
      <w:r w:rsidRPr="00A33FEA">
        <w:rPr>
          <w:i/>
          <w:sz w:val="24"/>
        </w:rPr>
        <w:t>section 38 (1)</w:t>
      </w:r>
      <w:r>
        <w:rPr>
          <w:sz w:val="24"/>
        </w:rPr>
        <w:t xml:space="preserve"> of the </w:t>
      </w:r>
      <w:r w:rsidRPr="00A33FEA">
        <w:rPr>
          <w:i/>
          <w:sz w:val="24"/>
        </w:rPr>
        <w:t>Act</w:t>
      </w:r>
      <w:r w:rsidR="00FC50C0">
        <w:rPr>
          <w:sz w:val="24"/>
        </w:rPr>
        <w:t xml:space="preserve"> by the Applicant Trade U</w:t>
      </w:r>
      <w:r>
        <w:rPr>
          <w:sz w:val="24"/>
        </w:rPr>
        <w:t>nion.</w:t>
      </w:r>
    </w:p>
    <w:p w:rsidR="005058B1" w:rsidRDefault="005058B1" w:rsidP="0076275D">
      <w:pPr>
        <w:spacing w:after="0" w:line="276" w:lineRule="auto"/>
        <w:ind w:firstLine="720"/>
        <w:jc w:val="both"/>
        <w:rPr>
          <w:sz w:val="24"/>
        </w:rPr>
      </w:pPr>
    </w:p>
    <w:p w:rsidR="005058B1" w:rsidRDefault="005058B1" w:rsidP="0076275D">
      <w:pPr>
        <w:spacing w:after="0" w:line="276" w:lineRule="auto"/>
        <w:ind w:firstLine="720"/>
        <w:jc w:val="both"/>
        <w:rPr>
          <w:sz w:val="24"/>
        </w:rPr>
      </w:pPr>
    </w:p>
    <w:p w:rsidR="00A33FEA" w:rsidRDefault="005058B1" w:rsidP="0076275D">
      <w:pPr>
        <w:spacing w:after="0" w:line="276" w:lineRule="auto"/>
        <w:ind w:firstLine="720"/>
        <w:jc w:val="both"/>
        <w:rPr>
          <w:sz w:val="24"/>
        </w:rPr>
      </w:pPr>
      <w:r>
        <w:rPr>
          <w:sz w:val="24"/>
        </w:rPr>
        <w:t xml:space="preserve">The matter is therefore set aside. </w:t>
      </w:r>
      <w:r w:rsidR="00A33FEA">
        <w:rPr>
          <w:sz w:val="24"/>
        </w:rPr>
        <w:t xml:space="preserve">  </w:t>
      </w:r>
    </w:p>
    <w:p w:rsidR="00031B93" w:rsidRDefault="00031B9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C9263B" w:rsidRDefault="00C9263B" w:rsidP="00237012">
      <w:pPr>
        <w:spacing w:after="0" w:line="276" w:lineRule="auto"/>
        <w:jc w:val="both"/>
        <w:rPr>
          <w:sz w:val="24"/>
        </w:rPr>
      </w:pPr>
    </w:p>
    <w:p w:rsidR="00C9263B" w:rsidRDefault="00C9263B" w:rsidP="007B6033">
      <w:pPr>
        <w:spacing w:after="0"/>
        <w:ind w:right="26"/>
        <w:jc w:val="both"/>
        <w:rPr>
          <w:rFonts w:eastAsia="Calibri" w:cstheme="minorHAnsi"/>
          <w:b/>
          <w:bCs/>
          <w:sz w:val="24"/>
          <w:szCs w:val="24"/>
        </w:rPr>
      </w:pPr>
    </w:p>
    <w:p w:rsidR="007B6033" w:rsidRDefault="007B6033" w:rsidP="007B6033">
      <w:pPr>
        <w:spacing w:after="0"/>
        <w:ind w:right="26"/>
        <w:jc w:val="both"/>
        <w:rPr>
          <w:rFonts w:eastAsia="Calibri" w:cstheme="minorHAnsi"/>
          <w:b/>
          <w:bCs/>
          <w:sz w:val="24"/>
          <w:szCs w:val="24"/>
        </w:rPr>
      </w:pPr>
      <w:r>
        <w:rPr>
          <w:rFonts w:eastAsia="Calibri" w:cstheme="minorHAnsi"/>
          <w:b/>
          <w:bCs/>
          <w:sz w:val="24"/>
          <w:szCs w:val="24"/>
        </w:rPr>
        <w:t>..........................................</w:t>
      </w:r>
    </w:p>
    <w:p w:rsidR="007B6033" w:rsidRDefault="007B6033" w:rsidP="007B6033">
      <w:pPr>
        <w:spacing w:after="0"/>
        <w:ind w:right="831"/>
        <w:rPr>
          <w:rFonts w:cstheme="minorHAnsi"/>
          <w:b/>
          <w:bCs/>
          <w:sz w:val="24"/>
          <w:szCs w:val="24"/>
        </w:rPr>
      </w:pPr>
      <w:r>
        <w:rPr>
          <w:rFonts w:cstheme="minorHAnsi"/>
          <w:b/>
          <w:bCs/>
          <w:sz w:val="24"/>
          <w:szCs w:val="24"/>
        </w:rPr>
        <w:t>Shameer Janhangeer</w:t>
      </w:r>
    </w:p>
    <w:p w:rsidR="007B6033" w:rsidRDefault="007B6033" w:rsidP="007B6033">
      <w:pPr>
        <w:spacing w:after="0"/>
        <w:ind w:right="831"/>
        <w:rPr>
          <w:rFonts w:cstheme="minorHAnsi"/>
          <w:b/>
          <w:bCs/>
          <w:sz w:val="24"/>
          <w:szCs w:val="24"/>
        </w:rPr>
      </w:pPr>
      <w:r>
        <w:rPr>
          <w:rFonts w:cstheme="minorHAnsi"/>
          <w:b/>
          <w:bCs/>
          <w:sz w:val="24"/>
          <w:szCs w:val="24"/>
        </w:rPr>
        <w:t>(Vice-President)</w:t>
      </w: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r>
        <w:rPr>
          <w:rFonts w:cstheme="minorHAnsi"/>
          <w:b/>
          <w:bCs/>
          <w:sz w:val="24"/>
          <w:szCs w:val="24"/>
        </w:rPr>
        <w:t>..........................................</w:t>
      </w:r>
    </w:p>
    <w:p w:rsidR="007B6033" w:rsidRDefault="007B6033" w:rsidP="007B6033">
      <w:pPr>
        <w:spacing w:after="0"/>
        <w:ind w:right="831"/>
        <w:rPr>
          <w:rFonts w:cstheme="minorHAnsi"/>
          <w:b/>
          <w:bCs/>
          <w:sz w:val="24"/>
          <w:szCs w:val="24"/>
        </w:rPr>
      </w:pPr>
      <w:r>
        <w:rPr>
          <w:b/>
          <w:bCs/>
          <w:sz w:val="24"/>
          <w:szCs w:val="24"/>
        </w:rPr>
        <w:t>Esther Hanoomanjee (Mrs)</w:t>
      </w:r>
      <w:r>
        <w:rPr>
          <w:rFonts w:cstheme="minorHAnsi"/>
          <w:b/>
          <w:bCs/>
          <w:sz w:val="24"/>
          <w:szCs w:val="24"/>
        </w:rPr>
        <w:t xml:space="preserve"> </w:t>
      </w:r>
    </w:p>
    <w:p w:rsidR="007B6033" w:rsidRDefault="007B6033" w:rsidP="007B6033">
      <w:pPr>
        <w:spacing w:after="0"/>
        <w:ind w:right="831"/>
        <w:rPr>
          <w:rFonts w:cstheme="minorHAnsi"/>
          <w:b/>
          <w:bCs/>
          <w:sz w:val="24"/>
          <w:szCs w:val="24"/>
        </w:rPr>
      </w:pPr>
      <w:r>
        <w:rPr>
          <w:rFonts w:cstheme="minorHAnsi"/>
          <w:b/>
          <w:bCs/>
          <w:sz w:val="24"/>
          <w:szCs w:val="24"/>
        </w:rPr>
        <w:t>(Member)</w:t>
      </w: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r>
        <w:rPr>
          <w:rFonts w:cstheme="minorHAnsi"/>
          <w:b/>
          <w:bCs/>
          <w:sz w:val="24"/>
          <w:szCs w:val="24"/>
        </w:rPr>
        <w:t>..........................................</w:t>
      </w:r>
    </w:p>
    <w:p w:rsidR="007B6033" w:rsidRDefault="007B6033" w:rsidP="007B6033">
      <w:pPr>
        <w:spacing w:after="0"/>
        <w:ind w:right="831"/>
        <w:rPr>
          <w:rFonts w:cstheme="minorHAnsi"/>
          <w:b/>
          <w:bCs/>
          <w:sz w:val="24"/>
          <w:szCs w:val="24"/>
        </w:rPr>
      </w:pPr>
      <w:r>
        <w:rPr>
          <w:rFonts w:cstheme="minorHAnsi"/>
          <w:b/>
          <w:bCs/>
          <w:sz w:val="24"/>
          <w:szCs w:val="24"/>
        </w:rPr>
        <w:t>Rajesvari Narasingam Ramdoo (Mrs)</w:t>
      </w:r>
    </w:p>
    <w:p w:rsidR="007B6033" w:rsidRDefault="007B6033" w:rsidP="007B6033">
      <w:pPr>
        <w:spacing w:after="0"/>
        <w:ind w:right="831"/>
        <w:rPr>
          <w:rFonts w:cstheme="minorHAnsi"/>
          <w:b/>
          <w:bCs/>
          <w:sz w:val="24"/>
          <w:szCs w:val="24"/>
        </w:rPr>
      </w:pPr>
      <w:r>
        <w:rPr>
          <w:rFonts w:cstheme="minorHAnsi"/>
          <w:b/>
          <w:bCs/>
          <w:sz w:val="24"/>
          <w:szCs w:val="24"/>
        </w:rPr>
        <w:t>(Member)</w:t>
      </w: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p>
    <w:p w:rsidR="007B6033" w:rsidRDefault="007B6033" w:rsidP="007B6033">
      <w:pPr>
        <w:spacing w:after="0"/>
        <w:ind w:right="831"/>
        <w:rPr>
          <w:rFonts w:cstheme="minorHAnsi"/>
          <w:b/>
          <w:bCs/>
          <w:sz w:val="24"/>
          <w:szCs w:val="24"/>
        </w:rPr>
      </w:pPr>
      <w:r>
        <w:rPr>
          <w:rFonts w:cstheme="minorHAnsi"/>
          <w:b/>
          <w:bCs/>
          <w:sz w:val="24"/>
          <w:szCs w:val="24"/>
        </w:rPr>
        <w:t>..........................................</w:t>
      </w:r>
    </w:p>
    <w:p w:rsidR="007B6033" w:rsidRPr="002B03F3" w:rsidRDefault="007B6033" w:rsidP="007B6033">
      <w:pPr>
        <w:spacing w:after="0"/>
        <w:ind w:right="831"/>
        <w:rPr>
          <w:b/>
          <w:bCs/>
          <w:szCs w:val="24"/>
        </w:rPr>
      </w:pPr>
      <w:r w:rsidRPr="002B03F3">
        <w:rPr>
          <w:b/>
          <w:bCs/>
          <w:sz w:val="24"/>
          <w:szCs w:val="24"/>
        </w:rPr>
        <w:t>Renganaden Veeramootoo</w:t>
      </w:r>
    </w:p>
    <w:p w:rsidR="007B6033" w:rsidRDefault="007B6033" w:rsidP="007B6033">
      <w:pPr>
        <w:spacing w:after="0"/>
        <w:ind w:right="831"/>
        <w:rPr>
          <w:rFonts w:cstheme="minorHAnsi"/>
          <w:b/>
          <w:bCs/>
          <w:sz w:val="24"/>
          <w:szCs w:val="24"/>
        </w:rPr>
      </w:pPr>
      <w:r>
        <w:rPr>
          <w:rFonts w:cstheme="minorHAnsi"/>
          <w:b/>
          <w:bCs/>
          <w:sz w:val="24"/>
          <w:szCs w:val="24"/>
        </w:rPr>
        <w:t>(Member)</w:t>
      </w:r>
    </w:p>
    <w:p w:rsidR="007B6033" w:rsidRDefault="007B6033" w:rsidP="007B6033">
      <w:pPr>
        <w:ind w:right="566"/>
        <w:jc w:val="both"/>
        <w:rPr>
          <w:rFonts w:eastAsia="Calibri" w:cstheme="minorHAnsi"/>
          <w:bCs/>
          <w:sz w:val="24"/>
          <w:szCs w:val="24"/>
        </w:rPr>
      </w:pPr>
    </w:p>
    <w:p w:rsidR="007B6033" w:rsidRDefault="007B6033" w:rsidP="007B6033">
      <w:pPr>
        <w:ind w:right="566"/>
        <w:jc w:val="both"/>
        <w:rPr>
          <w:rFonts w:eastAsia="Calibri" w:cstheme="minorHAnsi"/>
          <w:bCs/>
          <w:sz w:val="24"/>
          <w:szCs w:val="24"/>
        </w:rPr>
      </w:pPr>
    </w:p>
    <w:p w:rsidR="007B6033" w:rsidRPr="00CA5A9B" w:rsidRDefault="00CA5A9B" w:rsidP="00237012">
      <w:pPr>
        <w:spacing w:after="0" w:line="276" w:lineRule="auto"/>
        <w:jc w:val="both"/>
        <w:rPr>
          <w:b/>
          <w:sz w:val="24"/>
        </w:rPr>
      </w:pPr>
      <w:r w:rsidRPr="00CA5A9B">
        <w:rPr>
          <w:b/>
          <w:sz w:val="24"/>
        </w:rPr>
        <w:t>Date:</w:t>
      </w:r>
      <w:r w:rsidRPr="00CA5A9B">
        <w:rPr>
          <w:b/>
          <w:sz w:val="24"/>
        </w:rPr>
        <w:tab/>
        <w:t>25 November 2016</w:t>
      </w: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Default="007B6033" w:rsidP="00237012">
      <w:pPr>
        <w:spacing w:after="0" w:line="276" w:lineRule="auto"/>
        <w:jc w:val="both"/>
        <w:rPr>
          <w:sz w:val="24"/>
        </w:rPr>
      </w:pPr>
    </w:p>
    <w:p w:rsidR="007B6033" w:rsidRPr="00031B93" w:rsidRDefault="007B6033" w:rsidP="00237012">
      <w:pPr>
        <w:spacing w:after="0" w:line="276" w:lineRule="auto"/>
        <w:jc w:val="both"/>
        <w:rPr>
          <w:sz w:val="24"/>
        </w:rPr>
      </w:pPr>
    </w:p>
    <w:p w:rsidR="00031B93" w:rsidRPr="00031B93" w:rsidRDefault="00031B93" w:rsidP="00237012">
      <w:pPr>
        <w:spacing w:after="0" w:line="276" w:lineRule="auto"/>
        <w:jc w:val="both"/>
        <w:rPr>
          <w:i/>
          <w:sz w:val="24"/>
        </w:rPr>
      </w:pPr>
      <w:r w:rsidRPr="00031B93">
        <w:rPr>
          <w:i/>
          <w:sz w:val="24"/>
        </w:rPr>
        <w:tab/>
        <w:t xml:space="preserve">   </w:t>
      </w:r>
    </w:p>
    <w:sectPr w:rsidR="00031B93" w:rsidRPr="00031B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80" w:rsidRDefault="00415580" w:rsidP="00BA77D8">
      <w:pPr>
        <w:spacing w:after="0" w:line="240" w:lineRule="auto"/>
      </w:pPr>
      <w:r>
        <w:separator/>
      </w:r>
    </w:p>
  </w:endnote>
  <w:endnote w:type="continuationSeparator" w:id="0">
    <w:p w:rsidR="00415580" w:rsidRDefault="00415580" w:rsidP="00BA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81647"/>
      <w:docPartObj>
        <w:docPartGallery w:val="Page Numbers (Bottom of Page)"/>
        <w:docPartUnique/>
      </w:docPartObj>
    </w:sdtPr>
    <w:sdtEndPr>
      <w:rPr>
        <w:noProof/>
      </w:rPr>
    </w:sdtEndPr>
    <w:sdtContent>
      <w:p w:rsidR="006B7498" w:rsidRDefault="006B7498">
        <w:pPr>
          <w:pStyle w:val="Footer"/>
          <w:jc w:val="right"/>
        </w:pPr>
        <w:r>
          <w:fldChar w:fldCharType="begin"/>
        </w:r>
        <w:r>
          <w:instrText xml:space="preserve"> PAGE   \* MERGEFORMAT </w:instrText>
        </w:r>
        <w:r>
          <w:fldChar w:fldCharType="separate"/>
        </w:r>
        <w:r w:rsidR="0063226A">
          <w:rPr>
            <w:noProof/>
          </w:rPr>
          <w:t>1</w:t>
        </w:r>
        <w:r>
          <w:rPr>
            <w:noProof/>
          </w:rPr>
          <w:fldChar w:fldCharType="end"/>
        </w:r>
      </w:p>
    </w:sdtContent>
  </w:sdt>
  <w:p w:rsidR="006B7498" w:rsidRDefault="006B7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80" w:rsidRDefault="00415580" w:rsidP="00BA77D8">
      <w:pPr>
        <w:spacing w:after="0" w:line="240" w:lineRule="auto"/>
      </w:pPr>
      <w:r>
        <w:separator/>
      </w:r>
    </w:p>
  </w:footnote>
  <w:footnote w:type="continuationSeparator" w:id="0">
    <w:p w:rsidR="00415580" w:rsidRDefault="00415580" w:rsidP="00BA7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C2A"/>
    <w:multiLevelType w:val="hybridMultilevel"/>
    <w:tmpl w:val="4204F15C"/>
    <w:lvl w:ilvl="0" w:tplc="A9DE1D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5B3CAF"/>
    <w:multiLevelType w:val="hybridMultilevel"/>
    <w:tmpl w:val="B7BC5D30"/>
    <w:lvl w:ilvl="0" w:tplc="6C440B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F46716"/>
    <w:multiLevelType w:val="hybridMultilevel"/>
    <w:tmpl w:val="956A7464"/>
    <w:lvl w:ilvl="0" w:tplc="BB8692B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1130411"/>
    <w:multiLevelType w:val="hybridMultilevel"/>
    <w:tmpl w:val="2F1E0DA2"/>
    <w:lvl w:ilvl="0" w:tplc="B38A3AD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D695248"/>
    <w:multiLevelType w:val="hybridMultilevel"/>
    <w:tmpl w:val="780E326A"/>
    <w:lvl w:ilvl="0" w:tplc="442EF5C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F67306"/>
    <w:multiLevelType w:val="hybridMultilevel"/>
    <w:tmpl w:val="49D8353E"/>
    <w:lvl w:ilvl="0" w:tplc="8756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5"/>
    <w:rsid w:val="00021A83"/>
    <w:rsid w:val="00031B93"/>
    <w:rsid w:val="00037604"/>
    <w:rsid w:val="00050B32"/>
    <w:rsid w:val="00070093"/>
    <w:rsid w:val="00082187"/>
    <w:rsid w:val="000912B5"/>
    <w:rsid w:val="00091CA1"/>
    <w:rsid w:val="0009522E"/>
    <w:rsid w:val="000B4E97"/>
    <w:rsid w:val="000D2817"/>
    <w:rsid w:val="00123C45"/>
    <w:rsid w:val="00141F1E"/>
    <w:rsid w:val="00145103"/>
    <w:rsid w:val="00146671"/>
    <w:rsid w:val="00163C26"/>
    <w:rsid w:val="00163D6A"/>
    <w:rsid w:val="00167219"/>
    <w:rsid w:val="00170984"/>
    <w:rsid w:val="00171086"/>
    <w:rsid w:val="0017761E"/>
    <w:rsid w:val="00181C41"/>
    <w:rsid w:val="00192928"/>
    <w:rsid w:val="00195A1A"/>
    <w:rsid w:val="001A7250"/>
    <w:rsid w:val="001B2FC3"/>
    <w:rsid w:val="001C0272"/>
    <w:rsid w:val="001D1215"/>
    <w:rsid w:val="001E4EE3"/>
    <w:rsid w:val="001E534B"/>
    <w:rsid w:val="001E78F7"/>
    <w:rsid w:val="002015EF"/>
    <w:rsid w:val="002024D9"/>
    <w:rsid w:val="00237012"/>
    <w:rsid w:val="00255F96"/>
    <w:rsid w:val="00264FF1"/>
    <w:rsid w:val="00276482"/>
    <w:rsid w:val="00277689"/>
    <w:rsid w:val="002C4997"/>
    <w:rsid w:val="002D65C1"/>
    <w:rsid w:val="002E5E8C"/>
    <w:rsid w:val="00306DEF"/>
    <w:rsid w:val="00314822"/>
    <w:rsid w:val="00333E99"/>
    <w:rsid w:val="00361A3E"/>
    <w:rsid w:val="003663F8"/>
    <w:rsid w:val="00376937"/>
    <w:rsid w:val="003769D0"/>
    <w:rsid w:val="00382E4C"/>
    <w:rsid w:val="003B2F42"/>
    <w:rsid w:val="003D3D09"/>
    <w:rsid w:val="00400A3C"/>
    <w:rsid w:val="00415580"/>
    <w:rsid w:val="00442AD1"/>
    <w:rsid w:val="004652C3"/>
    <w:rsid w:val="004707C3"/>
    <w:rsid w:val="00497B30"/>
    <w:rsid w:val="004D316B"/>
    <w:rsid w:val="004F1611"/>
    <w:rsid w:val="005058B1"/>
    <w:rsid w:val="00561F4F"/>
    <w:rsid w:val="00580FBC"/>
    <w:rsid w:val="00584086"/>
    <w:rsid w:val="005C0248"/>
    <w:rsid w:val="005D40CA"/>
    <w:rsid w:val="005E34F5"/>
    <w:rsid w:val="00602499"/>
    <w:rsid w:val="0063226A"/>
    <w:rsid w:val="0065629D"/>
    <w:rsid w:val="00677C5C"/>
    <w:rsid w:val="00686352"/>
    <w:rsid w:val="006B6F92"/>
    <w:rsid w:val="006B7077"/>
    <w:rsid w:val="006B7498"/>
    <w:rsid w:val="006C24AC"/>
    <w:rsid w:val="006F4DD6"/>
    <w:rsid w:val="006F6CAD"/>
    <w:rsid w:val="00710153"/>
    <w:rsid w:val="007146BB"/>
    <w:rsid w:val="00742723"/>
    <w:rsid w:val="007600C2"/>
    <w:rsid w:val="007614FD"/>
    <w:rsid w:val="0076275D"/>
    <w:rsid w:val="007860A8"/>
    <w:rsid w:val="007A4607"/>
    <w:rsid w:val="007B6033"/>
    <w:rsid w:val="007B696E"/>
    <w:rsid w:val="007C5EA4"/>
    <w:rsid w:val="007D539B"/>
    <w:rsid w:val="007E50DB"/>
    <w:rsid w:val="007E6A73"/>
    <w:rsid w:val="007E6BDE"/>
    <w:rsid w:val="0082273B"/>
    <w:rsid w:val="008406DC"/>
    <w:rsid w:val="0084557B"/>
    <w:rsid w:val="0086156E"/>
    <w:rsid w:val="008674C7"/>
    <w:rsid w:val="00876D41"/>
    <w:rsid w:val="00881DE1"/>
    <w:rsid w:val="00896130"/>
    <w:rsid w:val="008B21FD"/>
    <w:rsid w:val="008C10C9"/>
    <w:rsid w:val="008C5D5B"/>
    <w:rsid w:val="008F2FF1"/>
    <w:rsid w:val="00902CAA"/>
    <w:rsid w:val="009070CB"/>
    <w:rsid w:val="00935FC9"/>
    <w:rsid w:val="00937134"/>
    <w:rsid w:val="00957175"/>
    <w:rsid w:val="009737DA"/>
    <w:rsid w:val="00975600"/>
    <w:rsid w:val="00984670"/>
    <w:rsid w:val="0098597B"/>
    <w:rsid w:val="00987E88"/>
    <w:rsid w:val="00990E1D"/>
    <w:rsid w:val="00994767"/>
    <w:rsid w:val="00994FF9"/>
    <w:rsid w:val="009A14D0"/>
    <w:rsid w:val="009D53E6"/>
    <w:rsid w:val="009E1B7E"/>
    <w:rsid w:val="009F5CDD"/>
    <w:rsid w:val="00A13C09"/>
    <w:rsid w:val="00A20FF4"/>
    <w:rsid w:val="00A22496"/>
    <w:rsid w:val="00A3112D"/>
    <w:rsid w:val="00A33FEA"/>
    <w:rsid w:val="00A34AA5"/>
    <w:rsid w:val="00A504A4"/>
    <w:rsid w:val="00A7133E"/>
    <w:rsid w:val="00A740E7"/>
    <w:rsid w:val="00A91531"/>
    <w:rsid w:val="00A92707"/>
    <w:rsid w:val="00B273F1"/>
    <w:rsid w:val="00B4685E"/>
    <w:rsid w:val="00B47081"/>
    <w:rsid w:val="00B51878"/>
    <w:rsid w:val="00B63E7D"/>
    <w:rsid w:val="00B67DCD"/>
    <w:rsid w:val="00B72070"/>
    <w:rsid w:val="00B83EE4"/>
    <w:rsid w:val="00B919AB"/>
    <w:rsid w:val="00BA77D8"/>
    <w:rsid w:val="00BB536C"/>
    <w:rsid w:val="00BE2F7A"/>
    <w:rsid w:val="00BF52C2"/>
    <w:rsid w:val="00C02019"/>
    <w:rsid w:val="00C221CA"/>
    <w:rsid w:val="00C32DB6"/>
    <w:rsid w:val="00C36D94"/>
    <w:rsid w:val="00C62906"/>
    <w:rsid w:val="00C77411"/>
    <w:rsid w:val="00C91059"/>
    <w:rsid w:val="00C9263B"/>
    <w:rsid w:val="00C96954"/>
    <w:rsid w:val="00CA368C"/>
    <w:rsid w:val="00CA411B"/>
    <w:rsid w:val="00CA5A9B"/>
    <w:rsid w:val="00CB48B9"/>
    <w:rsid w:val="00CB62A1"/>
    <w:rsid w:val="00CB6A31"/>
    <w:rsid w:val="00CD2E32"/>
    <w:rsid w:val="00CE35E7"/>
    <w:rsid w:val="00D1022E"/>
    <w:rsid w:val="00D75ECF"/>
    <w:rsid w:val="00D7611D"/>
    <w:rsid w:val="00D7737F"/>
    <w:rsid w:val="00D90B7A"/>
    <w:rsid w:val="00DA04E2"/>
    <w:rsid w:val="00DB3E36"/>
    <w:rsid w:val="00DC7DBD"/>
    <w:rsid w:val="00DD2D7C"/>
    <w:rsid w:val="00DD5BDC"/>
    <w:rsid w:val="00DE7514"/>
    <w:rsid w:val="00DF2CE3"/>
    <w:rsid w:val="00E0770F"/>
    <w:rsid w:val="00E12CBD"/>
    <w:rsid w:val="00E2176E"/>
    <w:rsid w:val="00E2736D"/>
    <w:rsid w:val="00E3275B"/>
    <w:rsid w:val="00E81358"/>
    <w:rsid w:val="00E875EE"/>
    <w:rsid w:val="00EA74F0"/>
    <w:rsid w:val="00EA7987"/>
    <w:rsid w:val="00EE325F"/>
    <w:rsid w:val="00EE578B"/>
    <w:rsid w:val="00EF34C8"/>
    <w:rsid w:val="00EF4C4A"/>
    <w:rsid w:val="00F023D0"/>
    <w:rsid w:val="00F04767"/>
    <w:rsid w:val="00F04873"/>
    <w:rsid w:val="00F13A9F"/>
    <w:rsid w:val="00F509CC"/>
    <w:rsid w:val="00F63682"/>
    <w:rsid w:val="00F63E95"/>
    <w:rsid w:val="00F7031E"/>
    <w:rsid w:val="00FC20BB"/>
    <w:rsid w:val="00FC50C0"/>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22"/>
    <w:pPr>
      <w:ind w:left="720"/>
      <w:contextualSpacing/>
    </w:pPr>
  </w:style>
  <w:style w:type="paragraph" w:styleId="Header">
    <w:name w:val="header"/>
    <w:basedOn w:val="Normal"/>
    <w:link w:val="HeaderChar"/>
    <w:uiPriority w:val="99"/>
    <w:unhideWhenUsed/>
    <w:rsid w:val="00BA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D8"/>
  </w:style>
  <w:style w:type="paragraph" w:styleId="Footer">
    <w:name w:val="footer"/>
    <w:basedOn w:val="Normal"/>
    <w:link w:val="FooterChar"/>
    <w:uiPriority w:val="99"/>
    <w:unhideWhenUsed/>
    <w:rsid w:val="00BA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7D8"/>
  </w:style>
  <w:style w:type="paragraph" w:customStyle="1" w:styleId="Default">
    <w:name w:val="Default"/>
    <w:rsid w:val="00DD2D7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A7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2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22"/>
    <w:pPr>
      <w:ind w:left="720"/>
      <w:contextualSpacing/>
    </w:pPr>
  </w:style>
  <w:style w:type="paragraph" w:styleId="Header">
    <w:name w:val="header"/>
    <w:basedOn w:val="Normal"/>
    <w:link w:val="HeaderChar"/>
    <w:uiPriority w:val="99"/>
    <w:unhideWhenUsed/>
    <w:rsid w:val="00BA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D8"/>
  </w:style>
  <w:style w:type="paragraph" w:styleId="Footer">
    <w:name w:val="footer"/>
    <w:basedOn w:val="Normal"/>
    <w:link w:val="FooterChar"/>
    <w:uiPriority w:val="99"/>
    <w:unhideWhenUsed/>
    <w:rsid w:val="00BA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7D8"/>
  </w:style>
  <w:style w:type="paragraph" w:customStyle="1" w:styleId="Default">
    <w:name w:val="Default"/>
    <w:rsid w:val="00DD2D7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A7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77D78E-D3B0-4DC5-AC9C-C22E5B4EB6DB}"/>
</file>

<file path=customXml/itemProps2.xml><?xml version="1.0" encoding="utf-8"?>
<ds:datastoreItem xmlns:ds="http://schemas.openxmlformats.org/officeDocument/2006/customXml" ds:itemID="{CE09CD02-2483-47E4-AB14-023A3AD79E75}"/>
</file>

<file path=customXml/itemProps3.xml><?xml version="1.0" encoding="utf-8"?>
<ds:datastoreItem xmlns:ds="http://schemas.openxmlformats.org/officeDocument/2006/customXml" ds:itemID="{0AD980D5-B99D-4AC1-949C-D7F21B064F5B}"/>
</file>

<file path=docProps/app.xml><?xml version="1.0" encoding="utf-8"?>
<Properties xmlns="http://schemas.openxmlformats.org/officeDocument/2006/extended-properties" xmlns:vt="http://schemas.openxmlformats.org/officeDocument/2006/docPropsVTypes">
  <Template>Normal.dotm</Template>
  <TotalTime>0</TotalTime>
  <Pages>8</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2016-11-25T10:37:00Z</cp:lastPrinted>
  <dcterms:created xsi:type="dcterms:W3CDTF">2017-04-06T06:43:00Z</dcterms:created>
  <dcterms:modified xsi:type="dcterms:W3CDTF">2017-04-06T06:43:00Z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110400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