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54B" w:rsidRPr="00D73139" w:rsidRDefault="0094054B" w:rsidP="00752584">
      <w:pPr>
        <w:spacing w:after="0" w:line="360" w:lineRule="auto"/>
        <w:jc w:val="center"/>
        <w:rPr>
          <w:b/>
          <w:sz w:val="28"/>
          <w:szCs w:val="24"/>
          <w:lang w:val="en-US"/>
        </w:rPr>
      </w:pPr>
      <w:bookmarkStart w:id="0" w:name="_GoBack"/>
      <w:bookmarkEnd w:id="0"/>
      <w:r w:rsidRPr="00D73139">
        <w:rPr>
          <w:b/>
          <w:sz w:val="28"/>
          <w:szCs w:val="24"/>
          <w:lang w:val="en-US"/>
        </w:rPr>
        <w:t>EMPLOYMENT RELATIONS TRIBUNAL</w:t>
      </w:r>
    </w:p>
    <w:p w:rsidR="00752584" w:rsidRDefault="00752584" w:rsidP="00752584">
      <w:pPr>
        <w:spacing w:after="0" w:line="360" w:lineRule="auto"/>
        <w:jc w:val="both"/>
        <w:rPr>
          <w:sz w:val="24"/>
          <w:szCs w:val="24"/>
          <w:lang w:val="en-US"/>
        </w:rPr>
      </w:pPr>
    </w:p>
    <w:p w:rsidR="0094054B" w:rsidRPr="001B11F4" w:rsidRDefault="0094054B" w:rsidP="00752584">
      <w:pPr>
        <w:spacing w:after="0" w:line="360" w:lineRule="auto"/>
        <w:jc w:val="both"/>
        <w:rPr>
          <w:b/>
          <w:sz w:val="24"/>
          <w:szCs w:val="24"/>
          <w:lang w:val="en-US"/>
        </w:rPr>
      </w:pPr>
      <w:r>
        <w:rPr>
          <w:b/>
          <w:sz w:val="24"/>
          <w:szCs w:val="24"/>
          <w:lang w:val="en-US"/>
        </w:rPr>
        <w:t>ERT/RN/39/2015</w:t>
      </w:r>
    </w:p>
    <w:p w:rsidR="00D921A5" w:rsidRPr="0065400F" w:rsidRDefault="00D921A5" w:rsidP="005578F1">
      <w:pPr>
        <w:spacing w:after="0"/>
        <w:jc w:val="center"/>
        <w:rPr>
          <w:b/>
          <w:szCs w:val="24"/>
        </w:rPr>
      </w:pPr>
    </w:p>
    <w:p w:rsidR="0094054B" w:rsidRPr="00866D3C" w:rsidRDefault="0094054B" w:rsidP="005578F1">
      <w:pPr>
        <w:spacing w:after="0"/>
        <w:jc w:val="center"/>
        <w:rPr>
          <w:b/>
          <w:sz w:val="28"/>
          <w:szCs w:val="24"/>
        </w:rPr>
      </w:pPr>
      <w:r>
        <w:rPr>
          <w:b/>
          <w:sz w:val="28"/>
          <w:szCs w:val="24"/>
        </w:rPr>
        <w:t>RULING</w:t>
      </w:r>
    </w:p>
    <w:p w:rsidR="00D921A5" w:rsidRDefault="00D921A5" w:rsidP="005578F1">
      <w:pPr>
        <w:spacing w:after="0"/>
        <w:jc w:val="both"/>
        <w:rPr>
          <w:b/>
          <w:sz w:val="24"/>
          <w:szCs w:val="24"/>
          <w:lang w:val="en-US"/>
        </w:rPr>
      </w:pPr>
    </w:p>
    <w:p w:rsidR="0094054B" w:rsidRPr="00267E71" w:rsidRDefault="0094054B" w:rsidP="005578F1">
      <w:pPr>
        <w:spacing w:after="0"/>
        <w:jc w:val="both"/>
        <w:rPr>
          <w:sz w:val="24"/>
          <w:szCs w:val="24"/>
          <w:lang w:val="en-US"/>
        </w:rPr>
      </w:pPr>
      <w:r w:rsidRPr="002670E4">
        <w:rPr>
          <w:b/>
          <w:sz w:val="24"/>
          <w:szCs w:val="24"/>
          <w:lang w:val="en-US"/>
        </w:rPr>
        <w:t>Before:</w:t>
      </w:r>
      <w:r>
        <w:rPr>
          <w:sz w:val="24"/>
          <w:szCs w:val="24"/>
          <w:lang w:val="en-US"/>
        </w:rPr>
        <w:tab/>
      </w:r>
    </w:p>
    <w:p w:rsidR="00D921A5" w:rsidRDefault="00D921A5" w:rsidP="005578F1">
      <w:pPr>
        <w:spacing w:after="0"/>
        <w:ind w:left="720" w:firstLine="720"/>
        <w:jc w:val="both"/>
        <w:rPr>
          <w:b/>
          <w:sz w:val="24"/>
          <w:szCs w:val="24"/>
          <w:lang w:val="en-US"/>
        </w:rPr>
      </w:pPr>
    </w:p>
    <w:p w:rsidR="0094054B" w:rsidRPr="002670E4" w:rsidRDefault="0094054B" w:rsidP="005578F1">
      <w:pPr>
        <w:spacing w:after="0"/>
        <w:ind w:left="720" w:firstLine="720"/>
        <w:jc w:val="both"/>
        <w:rPr>
          <w:b/>
          <w:sz w:val="24"/>
          <w:szCs w:val="24"/>
          <w:lang w:val="en-US"/>
        </w:rPr>
      </w:pPr>
      <w:r w:rsidRPr="002670E4">
        <w:rPr>
          <w:b/>
          <w:sz w:val="24"/>
          <w:szCs w:val="24"/>
          <w:lang w:val="en-US"/>
        </w:rPr>
        <w:t>Shameer Janhangeer</w:t>
      </w:r>
      <w:r w:rsidRPr="002670E4">
        <w:rPr>
          <w:b/>
          <w:sz w:val="24"/>
          <w:szCs w:val="24"/>
          <w:lang w:val="en-US"/>
        </w:rPr>
        <w:tab/>
      </w:r>
      <w:r w:rsidRPr="002670E4">
        <w:rPr>
          <w:b/>
          <w:sz w:val="24"/>
          <w:szCs w:val="24"/>
          <w:lang w:val="en-US"/>
        </w:rPr>
        <w:tab/>
      </w:r>
      <w:r w:rsidRPr="002670E4">
        <w:rPr>
          <w:b/>
          <w:sz w:val="24"/>
          <w:szCs w:val="24"/>
          <w:lang w:val="en-US"/>
        </w:rPr>
        <w:tab/>
      </w:r>
      <w:r>
        <w:rPr>
          <w:b/>
          <w:sz w:val="24"/>
          <w:szCs w:val="24"/>
          <w:lang w:val="en-US"/>
        </w:rPr>
        <w:tab/>
      </w:r>
      <w:r>
        <w:rPr>
          <w:b/>
          <w:sz w:val="24"/>
          <w:szCs w:val="24"/>
          <w:lang w:val="en-US"/>
        </w:rPr>
        <w:tab/>
        <w:t>Vice-</w:t>
      </w:r>
      <w:r w:rsidRPr="002670E4">
        <w:rPr>
          <w:b/>
          <w:sz w:val="24"/>
          <w:szCs w:val="24"/>
          <w:lang w:val="en-US"/>
        </w:rPr>
        <w:t>President</w:t>
      </w:r>
    </w:p>
    <w:p w:rsidR="0094054B" w:rsidRDefault="0094054B" w:rsidP="005578F1">
      <w:pPr>
        <w:spacing w:after="0"/>
        <w:jc w:val="both"/>
        <w:rPr>
          <w:b/>
          <w:bCs/>
          <w:sz w:val="24"/>
          <w:szCs w:val="24"/>
        </w:rPr>
      </w:pPr>
      <w:r>
        <w:rPr>
          <w:sz w:val="24"/>
          <w:szCs w:val="24"/>
          <w:lang w:val="en-US"/>
        </w:rPr>
        <w:tab/>
      </w:r>
      <w:r>
        <w:rPr>
          <w:sz w:val="24"/>
          <w:szCs w:val="24"/>
          <w:lang w:val="en-US"/>
        </w:rPr>
        <w:tab/>
      </w:r>
      <w:r w:rsidRPr="0094054B">
        <w:rPr>
          <w:b/>
          <w:sz w:val="24"/>
          <w:szCs w:val="24"/>
          <w:lang w:val="en-US"/>
        </w:rPr>
        <w:t>Vijay Kumar Mohit</w:t>
      </w:r>
      <w:r>
        <w:rPr>
          <w:b/>
          <w:bCs/>
          <w:sz w:val="24"/>
          <w:szCs w:val="24"/>
        </w:rPr>
        <w:tab/>
      </w:r>
      <w:r>
        <w:rPr>
          <w:b/>
          <w:bCs/>
          <w:sz w:val="24"/>
          <w:szCs w:val="24"/>
        </w:rPr>
        <w:tab/>
      </w:r>
      <w:r>
        <w:rPr>
          <w:b/>
          <w:bCs/>
          <w:sz w:val="24"/>
          <w:szCs w:val="24"/>
        </w:rPr>
        <w:tab/>
      </w:r>
      <w:r>
        <w:rPr>
          <w:b/>
          <w:bCs/>
          <w:sz w:val="24"/>
          <w:szCs w:val="24"/>
        </w:rPr>
        <w:tab/>
      </w:r>
      <w:r>
        <w:rPr>
          <w:b/>
          <w:bCs/>
          <w:sz w:val="24"/>
          <w:szCs w:val="24"/>
        </w:rPr>
        <w:tab/>
        <w:t>Member</w:t>
      </w:r>
    </w:p>
    <w:p w:rsidR="0094054B" w:rsidRDefault="0094054B" w:rsidP="005578F1">
      <w:pPr>
        <w:spacing w:after="0"/>
        <w:jc w:val="both"/>
        <w:rPr>
          <w:b/>
          <w:bCs/>
          <w:sz w:val="24"/>
          <w:szCs w:val="24"/>
        </w:rPr>
      </w:pPr>
      <w:r>
        <w:rPr>
          <w:b/>
          <w:bCs/>
          <w:sz w:val="24"/>
          <w:szCs w:val="24"/>
        </w:rPr>
        <w:tab/>
      </w:r>
      <w:r>
        <w:rPr>
          <w:b/>
          <w:bCs/>
          <w:sz w:val="24"/>
          <w:szCs w:val="24"/>
        </w:rPr>
        <w:tab/>
        <w:t>Jay Komarduth Hurry</w:t>
      </w:r>
      <w:r>
        <w:rPr>
          <w:b/>
          <w:bCs/>
          <w:sz w:val="24"/>
          <w:szCs w:val="24"/>
        </w:rPr>
        <w:tab/>
      </w:r>
      <w:r>
        <w:rPr>
          <w:b/>
          <w:bCs/>
          <w:sz w:val="24"/>
          <w:szCs w:val="24"/>
        </w:rPr>
        <w:tab/>
      </w:r>
      <w:r>
        <w:rPr>
          <w:b/>
          <w:bCs/>
          <w:sz w:val="24"/>
          <w:szCs w:val="24"/>
        </w:rPr>
        <w:tab/>
      </w:r>
      <w:r>
        <w:rPr>
          <w:b/>
          <w:bCs/>
          <w:sz w:val="24"/>
          <w:szCs w:val="24"/>
        </w:rPr>
        <w:tab/>
      </w:r>
      <w:r>
        <w:rPr>
          <w:b/>
          <w:bCs/>
          <w:sz w:val="24"/>
          <w:szCs w:val="24"/>
        </w:rPr>
        <w:tab/>
        <w:t>Member</w:t>
      </w:r>
    </w:p>
    <w:p w:rsidR="0094054B" w:rsidRDefault="0094054B" w:rsidP="005578F1">
      <w:pPr>
        <w:spacing w:after="0"/>
        <w:jc w:val="both"/>
        <w:rPr>
          <w:sz w:val="24"/>
          <w:szCs w:val="24"/>
          <w:lang w:val="en-US"/>
        </w:rPr>
      </w:pPr>
      <w:r>
        <w:rPr>
          <w:b/>
          <w:bCs/>
          <w:sz w:val="24"/>
          <w:szCs w:val="24"/>
        </w:rPr>
        <w:tab/>
      </w:r>
      <w:r>
        <w:rPr>
          <w:b/>
          <w:bCs/>
          <w:sz w:val="24"/>
          <w:szCs w:val="24"/>
        </w:rPr>
        <w:tab/>
        <w:t>Georges Karl Louis</w:t>
      </w:r>
      <w:r>
        <w:rPr>
          <w:b/>
          <w:bCs/>
          <w:sz w:val="24"/>
          <w:szCs w:val="24"/>
        </w:rPr>
        <w:tab/>
        <w:t xml:space="preserve"> </w:t>
      </w:r>
      <w:r>
        <w:rPr>
          <w:b/>
          <w:bCs/>
          <w:sz w:val="24"/>
          <w:szCs w:val="24"/>
        </w:rPr>
        <w:tab/>
      </w:r>
      <w:r>
        <w:rPr>
          <w:b/>
          <w:bCs/>
          <w:sz w:val="24"/>
          <w:szCs w:val="24"/>
        </w:rPr>
        <w:tab/>
      </w:r>
      <w:r>
        <w:rPr>
          <w:b/>
          <w:bCs/>
          <w:sz w:val="24"/>
          <w:szCs w:val="24"/>
        </w:rPr>
        <w:tab/>
      </w:r>
      <w:r>
        <w:rPr>
          <w:b/>
          <w:bCs/>
          <w:sz w:val="24"/>
          <w:szCs w:val="24"/>
        </w:rPr>
        <w:tab/>
        <w:t>Member</w:t>
      </w:r>
    </w:p>
    <w:p w:rsidR="0094054B" w:rsidRPr="0095318B" w:rsidRDefault="0094054B" w:rsidP="005578F1">
      <w:pPr>
        <w:spacing w:after="0"/>
        <w:jc w:val="both"/>
        <w:rPr>
          <w:sz w:val="24"/>
          <w:szCs w:val="24"/>
          <w:lang w:val="en-US"/>
        </w:rPr>
      </w:pPr>
    </w:p>
    <w:p w:rsidR="00D921A5" w:rsidRDefault="00D921A5" w:rsidP="005578F1">
      <w:pPr>
        <w:spacing w:after="0"/>
        <w:jc w:val="both"/>
        <w:rPr>
          <w:b/>
          <w:sz w:val="24"/>
          <w:szCs w:val="24"/>
        </w:rPr>
      </w:pPr>
    </w:p>
    <w:p w:rsidR="0094054B" w:rsidRDefault="0094054B" w:rsidP="005578F1">
      <w:pPr>
        <w:spacing w:after="0"/>
        <w:jc w:val="both"/>
        <w:rPr>
          <w:b/>
          <w:sz w:val="24"/>
          <w:szCs w:val="24"/>
        </w:rPr>
      </w:pPr>
      <w:r w:rsidRPr="006B1BD6">
        <w:rPr>
          <w:b/>
          <w:sz w:val="24"/>
          <w:szCs w:val="24"/>
        </w:rPr>
        <w:t>In the matter of: -</w:t>
      </w:r>
    </w:p>
    <w:p w:rsidR="00F47E91" w:rsidRDefault="00F47E91" w:rsidP="005578F1">
      <w:pPr>
        <w:spacing w:after="0"/>
        <w:jc w:val="both"/>
        <w:rPr>
          <w:sz w:val="24"/>
          <w:lang w:val="en-US"/>
        </w:rPr>
      </w:pPr>
    </w:p>
    <w:p w:rsidR="00456BDD" w:rsidRPr="00D921A5" w:rsidRDefault="00456BDD" w:rsidP="005578F1">
      <w:pPr>
        <w:spacing w:after="0"/>
        <w:jc w:val="center"/>
        <w:rPr>
          <w:b/>
          <w:sz w:val="24"/>
          <w:lang w:val="en-US"/>
        </w:rPr>
      </w:pPr>
      <w:r w:rsidRPr="00D921A5">
        <w:rPr>
          <w:b/>
          <w:sz w:val="24"/>
          <w:lang w:val="en-US"/>
        </w:rPr>
        <w:t>Mrs Soopamah Veerasamy</w:t>
      </w:r>
    </w:p>
    <w:p w:rsidR="00456BDD" w:rsidRPr="0094054B" w:rsidRDefault="0094054B" w:rsidP="005578F1">
      <w:pPr>
        <w:spacing w:after="0"/>
        <w:jc w:val="right"/>
        <w:rPr>
          <w:i/>
          <w:sz w:val="24"/>
          <w:lang w:val="en-US"/>
        </w:rPr>
      </w:pPr>
      <w:r w:rsidRPr="0094054B">
        <w:rPr>
          <w:i/>
          <w:sz w:val="24"/>
          <w:lang w:val="en-US"/>
        </w:rPr>
        <w:t>Disputant</w:t>
      </w:r>
    </w:p>
    <w:p w:rsidR="0094054B" w:rsidRPr="00B33164" w:rsidRDefault="0094054B" w:rsidP="005578F1">
      <w:pPr>
        <w:spacing w:after="0"/>
        <w:jc w:val="both"/>
        <w:rPr>
          <w:b/>
          <w:sz w:val="24"/>
          <w:lang w:val="en-US"/>
        </w:rPr>
      </w:pPr>
    </w:p>
    <w:p w:rsidR="00456BDD" w:rsidRPr="00D921A5" w:rsidRDefault="00456BDD" w:rsidP="005578F1">
      <w:pPr>
        <w:spacing w:after="0"/>
        <w:jc w:val="center"/>
        <w:rPr>
          <w:sz w:val="24"/>
          <w:lang w:val="en-US"/>
        </w:rPr>
      </w:pPr>
      <w:r w:rsidRPr="00D921A5">
        <w:rPr>
          <w:sz w:val="24"/>
          <w:lang w:val="en-US"/>
        </w:rPr>
        <w:t>and</w:t>
      </w:r>
    </w:p>
    <w:p w:rsidR="00456BDD" w:rsidRPr="00B33164" w:rsidRDefault="00456BDD" w:rsidP="005578F1">
      <w:pPr>
        <w:spacing w:after="0"/>
        <w:jc w:val="both"/>
        <w:rPr>
          <w:b/>
          <w:sz w:val="24"/>
          <w:lang w:val="en-US"/>
        </w:rPr>
      </w:pPr>
    </w:p>
    <w:p w:rsidR="00456BDD" w:rsidRPr="00D921A5" w:rsidRDefault="00456BDD" w:rsidP="005578F1">
      <w:pPr>
        <w:spacing w:after="0"/>
        <w:jc w:val="center"/>
        <w:rPr>
          <w:b/>
          <w:sz w:val="24"/>
          <w:lang w:val="en-US"/>
        </w:rPr>
      </w:pPr>
      <w:r w:rsidRPr="00D921A5">
        <w:rPr>
          <w:b/>
          <w:sz w:val="24"/>
          <w:lang w:val="en-US"/>
        </w:rPr>
        <w:t>Mauritius Educational Development Co Ltd (MEDCO)</w:t>
      </w:r>
    </w:p>
    <w:p w:rsidR="00456BDD" w:rsidRDefault="0094054B" w:rsidP="005578F1">
      <w:pPr>
        <w:spacing w:after="0"/>
        <w:jc w:val="right"/>
        <w:rPr>
          <w:i/>
          <w:sz w:val="24"/>
          <w:lang w:val="en-US"/>
        </w:rPr>
      </w:pPr>
      <w:r w:rsidRPr="0094054B">
        <w:rPr>
          <w:i/>
          <w:sz w:val="24"/>
          <w:lang w:val="en-US"/>
        </w:rPr>
        <w:t>Respondent</w:t>
      </w:r>
    </w:p>
    <w:p w:rsidR="0094054B" w:rsidRPr="0094054B" w:rsidRDefault="0094054B" w:rsidP="005578F1">
      <w:pPr>
        <w:spacing w:after="0"/>
        <w:jc w:val="right"/>
        <w:rPr>
          <w:sz w:val="24"/>
          <w:lang w:val="en-US"/>
        </w:rPr>
      </w:pPr>
    </w:p>
    <w:p w:rsidR="00456BDD" w:rsidRPr="0094054B" w:rsidRDefault="00B33164" w:rsidP="005578F1">
      <w:pPr>
        <w:spacing w:after="0"/>
        <w:jc w:val="both"/>
        <w:rPr>
          <w:b/>
          <w:sz w:val="28"/>
          <w:lang w:val="en-US"/>
        </w:rPr>
      </w:pPr>
      <w:r w:rsidRPr="00B33164">
        <w:rPr>
          <w:b/>
          <w:sz w:val="24"/>
          <w:lang w:val="en-US"/>
        </w:rPr>
        <w:t xml:space="preserve">In </w:t>
      </w:r>
      <w:r w:rsidR="00456BDD" w:rsidRPr="00B33164">
        <w:rPr>
          <w:b/>
          <w:sz w:val="24"/>
          <w:lang w:val="en-US"/>
        </w:rPr>
        <w:t>p</w:t>
      </w:r>
      <w:r w:rsidRPr="00B33164">
        <w:rPr>
          <w:b/>
          <w:sz w:val="24"/>
          <w:lang w:val="en-US"/>
        </w:rPr>
        <w:t xml:space="preserve">resence </w:t>
      </w:r>
      <w:r w:rsidR="00456BDD" w:rsidRPr="00B33164">
        <w:rPr>
          <w:b/>
          <w:sz w:val="24"/>
          <w:lang w:val="en-US"/>
        </w:rPr>
        <w:t>o</w:t>
      </w:r>
      <w:r w:rsidRPr="00B33164">
        <w:rPr>
          <w:b/>
          <w:sz w:val="24"/>
          <w:lang w:val="en-US"/>
        </w:rPr>
        <w:t>f</w:t>
      </w:r>
      <w:r w:rsidR="00456BDD" w:rsidRPr="00B33164">
        <w:rPr>
          <w:b/>
          <w:sz w:val="24"/>
          <w:lang w:val="en-US"/>
        </w:rPr>
        <w:t>:</w:t>
      </w:r>
      <w:r w:rsidRPr="00B33164">
        <w:rPr>
          <w:b/>
          <w:sz w:val="24"/>
          <w:lang w:val="en-US"/>
        </w:rPr>
        <w:t xml:space="preserve"> -</w:t>
      </w:r>
      <w:r w:rsidR="00456BDD" w:rsidRPr="0094054B">
        <w:rPr>
          <w:b/>
          <w:sz w:val="28"/>
          <w:lang w:val="en-US"/>
        </w:rPr>
        <w:tab/>
      </w:r>
    </w:p>
    <w:p w:rsidR="00456BDD" w:rsidRPr="0094054B" w:rsidRDefault="00456BDD" w:rsidP="005578F1">
      <w:pPr>
        <w:spacing w:after="0"/>
        <w:jc w:val="both"/>
        <w:rPr>
          <w:b/>
          <w:sz w:val="28"/>
          <w:lang w:val="en-US"/>
        </w:rPr>
      </w:pPr>
    </w:p>
    <w:p w:rsidR="00456BDD" w:rsidRPr="00D921A5" w:rsidRDefault="00456BDD" w:rsidP="005578F1">
      <w:pPr>
        <w:spacing w:after="0"/>
        <w:ind w:firstLine="720"/>
        <w:jc w:val="center"/>
        <w:rPr>
          <w:b/>
          <w:sz w:val="24"/>
          <w:lang w:val="en-US"/>
        </w:rPr>
      </w:pPr>
      <w:r w:rsidRPr="00D921A5">
        <w:rPr>
          <w:b/>
          <w:sz w:val="24"/>
          <w:lang w:val="en-US"/>
        </w:rPr>
        <w:t xml:space="preserve">1. Private Secondary School Authority </w:t>
      </w:r>
      <w:r w:rsidR="00DD599C" w:rsidRPr="00D921A5">
        <w:rPr>
          <w:b/>
          <w:sz w:val="24"/>
          <w:lang w:val="en-US"/>
        </w:rPr>
        <w:t>(PSSA)</w:t>
      </w:r>
    </w:p>
    <w:p w:rsidR="00456BDD" w:rsidRPr="0094054B" w:rsidRDefault="00456BDD" w:rsidP="005578F1">
      <w:pPr>
        <w:spacing w:after="0"/>
        <w:jc w:val="right"/>
        <w:rPr>
          <w:b/>
          <w:sz w:val="28"/>
          <w:lang w:val="en-US"/>
        </w:rPr>
      </w:pPr>
    </w:p>
    <w:p w:rsidR="00456BDD" w:rsidRPr="00D921A5" w:rsidRDefault="00456BDD" w:rsidP="005578F1">
      <w:pPr>
        <w:spacing w:after="0"/>
        <w:ind w:firstLine="720"/>
        <w:jc w:val="center"/>
        <w:rPr>
          <w:b/>
          <w:sz w:val="24"/>
          <w:lang w:val="en-US"/>
        </w:rPr>
      </w:pPr>
      <w:r w:rsidRPr="00D921A5">
        <w:rPr>
          <w:b/>
          <w:sz w:val="24"/>
          <w:lang w:val="en-US"/>
        </w:rPr>
        <w:t>2. State Insurance Company of Mauritius</w:t>
      </w:r>
      <w:r w:rsidR="00054B4C" w:rsidRPr="00D921A5">
        <w:rPr>
          <w:b/>
          <w:sz w:val="24"/>
          <w:lang w:val="en-US"/>
        </w:rPr>
        <w:t xml:space="preserve"> Ltd</w:t>
      </w:r>
      <w:r w:rsidR="00DD599C" w:rsidRPr="00D921A5">
        <w:rPr>
          <w:b/>
          <w:sz w:val="24"/>
          <w:lang w:val="en-US"/>
        </w:rPr>
        <w:t xml:space="preserve"> (SICOM)</w:t>
      </w:r>
    </w:p>
    <w:p w:rsidR="00456BDD" w:rsidRPr="0094054B" w:rsidRDefault="0094054B" w:rsidP="005578F1">
      <w:pPr>
        <w:spacing w:after="0"/>
        <w:jc w:val="right"/>
        <w:rPr>
          <w:i/>
          <w:sz w:val="24"/>
          <w:lang w:val="en-US"/>
        </w:rPr>
      </w:pPr>
      <w:r w:rsidRPr="0094054B">
        <w:rPr>
          <w:i/>
          <w:sz w:val="24"/>
          <w:lang w:val="en-US"/>
        </w:rPr>
        <w:t>Co-Respondents</w:t>
      </w:r>
    </w:p>
    <w:p w:rsidR="0094054B" w:rsidRDefault="0094054B" w:rsidP="005578F1">
      <w:pPr>
        <w:spacing w:after="0"/>
        <w:jc w:val="both"/>
        <w:rPr>
          <w:sz w:val="24"/>
          <w:lang w:val="en-US"/>
        </w:rPr>
      </w:pPr>
    </w:p>
    <w:p w:rsidR="00E96B96" w:rsidRDefault="00E96B96" w:rsidP="005578F1">
      <w:pPr>
        <w:spacing w:after="0"/>
        <w:jc w:val="both"/>
        <w:rPr>
          <w:sz w:val="24"/>
          <w:lang w:val="en-US"/>
        </w:rPr>
      </w:pPr>
    </w:p>
    <w:p w:rsidR="00FF279F" w:rsidRDefault="00FF279F" w:rsidP="00CD4E3B">
      <w:pPr>
        <w:spacing w:after="0"/>
        <w:ind w:firstLine="720"/>
        <w:jc w:val="both"/>
        <w:rPr>
          <w:sz w:val="24"/>
          <w:lang w:val="en-US"/>
        </w:rPr>
      </w:pPr>
      <w:r>
        <w:rPr>
          <w:sz w:val="24"/>
          <w:lang w:val="en-US"/>
        </w:rPr>
        <w:t xml:space="preserve">The present matter has been referred to the Tribunal by the </w:t>
      </w:r>
      <w:r w:rsidRPr="003F0532">
        <w:rPr>
          <w:i/>
          <w:sz w:val="24"/>
          <w:lang w:val="en-US"/>
        </w:rPr>
        <w:t>Commission for Conciliation and Mediation</w:t>
      </w:r>
      <w:r>
        <w:rPr>
          <w:sz w:val="24"/>
          <w:lang w:val="en-US"/>
        </w:rPr>
        <w:t xml:space="preserve"> </w:t>
      </w:r>
      <w:r w:rsidR="003F0532">
        <w:rPr>
          <w:sz w:val="24"/>
          <w:lang w:val="en-US"/>
        </w:rPr>
        <w:t>(the “</w:t>
      </w:r>
      <w:r w:rsidR="003F0532" w:rsidRPr="003F0532">
        <w:rPr>
          <w:i/>
          <w:sz w:val="24"/>
          <w:lang w:val="en-US"/>
        </w:rPr>
        <w:t>CCM</w:t>
      </w:r>
      <w:r w:rsidR="003F0532">
        <w:rPr>
          <w:sz w:val="24"/>
          <w:lang w:val="en-US"/>
        </w:rPr>
        <w:t xml:space="preserve">”) </w:t>
      </w:r>
      <w:r>
        <w:rPr>
          <w:sz w:val="24"/>
          <w:lang w:val="en-US"/>
        </w:rPr>
        <w:t xml:space="preserve">for arbitration in terms of </w:t>
      </w:r>
      <w:r w:rsidRPr="00FF279F">
        <w:rPr>
          <w:i/>
          <w:sz w:val="24"/>
          <w:lang w:val="en-US"/>
        </w:rPr>
        <w:t>section 69 (7)</w:t>
      </w:r>
      <w:r>
        <w:rPr>
          <w:sz w:val="24"/>
          <w:lang w:val="en-US"/>
        </w:rPr>
        <w:t xml:space="preserve"> of the </w:t>
      </w:r>
      <w:r w:rsidRPr="00FF279F">
        <w:rPr>
          <w:i/>
          <w:sz w:val="24"/>
          <w:lang w:val="en-US"/>
        </w:rPr>
        <w:t>Employment Relations Act</w:t>
      </w:r>
      <w:r>
        <w:rPr>
          <w:sz w:val="24"/>
          <w:lang w:val="en-US"/>
        </w:rPr>
        <w:t xml:space="preserve"> (the “</w:t>
      </w:r>
      <w:r w:rsidRPr="003F0532">
        <w:rPr>
          <w:i/>
          <w:sz w:val="24"/>
          <w:lang w:val="en-US"/>
        </w:rPr>
        <w:t>Act</w:t>
      </w:r>
      <w:r>
        <w:rPr>
          <w:sz w:val="24"/>
          <w:lang w:val="en-US"/>
        </w:rPr>
        <w:t>”). The terms of reference of the matter reads as follows:</w:t>
      </w:r>
    </w:p>
    <w:p w:rsidR="00FF279F" w:rsidRDefault="00FF279F" w:rsidP="00CD4E3B">
      <w:pPr>
        <w:spacing w:after="0"/>
        <w:ind w:firstLine="720"/>
        <w:jc w:val="both"/>
        <w:rPr>
          <w:sz w:val="24"/>
          <w:lang w:val="en-US"/>
        </w:rPr>
      </w:pPr>
    </w:p>
    <w:p w:rsidR="00FF279F" w:rsidRPr="0071386C" w:rsidRDefault="00FF279F" w:rsidP="00CD4E3B">
      <w:pPr>
        <w:spacing w:after="0"/>
        <w:ind w:left="720" w:right="540"/>
        <w:jc w:val="both"/>
        <w:rPr>
          <w:i/>
          <w:lang w:val="en-US"/>
        </w:rPr>
      </w:pPr>
      <w:r w:rsidRPr="0071386C">
        <w:rPr>
          <w:i/>
          <w:lang w:val="en-US"/>
        </w:rPr>
        <w:t>Whether pursuant to the agreement reached between MEDCO and myself by way of letter dated 25.02.09 signed by the then Chairman of MEDCO, Mr R. Daureeawoo, I should be entitled to claim a full pension on the date of retirement, that is:</w:t>
      </w:r>
    </w:p>
    <w:p w:rsidR="00FF279F" w:rsidRPr="0071386C" w:rsidRDefault="00FF279F" w:rsidP="00CD4E3B">
      <w:pPr>
        <w:spacing w:after="0"/>
        <w:jc w:val="both"/>
        <w:rPr>
          <w:i/>
          <w:lang w:val="en-US"/>
        </w:rPr>
      </w:pPr>
    </w:p>
    <w:p w:rsidR="00FF279F" w:rsidRPr="0071386C" w:rsidRDefault="00FF279F" w:rsidP="00CD4E3B">
      <w:pPr>
        <w:pStyle w:val="ListParagraph"/>
        <w:numPr>
          <w:ilvl w:val="0"/>
          <w:numId w:val="1"/>
        </w:numPr>
        <w:spacing w:after="0"/>
        <w:jc w:val="both"/>
        <w:rPr>
          <w:i/>
          <w:lang w:val="en-US"/>
        </w:rPr>
      </w:pPr>
      <w:r w:rsidRPr="0071386C">
        <w:rPr>
          <w:i/>
          <w:lang w:val="en-US"/>
        </w:rPr>
        <w:t>a lump sum of Rs 1,104,250.00 instead of Rs 977,264.00;</w:t>
      </w:r>
    </w:p>
    <w:p w:rsidR="00FF279F" w:rsidRPr="0071386C" w:rsidRDefault="00FF279F" w:rsidP="00CD4E3B">
      <w:pPr>
        <w:pStyle w:val="ListParagraph"/>
        <w:numPr>
          <w:ilvl w:val="0"/>
          <w:numId w:val="1"/>
        </w:numPr>
        <w:spacing w:after="0"/>
        <w:jc w:val="both"/>
        <w:rPr>
          <w:sz w:val="28"/>
          <w:lang w:val="en-US"/>
        </w:rPr>
      </w:pPr>
      <w:r w:rsidRPr="0071386C">
        <w:rPr>
          <w:i/>
          <w:lang w:val="en-US"/>
        </w:rPr>
        <w:t>a monthly pension of Rs 18,399.00 instead of Rs 15,859.25.</w:t>
      </w:r>
      <w:r w:rsidRPr="0071386C">
        <w:rPr>
          <w:sz w:val="28"/>
          <w:lang w:val="en-US"/>
        </w:rPr>
        <w:t xml:space="preserve"> </w:t>
      </w:r>
    </w:p>
    <w:p w:rsidR="00FF279F" w:rsidRDefault="00FF279F" w:rsidP="00CD4E3B">
      <w:pPr>
        <w:spacing w:after="0"/>
        <w:jc w:val="both"/>
        <w:rPr>
          <w:sz w:val="24"/>
          <w:lang w:val="en-US"/>
        </w:rPr>
      </w:pPr>
    </w:p>
    <w:p w:rsidR="00FF279F" w:rsidRDefault="00FF279F" w:rsidP="00CD4E3B">
      <w:pPr>
        <w:spacing w:after="0"/>
        <w:jc w:val="both"/>
        <w:rPr>
          <w:sz w:val="24"/>
          <w:lang w:val="en-US"/>
        </w:rPr>
      </w:pPr>
    </w:p>
    <w:p w:rsidR="00FF279F" w:rsidRDefault="00FF279F" w:rsidP="00CD4E3B">
      <w:pPr>
        <w:spacing w:after="0"/>
        <w:ind w:firstLine="720"/>
        <w:jc w:val="both"/>
        <w:rPr>
          <w:sz w:val="24"/>
          <w:lang w:val="en-US"/>
        </w:rPr>
      </w:pPr>
      <w:r>
        <w:rPr>
          <w:sz w:val="24"/>
          <w:lang w:val="en-US"/>
        </w:rPr>
        <w:t xml:space="preserve">Both parties to the dispute were represented by Counsel. Prior to the hearing to the dispute, Counsel for the Respondent </w:t>
      </w:r>
      <w:r w:rsidR="002006AE">
        <w:rPr>
          <w:sz w:val="24"/>
          <w:lang w:val="en-US"/>
        </w:rPr>
        <w:t xml:space="preserve">has </w:t>
      </w:r>
      <w:r>
        <w:rPr>
          <w:sz w:val="24"/>
          <w:lang w:val="en-US"/>
        </w:rPr>
        <w:t xml:space="preserve">raised a two-fold plea </w:t>
      </w:r>
      <w:r w:rsidRPr="00FF279F">
        <w:rPr>
          <w:i/>
          <w:sz w:val="24"/>
          <w:lang w:val="en-US"/>
        </w:rPr>
        <w:t>in limine</w:t>
      </w:r>
      <w:r>
        <w:rPr>
          <w:sz w:val="24"/>
          <w:lang w:val="en-US"/>
        </w:rPr>
        <w:t>, as follows:</w:t>
      </w:r>
    </w:p>
    <w:p w:rsidR="00FF279F" w:rsidRDefault="00FF279F" w:rsidP="00CD4E3B">
      <w:pPr>
        <w:spacing w:after="0"/>
        <w:ind w:firstLine="720"/>
        <w:jc w:val="both"/>
        <w:rPr>
          <w:sz w:val="24"/>
          <w:lang w:val="en-US"/>
        </w:rPr>
      </w:pPr>
    </w:p>
    <w:p w:rsidR="00FF279F" w:rsidRPr="0071386C" w:rsidRDefault="009421FA" w:rsidP="00CD4E3B">
      <w:pPr>
        <w:pStyle w:val="ListParagraph"/>
        <w:numPr>
          <w:ilvl w:val="0"/>
          <w:numId w:val="2"/>
        </w:numPr>
        <w:spacing w:after="0"/>
        <w:ind w:right="540"/>
        <w:jc w:val="both"/>
        <w:rPr>
          <w:i/>
          <w:lang w:val="en-US"/>
        </w:rPr>
      </w:pPr>
      <w:r>
        <w:rPr>
          <w:i/>
          <w:lang w:val="en-US"/>
        </w:rPr>
        <w:t>t</w:t>
      </w:r>
      <w:r w:rsidR="00FF279F" w:rsidRPr="0071386C">
        <w:rPr>
          <w:i/>
          <w:lang w:val="en-US"/>
        </w:rPr>
        <w:t>he application or the claim has been made outside the time limit so that the Tribunal is barred from adjudicating upon the matter; and</w:t>
      </w:r>
    </w:p>
    <w:p w:rsidR="00FF279F" w:rsidRPr="009421FA" w:rsidRDefault="00FF279F" w:rsidP="00CD4E3B">
      <w:pPr>
        <w:pStyle w:val="ListParagraph"/>
        <w:spacing w:after="0"/>
        <w:ind w:left="1440"/>
        <w:jc w:val="both"/>
        <w:rPr>
          <w:i/>
          <w:lang w:val="en-US"/>
        </w:rPr>
      </w:pPr>
    </w:p>
    <w:p w:rsidR="00FF279F" w:rsidRPr="0071386C" w:rsidRDefault="009421FA" w:rsidP="00CD4E3B">
      <w:pPr>
        <w:pStyle w:val="ListParagraph"/>
        <w:numPr>
          <w:ilvl w:val="0"/>
          <w:numId w:val="2"/>
        </w:numPr>
        <w:spacing w:after="0"/>
        <w:ind w:right="540"/>
        <w:jc w:val="both"/>
        <w:rPr>
          <w:i/>
          <w:sz w:val="24"/>
          <w:lang w:val="en-US"/>
        </w:rPr>
      </w:pPr>
      <w:r>
        <w:rPr>
          <w:i/>
          <w:lang w:val="en-US"/>
        </w:rPr>
        <w:t>p</w:t>
      </w:r>
      <w:r w:rsidR="00FF279F" w:rsidRPr="0071386C">
        <w:rPr>
          <w:i/>
          <w:lang w:val="en-US"/>
        </w:rPr>
        <w:t xml:space="preserve">rayer 11 is in the nature of an </w:t>
      </w:r>
      <w:r w:rsidR="00906EEA">
        <w:rPr>
          <w:i/>
          <w:lang w:val="en-US"/>
        </w:rPr>
        <w:t xml:space="preserve">order for </w:t>
      </w:r>
      <w:r w:rsidR="00C476CF">
        <w:rPr>
          <w:i/>
          <w:lang w:val="en-US"/>
        </w:rPr>
        <w:t>specific performance</w:t>
      </w:r>
      <w:r w:rsidR="00FF279F" w:rsidRPr="0071386C">
        <w:rPr>
          <w:i/>
          <w:lang w:val="en-US"/>
        </w:rPr>
        <w:t xml:space="preserve"> and this matter can only be trashed out before a Court of Law</w:t>
      </w:r>
      <w:r w:rsidR="0071386C" w:rsidRPr="0071386C">
        <w:rPr>
          <w:i/>
          <w:lang w:val="en-US"/>
        </w:rPr>
        <w:t>.</w:t>
      </w:r>
      <w:r w:rsidR="0071386C" w:rsidRPr="0071386C">
        <w:rPr>
          <w:i/>
          <w:sz w:val="24"/>
          <w:lang w:val="en-US"/>
        </w:rPr>
        <w:t xml:space="preserve"> </w:t>
      </w:r>
    </w:p>
    <w:p w:rsidR="0071386C" w:rsidRDefault="0071386C" w:rsidP="00CD4E3B">
      <w:pPr>
        <w:spacing w:after="0"/>
        <w:ind w:right="540"/>
        <w:jc w:val="both"/>
        <w:rPr>
          <w:sz w:val="24"/>
          <w:lang w:val="en-US"/>
        </w:rPr>
      </w:pPr>
    </w:p>
    <w:p w:rsidR="0071386C" w:rsidRDefault="0071386C" w:rsidP="00CD4E3B">
      <w:pPr>
        <w:spacing w:after="0"/>
        <w:ind w:right="540"/>
        <w:jc w:val="both"/>
        <w:rPr>
          <w:sz w:val="24"/>
          <w:lang w:val="en-US"/>
        </w:rPr>
      </w:pPr>
    </w:p>
    <w:p w:rsidR="002042C8" w:rsidRDefault="005C4717" w:rsidP="00CD4E3B">
      <w:pPr>
        <w:spacing w:after="0"/>
        <w:ind w:firstLine="720"/>
        <w:jc w:val="both"/>
        <w:rPr>
          <w:sz w:val="24"/>
          <w:lang w:val="en-US"/>
        </w:rPr>
      </w:pPr>
      <w:r>
        <w:rPr>
          <w:sz w:val="24"/>
          <w:lang w:val="en-US"/>
        </w:rPr>
        <w:t>T</w:t>
      </w:r>
      <w:r w:rsidR="00C476CF">
        <w:rPr>
          <w:sz w:val="24"/>
          <w:lang w:val="en-US"/>
        </w:rPr>
        <w:t xml:space="preserve">he representative of </w:t>
      </w:r>
      <w:r w:rsidR="00C476CF" w:rsidRPr="002625E3">
        <w:rPr>
          <w:i/>
          <w:sz w:val="24"/>
          <w:lang w:val="en-US"/>
        </w:rPr>
        <w:t>SICOM</w:t>
      </w:r>
      <w:r>
        <w:rPr>
          <w:sz w:val="24"/>
          <w:lang w:val="en-US"/>
        </w:rPr>
        <w:t xml:space="preserve"> was called to adduce evidence</w:t>
      </w:r>
      <w:r w:rsidR="00C476CF">
        <w:rPr>
          <w:sz w:val="24"/>
          <w:lang w:val="en-US"/>
        </w:rPr>
        <w:t xml:space="preserve"> for the purpose of the argument on the plea </w:t>
      </w:r>
      <w:r w:rsidR="00C476CF" w:rsidRPr="00C476CF">
        <w:rPr>
          <w:i/>
          <w:sz w:val="24"/>
          <w:lang w:val="en-US"/>
        </w:rPr>
        <w:t>in limine</w:t>
      </w:r>
      <w:r w:rsidR="00C476CF">
        <w:rPr>
          <w:sz w:val="24"/>
          <w:lang w:val="en-US"/>
        </w:rPr>
        <w:t>. Mr Raj</w:t>
      </w:r>
      <w:r w:rsidR="008F2EF8">
        <w:rPr>
          <w:sz w:val="24"/>
          <w:lang w:val="en-US"/>
        </w:rPr>
        <w:t>kamal</w:t>
      </w:r>
      <w:r w:rsidR="00C476CF">
        <w:rPr>
          <w:sz w:val="24"/>
          <w:lang w:val="en-US"/>
        </w:rPr>
        <w:t xml:space="preserve"> Rughoo </w:t>
      </w:r>
      <w:r w:rsidR="00571DDC">
        <w:rPr>
          <w:sz w:val="24"/>
          <w:lang w:val="en-US"/>
        </w:rPr>
        <w:t>stated that he is fully conversant with the file of the Disputan</w:t>
      </w:r>
      <w:r w:rsidR="00EB7B05">
        <w:rPr>
          <w:sz w:val="24"/>
          <w:lang w:val="en-US"/>
        </w:rPr>
        <w:t>t, when she retired and when</w:t>
      </w:r>
      <w:r w:rsidR="00571DDC">
        <w:rPr>
          <w:sz w:val="24"/>
          <w:lang w:val="en-US"/>
        </w:rPr>
        <w:t xml:space="preserve"> the payment of her benefits</w:t>
      </w:r>
      <w:r w:rsidR="00EB7B05">
        <w:rPr>
          <w:sz w:val="24"/>
          <w:lang w:val="en-US"/>
        </w:rPr>
        <w:t xml:space="preserve"> were</w:t>
      </w:r>
      <w:r w:rsidR="00571DDC">
        <w:rPr>
          <w:sz w:val="24"/>
          <w:lang w:val="en-US"/>
        </w:rPr>
        <w:t>. The payment for her lump sum was made on 24 August 2011. Referring to two letters dated 20 September 2011, the Disputant was informed by these two letters that payments were made on 24 August 2011 for the gratuity and 1</w:t>
      </w:r>
      <w:r w:rsidR="00571DDC" w:rsidRPr="00571DDC">
        <w:rPr>
          <w:sz w:val="24"/>
          <w:vertAlign w:val="superscript"/>
          <w:lang w:val="en-US"/>
        </w:rPr>
        <w:t>st</w:t>
      </w:r>
      <w:r w:rsidR="00EB7B05">
        <w:rPr>
          <w:sz w:val="24"/>
          <w:lang w:val="en-US"/>
        </w:rPr>
        <w:t xml:space="preserve"> September 2011</w:t>
      </w:r>
      <w:r w:rsidR="00571DDC">
        <w:rPr>
          <w:sz w:val="24"/>
          <w:lang w:val="en-US"/>
        </w:rPr>
        <w:t xml:space="preserve"> for arrears of pension. He did not have any correspondence to show </w:t>
      </w:r>
      <w:r w:rsidR="00BB6786">
        <w:rPr>
          <w:sz w:val="24"/>
          <w:lang w:val="en-US"/>
        </w:rPr>
        <w:t>that</w:t>
      </w:r>
      <w:r w:rsidR="00F071EF">
        <w:rPr>
          <w:sz w:val="24"/>
          <w:lang w:val="en-US"/>
        </w:rPr>
        <w:t xml:space="preserve"> prior</w:t>
      </w:r>
      <w:r w:rsidR="00BB6786">
        <w:rPr>
          <w:sz w:val="24"/>
          <w:lang w:val="en-US"/>
        </w:rPr>
        <w:t xml:space="preserve"> to 20 September 2011,</w:t>
      </w:r>
      <w:r w:rsidR="00571DDC">
        <w:rPr>
          <w:sz w:val="24"/>
          <w:lang w:val="en-US"/>
        </w:rPr>
        <w:t xml:space="preserve"> </w:t>
      </w:r>
      <w:r w:rsidR="00571DDC" w:rsidRPr="002625E3">
        <w:rPr>
          <w:i/>
          <w:sz w:val="24"/>
          <w:lang w:val="en-US"/>
        </w:rPr>
        <w:t>SICOM</w:t>
      </w:r>
      <w:r w:rsidR="00571DDC">
        <w:rPr>
          <w:sz w:val="24"/>
          <w:lang w:val="en-US"/>
        </w:rPr>
        <w:t xml:space="preserve"> </w:t>
      </w:r>
      <w:r w:rsidR="00BB6786">
        <w:rPr>
          <w:sz w:val="24"/>
          <w:lang w:val="en-US"/>
        </w:rPr>
        <w:t xml:space="preserve">had </w:t>
      </w:r>
      <w:r w:rsidR="00571DDC">
        <w:rPr>
          <w:sz w:val="24"/>
          <w:lang w:val="en-US"/>
        </w:rPr>
        <w:t xml:space="preserve">informed her of what she </w:t>
      </w:r>
      <w:r w:rsidR="00BB6786">
        <w:rPr>
          <w:sz w:val="24"/>
          <w:lang w:val="en-US"/>
        </w:rPr>
        <w:t>is to</w:t>
      </w:r>
      <w:r w:rsidR="00571DDC">
        <w:rPr>
          <w:sz w:val="24"/>
          <w:lang w:val="en-US"/>
        </w:rPr>
        <w:t xml:space="preserve"> be paid. He produced a copy of the two letters dated 20 September 2011 (Documents A &amp; A₁</w:t>
      </w:r>
      <w:r w:rsidR="002A2B2E">
        <w:rPr>
          <w:sz w:val="24"/>
          <w:lang w:val="en-US"/>
        </w:rPr>
        <w:t>). H</w:t>
      </w:r>
      <w:r w:rsidR="00571DDC">
        <w:rPr>
          <w:sz w:val="24"/>
          <w:lang w:val="en-US"/>
        </w:rPr>
        <w:t>e also stated that in practice everybody know</w:t>
      </w:r>
      <w:r w:rsidR="00EB7B05">
        <w:rPr>
          <w:sz w:val="24"/>
          <w:lang w:val="en-US"/>
        </w:rPr>
        <w:t>s</w:t>
      </w:r>
      <w:r w:rsidR="00571DDC">
        <w:rPr>
          <w:sz w:val="24"/>
          <w:lang w:val="en-US"/>
        </w:rPr>
        <w:t xml:space="preserve"> what is being paid to them as when they sign the retirement form, they exercise an option </w:t>
      </w:r>
      <w:r w:rsidR="008D5742">
        <w:rPr>
          <w:sz w:val="24"/>
          <w:lang w:val="en-US"/>
        </w:rPr>
        <w:t xml:space="preserve">on </w:t>
      </w:r>
      <w:r w:rsidR="00571DDC">
        <w:rPr>
          <w:sz w:val="24"/>
          <w:lang w:val="en-US"/>
        </w:rPr>
        <w:t xml:space="preserve">whether they want a lump sum and a reduced pension. The Disputant signed hers on 24 June 2011. </w:t>
      </w:r>
      <w:r w:rsidR="002A2B2E">
        <w:rPr>
          <w:sz w:val="24"/>
          <w:lang w:val="en-US"/>
        </w:rPr>
        <w:t xml:space="preserve">As a general rule, </w:t>
      </w:r>
      <w:r w:rsidR="002A2B2E" w:rsidRPr="002625E3">
        <w:rPr>
          <w:i/>
          <w:sz w:val="24"/>
          <w:lang w:val="en-US"/>
        </w:rPr>
        <w:t>SICOM</w:t>
      </w:r>
      <w:r w:rsidR="002A2B2E">
        <w:rPr>
          <w:sz w:val="24"/>
          <w:lang w:val="en-US"/>
        </w:rPr>
        <w:t xml:space="preserve"> does not give a breakdown of what is being paid but do</w:t>
      </w:r>
      <w:r w:rsidR="00EB7B05">
        <w:rPr>
          <w:sz w:val="24"/>
          <w:lang w:val="en-US"/>
        </w:rPr>
        <w:t>es so at request or when one</w:t>
      </w:r>
      <w:r w:rsidR="002A2B2E">
        <w:rPr>
          <w:sz w:val="24"/>
          <w:lang w:val="en-US"/>
        </w:rPr>
        <w:t xml:space="preserve"> call</w:t>
      </w:r>
      <w:r w:rsidR="00EB7B05">
        <w:rPr>
          <w:sz w:val="24"/>
          <w:lang w:val="en-US"/>
        </w:rPr>
        <w:t>s</w:t>
      </w:r>
      <w:r w:rsidR="002A2B2E">
        <w:rPr>
          <w:sz w:val="24"/>
          <w:lang w:val="en-US"/>
        </w:rPr>
        <w:t xml:space="preserve"> at the office to fill in a form.</w:t>
      </w:r>
      <w:r w:rsidR="008F2EF8">
        <w:rPr>
          <w:sz w:val="24"/>
          <w:lang w:val="en-US"/>
        </w:rPr>
        <w:t xml:space="preserve"> He produced a copy of the retirement form together with a covering letter from the PSSA dated 11 July 2011 (Documents B &amp; B₁).</w:t>
      </w:r>
      <w:r w:rsidR="00CE1B98">
        <w:rPr>
          <w:sz w:val="24"/>
          <w:lang w:val="en-US"/>
        </w:rPr>
        <w:t xml:space="preserve"> In relation to the second point of the plea </w:t>
      </w:r>
      <w:r w:rsidR="00CE1B98" w:rsidRPr="00CE1B98">
        <w:rPr>
          <w:i/>
          <w:sz w:val="24"/>
          <w:lang w:val="en-US"/>
        </w:rPr>
        <w:t>in limine</w:t>
      </w:r>
      <w:r w:rsidR="00CE1B98">
        <w:rPr>
          <w:sz w:val="24"/>
          <w:lang w:val="en-US"/>
        </w:rPr>
        <w:t xml:space="preserve"> raised,</w:t>
      </w:r>
      <w:r w:rsidR="008F2EF8">
        <w:rPr>
          <w:sz w:val="24"/>
          <w:lang w:val="en-US"/>
        </w:rPr>
        <w:t xml:space="preserve"> </w:t>
      </w:r>
      <w:r w:rsidR="00CE1B98">
        <w:rPr>
          <w:sz w:val="24"/>
          <w:lang w:val="en-US"/>
        </w:rPr>
        <w:t xml:space="preserve">Mr Rughoo also explained what the rules of the </w:t>
      </w:r>
      <w:r w:rsidR="00CE1B98" w:rsidRPr="002625E3">
        <w:rPr>
          <w:i/>
          <w:sz w:val="24"/>
          <w:lang w:val="en-US"/>
        </w:rPr>
        <w:t>PSSA Pension Scheme</w:t>
      </w:r>
      <w:r w:rsidR="00CE1B98">
        <w:rPr>
          <w:sz w:val="24"/>
          <w:lang w:val="en-US"/>
        </w:rPr>
        <w:t xml:space="preserve"> stated in relation to the pensions and produced a copy of same (Document C). </w:t>
      </w:r>
      <w:r w:rsidR="002042C8">
        <w:rPr>
          <w:sz w:val="24"/>
          <w:lang w:val="en-US"/>
        </w:rPr>
        <w:t xml:space="preserve">He also added that nobody can </w:t>
      </w:r>
      <w:r w:rsidR="002006AE">
        <w:rPr>
          <w:sz w:val="24"/>
          <w:lang w:val="en-US"/>
        </w:rPr>
        <w:t xml:space="preserve">exercise an option without </w:t>
      </w:r>
      <w:r w:rsidR="00FE27F7">
        <w:rPr>
          <w:sz w:val="24"/>
          <w:lang w:val="en-US"/>
        </w:rPr>
        <w:t>knowing what is to be</w:t>
      </w:r>
      <w:r w:rsidR="002042C8">
        <w:rPr>
          <w:sz w:val="24"/>
          <w:lang w:val="en-US"/>
        </w:rPr>
        <w:t xml:space="preserve"> paid and that he was not initially aware if Mrs</w:t>
      </w:r>
      <w:r w:rsidR="005E3BFE">
        <w:rPr>
          <w:sz w:val="24"/>
          <w:lang w:val="en-US"/>
        </w:rPr>
        <w:t xml:space="preserve"> S.</w:t>
      </w:r>
      <w:r w:rsidR="002042C8">
        <w:rPr>
          <w:sz w:val="24"/>
          <w:lang w:val="en-US"/>
        </w:rPr>
        <w:t xml:space="preserve"> Veerasamy reported a dispute on 29 February 2012 to the </w:t>
      </w:r>
      <w:r w:rsidR="002042C8" w:rsidRPr="004E4D8E">
        <w:rPr>
          <w:i/>
          <w:sz w:val="24"/>
          <w:lang w:val="en-US"/>
        </w:rPr>
        <w:t>CCM</w:t>
      </w:r>
      <w:r w:rsidR="002042C8">
        <w:rPr>
          <w:sz w:val="24"/>
          <w:lang w:val="en-US"/>
        </w:rPr>
        <w:t xml:space="preserve">. </w:t>
      </w:r>
    </w:p>
    <w:p w:rsidR="002042C8" w:rsidRDefault="002042C8" w:rsidP="00CD4E3B">
      <w:pPr>
        <w:spacing w:after="0"/>
        <w:ind w:firstLine="720"/>
        <w:jc w:val="both"/>
        <w:rPr>
          <w:sz w:val="24"/>
          <w:lang w:val="en-US"/>
        </w:rPr>
      </w:pPr>
    </w:p>
    <w:p w:rsidR="002042C8" w:rsidRDefault="002042C8" w:rsidP="00CD4E3B">
      <w:pPr>
        <w:spacing w:after="0"/>
        <w:ind w:firstLine="720"/>
        <w:jc w:val="both"/>
        <w:rPr>
          <w:sz w:val="24"/>
          <w:lang w:val="en-US"/>
        </w:rPr>
      </w:pPr>
    </w:p>
    <w:p w:rsidR="004E4D8E" w:rsidRDefault="007B31E4" w:rsidP="00CD4E3B">
      <w:pPr>
        <w:spacing w:after="0"/>
        <w:ind w:firstLine="720"/>
        <w:jc w:val="both"/>
        <w:rPr>
          <w:sz w:val="24"/>
          <w:lang w:val="en-US"/>
        </w:rPr>
      </w:pPr>
      <w:r>
        <w:rPr>
          <w:sz w:val="24"/>
          <w:lang w:val="en-US"/>
        </w:rPr>
        <w:t>The Disputant in the present matter, Mrs Soopamy Veerasamy, was also called</w:t>
      </w:r>
      <w:r w:rsidR="00BF47C6">
        <w:rPr>
          <w:sz w:val="24"/>
          <w:lang w:val="en-US"/>
        </w:rPr>
        <w:t xml:space="preserve"> to adduce evidence regarding</w:t>
      </w:r>
      <w:r>
        <w:rPr>
          <w:sz w:val="24"/>
          <w:lang w:val="en-US"/>
        </w:rPr>
        <w:t xml:space="preserve"> the arguments on the plea </w:t>
      </w:r>
      <w:r w:rsidRPr="007B31E4">
        <w:rPr>
          <w:i/>
          <w:sz w:val="24"/>
          <w:lang w:val="en-US"/>
        </w:rPr>
        <w:t>in limine</w:t>
      </w:r>
      <w:r>
        <w:rPr>
          <w:sz w:val="24"/>
          <w:lang w:val="en-US"/>
        </w:rPr>
        <w:t xml:space="preserve">. </w:t>
      </w:r>
      <w:r w:rsidR="00236077">
        <w:rPr>
          <w:sz w:val="24"/>
          <w:lang w:val="en-US"/>
        </w:rPr>
        <w:t>She was made aware of the lump sum paid to her through the letter dated 20 September 2011. She was not given a breakdown of how the amount was reached and requested same after receiving the letter dated 20 Septem</w:t>
      </w:r>
      <w:r w:rsidR="006A0C87">
        <w:rPr>
          <w:sz w:val="24"/>
          <w:lang w:val="en-US"/>
        </w:rPr>
        <w:t xml:space="preserve">ber 2011 around September last year as she was not in the country for 2 or </w:t>
      </w:r>
      <w:r w:rsidR="006A0C87">
        <w:rPr>
          <w:sz w:val="24"/>
          <w:lang w:val="en-US"/>
        </w:rPr>
        <w:lastRenderedPageBreak/>
        <w:t>3 years. Following her request</w:t>
      </w:r>
      <w:r w:rsidR="00BF47C6">
        <w:rPr>
          <w:sz w:val="24"/>
          <w:lang w:val="en-US"/>
        </w:rPr>
        <w:t xml:space="preserve"> for the breakdown</w:t>
      </w:r>
      <w:r w:rsidR="002625E3">
        <w:rPr>
          <w:sz w:val="24"/>
          <w:lang w:val="en-US"/>
        </w:rPr>
        <w:t xml:space="preserve">, she had </w:t>
      </w:r>
      <w:r w:rsidR="00031F08">
        <w:rPr>
          <w:sz w:val="24"/>
          <w:lang w:val="en-US"/>
        </w:rPr>
        <w:t xml:space="preserve">a </w:t>
      </w:r>
      <w:r w:rsidR="006A0C87">
        <w:rPr>
          <w:sz w:val="24"/>
          <w:lang w:val="en-US"/>
        </w:rPr>
        <w:t xml:space="preserve">mediation with </w:t>
      </w:r>
      <w:r w:rsidR="006A0C87" w:rsidRPr="002625E3">
        <w:rPr>
          <w:i/>
          <w:sz w:val="24"/>
          <w:lang w:val="en-US"/>
        </w:rPr>
        <w:t>MEDCO</w:t>
      </w:r>
      <w:r w:rsidR="006A0C87">
        <w:rPr>
          <w:sz w:val="24"/>
          <w:lang w:val="en-US"/>
        </w:rPr>
        <w:t xml:space="preserve"> and </w:t>
      </w:r>
      <w:r w:rsidR="006A0C87" w:rsidRPr="002625E3">
        <w:rPr>
          <w:i/>
          <w:sz w:val="24"/>
          <w:lang w:val="en-US"/>
        </w:rPr>
        <w:t>SICOM</w:t>
      </w:r>
      <w:r w:rsidR="006A0C87">
        <w:rPr>
          <w:sz w:val="24"/>
          <w:lang w:val="en-US"/>
        </w:rPr>
        <w:t xml:space="preserve"> and lodged a case at the </w:t>
      </w:r>
      <w:r w:rsidR="006A0C87" w:rsidRPr="00BF47C6">
        <w:rPr>
          <w:i/>
          <w:sz w:val="24"/>
          <w:lang w:val="en-US"/>
        </w:rPr>
        <w:t>CCM</w:t>
      </w:r>
      <w:r w:rsidR="006A0C87">
        <w:rPr>
          <w:sz w:val="24"/>
          <w:lang w:val="en-US"/>
        </w:rPr>
        <w:t xml:space="preserve"> thereafter. </w:t>
      </w:r>
    </w:p>
    <w:p w:rsidR="004E4D8E" w:rsidRDefault="004E4D8E" w:rsidP="00CD4E3B">
      <w:pPr>
        <w:spacing w:after="0"/>
        <w:ind w:firstLine="720"/>
        <w:jc w:val="both"/>
        <w:rPr>
          <w:sz w:val="24"/>
          <w:lang w:val="en-US"/>
        </w:rPr>
      </w:pPr>
    </w:p>
    <w:p w:rsidR="004E4D8E" w:rsidRDefault="004E4D8E" w:rsidP="00CD4E3B">
      <w:pPr>
        <w:spacing w:after="0"/>
        <w:jc w:val="both"/>
        <w:rPr>
          <w:sz w:val="24"/>
          <w:lang w:val="en-US"/>
        </w:rPr>
      </w:pPr>
    </w:p>
    <w:p w:rsidR="002042C8" w:rsidRDefault="00BF47C6" w:rsidP="00CD4E3B">
      <w:pPr>
        <w:spacing w:after="0"/>
        <w:ind w:firstLine="720"/>
        <w:jc w:val="both"/>
        <w:rPr>
          <w:sz w:val="24"/>
          <w:lang w:val="en-US"/>
        </w:rPr>
      </w:pPr>
      <w:r>
        <w:rPr>
          <w:sz w:val="24"/>
          <w:lang w:val="en-US"/>
        </w:rPr>
        <w:t>Upon</w:t>
      </w:r>
      <w:r w:rsidR="004E4D8E">
        <w:rPr>
          <w:sz w:val="24"/>
          <w:lang w:val="en-US"/>
        </w:rPr>
        <w:t xml:space="preserve"> questions by Counsel for the Respondent, she stated that she wen</w:t>
      </w:r>
      <w:r>
        <w:rPr>
          <w:sz w:val="24"/>
          <w:lang w:val="en-US"/>
        </w:rPr>
        <w:t>t</w:t>
      </w:r>
      <w:r w:rsidR="004E4D8E">
        <w:rPr>
          <w:sz w:val="24"/>
          <w:lang w:val="en-US"/>
        </w:rPr>
        <w:t xml:space="preserve"> to England shortly after her retirement in July 2011 and received the letter when she returned to Mauritius. She was not aware of the amount paid before she returned. She proceeded to England in 2011, 2012, 2013 and 2014. She reported a dispute to the </w:t>
      </w:r>
      <w:r w:rsidR="004E4D8E" w:rsidRPr="004E4D8E">
        <w:rPr>
          <w:i/>
          <w:sz w:val="24"/>
          <w:lang w:val="en-US"/>
        </w:rPr>
        <w:t>CCM</w:t>
      </w:r>
      <w:r w:rsidR="004E4D8E">
        <w:rPr>
          <w:sz w:val="24"/>
          <w:lang w:val="en-US"/>
        </w:rPr>
        <w:t xml:space="preserve"> on 29 October 2012 regarding vacation leave and produced a letter from the </w:t>
      </w:r>
      <w:r w:rsidR="004E4D8E" w:rsidRPr="00685E22">
        <w:rPr>
          <w:i/>
          <w:sz w:val="24"/>
          <w:lang w:val="en-US"/>
        </w:rPr>
        <w:t>CCM</w:t>
      </w:r>
      <w:r w:rsidR="004E4D8E">
        <w:rPr>
          <w:sz w:val="24"/>
          <w:lang w:val="en-US"/>
        </w:rPr>
        <w:t xml:space="preserve"> on the dispute (Document D). She did not know whether she was receiving her full pension or not despite knowing of the amount. She</w:t>
      </w:r>
      <w:r w:rsidR="00EC4248">
        <w:rPr>
          <w:sz w:val="24"/>
          <w:lang w:val="en-US"/>
        </w:rPr>
        <w:t xml:space="preserve"> stated that</w:t>
      </w:r>
      <w:r w:rsidR="004E4D8E">
        <w:rPr>
          <w:sz w:val="24"/>
          <w:lang w:val="en-US"/>
        </w:rPr>
        <w:t xml:space="preserve"> </w:t>
      </w:r>
      <w:r w:rsidR="008D5742">
        <w:rPr>
          <w:sz w:val="24"/>
          <w:lang w:val="en-US"/>
        </w:rPr>
        <w:t xml:space="preserve">she </w:t>
      </w:r>
      <w:r w:rsidR="004E4D8E">
        <w:rPr>
          <w:sz w:val="24"/>
          <w:lang w:val="en-US"/>
        </w:rPr>
        <w:t xml:space="preserve">did not care about it to be frank. She confirmed having reported the present dispute on 28 October 2014. She did </w:t>
      </w:r>
      <w:r>
        <w:rPr>
          <w:sz w:val="24"/>
          <w:lang w:val="en-US"/>
        </w:rPr>
        <w:t xml:space="preserve">not </w:t>
      </w:r>
      <w:r w:rsidR="00EC4248">
        <w:rPr>
          <w:sz w:val="24"/>
          <w:lang w:val="en-US"/>
        </w:rPr>
        <w:t>include the present dispute to the one she reported in 2012</w:t>
      </w:r>
      <w:r w:rsidR="004E4D8E">
        <w:rPr>
          <w:sz w:val="24"/>
          <w:lang w:val="en-US"/>
        </w:rPr>
        <w:t xml:space="preserve"> as she did not </w:t>
      </w:r>
      <w:r w:rsidR="004E4D8E" w:rsidRPr="004E4D8E">
        <w:rPr>
          <w:sz w:val="24"/>
        </w:rPr>
        <w:t>realise</w:t>
      </w:r>
      <w:r w:rsidR="004E4D8E">
        <w:rPr>
          <w:sz w:val="24"/>
          <w:lang w:val="en-US"/>
        </w:rPr>
        <w:t xml:space="preserve"> that she was not paid. </w:t>
      </w:r>
      <w:r w:rsidR="00EC4248">
        <w:rPr>
          <w:sz w:val="24"/>
          <w:lang w:val="en-US"/>
        </w:rPr>
        <w:t xml:space="preserve"> </w:t>
      </w:r>
      <w:r w:rsidR="004E4D8E">
        <w:rPr>
          <w:sz w:val="24"/>
          <w:lang w:val="en-US"/>
        </w:rPr>
        <w:t xml:space="preserve">  </w:t>
      </w:r>
      <w:r w:rsidR="006A0C87">
        <w:rPr>
          <w:sz w:val="24"/>
          <w:lang w:val="en-US"/>
        </w:rPr>
        <w:t xml:space="preserve">  </w:t>
      </w:r>
      <w:r w:rsidR="007B31E4">
        <w:rPr>
          <w:sz w:val="24"/>
          <w:lang w:val="en-US"/>
        </w:rPr>
        <w:t xml:space="preserve">  </w:t>
      </w:r>
    </w:p>
    <w:p w:rsidR="002042C8" w:rsidRDefault="002042C8" w:rsidP="00CD4E3B">
      <w:pPr>
        <w:spacing w:after="0"/>
        <w:jc w:val="both"/>
        <w:rPr>
          <w:sz w:val="24"/>
          <w:lang w:val="en-US"/>
        </w:rPr>
      </w:pPr>
    </w:p>
    <w:p w:rsidR="00BF47C6" w:rsidRDefault="00BF47C6" w:rsidP="00CD4E3B">
      <w:pPr>
        <w:spacing w:after="0"/>
        <w:ind w:firstLine="720"/>
        <w:jc w:val="both"/>
        <w:rPr>
          <w:sz w:val="24"/>
          <w:lang w:val="en-US"/>
        </w:rPr>
      </w:pPr>
    </w:p>
    <w:p w:rsidR="00D53ACE" w:rsidRDefault="00C23F00" w:rsidP="00CD4E3B">
      <w:pPr>
        <w:spacing w:after="0"/>
        <w:ind w:firstLine="720"/>
        <w:jc w:val="both"/>
        <w:rPr>
          <w:sz w:val="24"/>
          <w:lang w:val="en-US"/>
        </w:rPr>
      </w:pPr>
      <w:r>
        <w:rPr>
          <w:sz w:val="24"/>
          <w:lang w:val="en-US"/>
        </w:rPr>
        <w:t xml:space="preserve">She further stated that the present case was reported on two issues before the </w:t>
      </w:r>
      <w:r w:rsidRPr="00C23F00">
        <w:rPr>
          <w:i/>
          <w:sz w:val="24"/>
          <w:lang w:val="en-US"/>
        </w:rPr>
        <w:t>CCM</w:t>
      </w:r>
      <w:r>
        <w:rPr>
          <w:sz w:val="24"/>
          <w:lang w:val="en-US"/>
        </w:rPr>
        <w:t>, the first on the current issue and the second on the issue of whether she should have been afforded pre</w:t>
      </w:r>
      <w:r w:rsidR="00382153">
        <w:rPr>
          <w:sz w:val="24"/>
          <w:lang w:val="en-US"/>
        </w:rPr>
        <w:t>-</w:t>
      </w:r>
      <w:r>
        <w:rPr>
          <w:sz w:val="24"/>
          <w:lang w:val="en-US"/>
        </w:rPr>
        <w:t xml:space="preserve">retirement leave. As for her dispute regarding vacation leave, same was set aside as she was in England and she has reported the matter anew to the </w:t>
      </w:r>
      <w:r w:rsidRPr="00C23F00">
        <w:rPr>
          <w:i/>
          <w:sz w:val="24"/>
          <w:lang w:val="en-US"/>
        </w:rPr>
        <w:t>CCM</w:t>
      </w:r>
      <w:r>
        <w:rPr>
          <w:sz w:val="24"/>
          <w:lang w:val="en-US"/>
        </w:rPr>
        <w:t xml:space="preserve">. </w:t>
      </w:r>
      <w:r w:rsidR="00DF2CE4">
        <w:rPr>
          <w:sz w:val="24"/>
          <w:lang w:val="en-US"/>
        </w:rPr>
        <w:t xml:space="preserve">A letter dated 13 April 2015 in relation to the present dispute was also produced (Document E). She also stated that upon her retirement she was not given a letter stating what her benefits would be or </w:t>
      </w:r>
      <w:r w:rsidR="00DE3AC4">
        <w:rPr>
          <w:sz w:val="24"/>
          <w:lang w:val="en-US"/>
        </w:rPr>
        <w:t xml:space="preserve">a letter </w:t>
      </w:r>
      <w:r w:rsidR="0067729F">
        <w:rPr>
          <w:sz w:val="24"/>
          <w:lang w:val="en-US"/>
        </w:rPr>
        <w:t>of retirement</w:t>
      </w:r>
      <w:r w:rsidR="00DF2CE4">
        <w:rPr>
          <w:sz w:val="24"/>
          <w:lang w:val="en-US"/>
        </w:rPr>
        <w:t>.</w:t>
      </w:r>
      <w:r w:rsidR="0067729F">
        <w:rPr>
          <w:sz w:val="24"/>
          <w:lang w:val="en-US"/>
        </w:rPr>
        <w:t xml:space="preserve"> </w:t>
      </w:r>
    </w:p>
    <w:p w:rsidR="00E379C4" w:rsidRDefault="00E379C4" w:rsidP="00CD4E3B">
      <w:pPr>
        <w:spacing w:after="0"/>
        <w:jc w:val="both"/>
        <w:rPr>
          <w:sz w:val="24"/>
          <w:lang w:val="en-US"/>
        </w:rPr>
      </w:pPr>
    </w:p>
    <w:p w:rsidR="00E379C4" w:rsidRDefault="00E379C4" w:rsidP="00CD4E3B">
      <w:pPr>
        <w:spacing w:after="0"/>
        <w:jc w:val="both"/>
        <w:rPr>
          <w:sz w:val="24"/>
          <w:lang w:val="en-US"/>
        </w:rPr>
      </w:pPr>
    </w:p>
    <w:p w:rsidR="00E379C4" w:rsidRDefault="00E379C4" w:rsidP="00CD4E3B">
      <w:pPr>
        <w:spacing w:after="0"/>
        <w:jc w:val="both"/>
        <w:rPr>
          <w:sz w:val="24"/>
          <w:lang w:val="en-US"/>
        </w:rPr>
      </w:pPr>
      <w:r>
        <w:rPr>
          <w:sz w:val="24"/>
          <w:lang w:val="en-US"/>
        </w:rPr>
        <w:tab/>
        <w:t xml:space="preserve">Counsel for the Respondent submitted that Mrs </w:t>
      </w:r>
      <w:r w:rsidR="00C443C9">
        <w:rPr>
          <w:sz w:val="24"/>
          <w:lang w:val="en-US"/>
        </w:rPr>
        <w:t xml:space="preserve">S. </w:t>
      </w:r>
      <w:r>
        <w:rPr>
          <w:sz w:val="24"/>
          <w:lang w:val="en-US"/>
        </w:rPr>
        <w:t xml:space="preserve">Veerasamy reported the dispute in 2014 which is more than 3 years after her retirement. He also referred to the </w:t>
      </w:r>
      <w:r w:rsidRPr="00020DB9">
        <w:rPr>
          <w:i/>
          <w:sz w:val="24"/>
          <w:lang w:val="en-US"/>
        </w:rPr>
        <w:t>Code</w:t>
      </w:r>
      <w:r>
        <w:rPr>
          <w:i/>
          <w:sz w:val="24"/>
          <w:lang w:val="en-US"/>
        </w:rPr>
        <w:t xml:space="preserve"> Civil Mauricien</w:t>
      </w:r>
      <w:r>
        <w:rPr>
          <w:sz w:val="24"/>
          <w:lang w:val="en-US"/>
        </w:rPr>
        <w:t xml:space="preserve">, namely </w:t>
      </w:r>
      <w:r w:rsidRPr="00020DB9">
        <w:rPr>
          <w:i/>
          <w:sz w:val="24"/>
          <w:lang w:val="en-US"/>
        </w:rPr>
        <w:t>Article 2279</w:t>
      </w:r>
      <w:r>
        <w:rPr>
          <w:sz w:val="24"/>
          <w:lang w:val="en-US"/>
        </w:rPr>
        <w:t xml:space="preserve"> thereof, which precludes anyone from making a claim after 3 years. In determining from when time starts to accrue, he referred to the date when the Disputant retired in July 2011. He submitted that the present claim is time-barred in law. Counsel also stated that the Disputant cannot make piecemeal claims to the Tribunal or to any court of law. It would be an abuse of process of the Tribunal for the Disputant not to claim everything she is supposed to be entitled to at the same time.</w:t>
      </w:r>
    </w:p>
    <w:p w:rsidR="00E379C4" w:rsidRDefault="00E379C4" w:rsidP="00CD4E3B">
      <w:pPr>
        <w:spacing w:after="0"/>
        <w:jc w:val="both"/>
        <w:rPr>
          <w:sz w:val="24"/>
          <w:lang w:val="en-US"/>
        </w:rPr>
      </w:pPr>
    </w:p>
    <w:p w:rsidR="00E379C4" w:rsidRDefault="00E379C4" w:rsidP="00CD4E3B">
      <w:pPr>
        <w:spacing w:after="0"/>
        <w:jc w:val="both"/>
        <w:rPr>
          <w:sz w:val="24"/>
          <w:lang w:val="en-US"/>
        </w:rPr>
      </w:pPr>
    </w:p>
    <w:p w:rsidR="00E379C4" w:rsidRDefault="00E379C4" w:rsidP="00CD4E3B">
      <w:pPr>
        <w:spacing w:after="0"/>
        <w:jc w:val="both"/>
        <w:rPr>
          <w:sz w:val="24"/>
          <w:lang w:val="en-US"/>
        </w:rPr>
      </w:pPr>
      <w:r>
        <w:rPr>
          <w:sz w:val="24"/>
          <w:lang w:val="en-US"/>
        </w:rPr>
        <w:tab/>
        <w:t xml:space="preserve">In referring to paragraph 11 of the Disputant’s Statement of Case wherein a prayer for an order </w:t>
      </w:r>
      <w:r w:rsidRPr="00155B5C">
        <w:rPr>
          <w:i/>
          <w:sz w:val="24"/>
          <w:lang w:val="en-US"/>
        </w:rPr>
        <w:t xml:space="preserve">‘directing the Respondent </w:t>
      </w:r>
      <w:r>
        <w:rPr>
          <w:i/>
          <w:sz w:val="24"/>
          <w:lang w:val="en-US"/>
        </w:rPr>
        <w:t>to</w:t>
      </w:r>
      <w:r w:rsidRPr="00155B5C">
        <w:rPr>
          <w:i/>
          <w:sz w:val="24"/>
          <w:lang w:val="en-US"/>
        </w:rPr>
        <w:t xml:space="preserve"> instruct</w:t>
      </w:r>
      <w:r>
        <w:rPr>
          <w:i/>
          <w:sz w:val="24"/>
          <w:lang w:val="en-US"/>
        </w:rPr>
        <w:t xml:space="preserve"> the</w:t>
      </w:r>
      <w:r w:rsidRPr="00155B5C">
        <w:rPr>
          <w:i/>
          <w:sz w:val="24"/>
          <w:lang w:val="en-US"/>
        </w:rPr>
        <w:t xml:space="preserve"> SICOM to adjust the Applicant’s pension benefits</w:t>
      </w:r>
      <w:r>
        <w:rPr>
          <w:i/>
          <w:sz w:val="24"/>
          <w:lang w:val="en-US"/>
        </w:rPr>
        <w:t>, …</w:t>
      </w:r>
      <w:r>
        <w:rPr>
          <w:sz w:val="24"/>
          <w:lang w:val="en-US"/>
        </w:rPr>
        <w:t xml:space="preserve">’ has been made, Counsel submitted that what the Disputant is asking is in the nature of specific performance; and that the Tribunal has no jurisdiction to entertain same. Specific performance is an equitable remedy, as is an injunction, and may be granted by a court with jurisdiction to grant equitable remedies. He also referred to </w:t>
      </w:r>
      <w:r w:rsidRPr="00A84ED9">
        <w:rPr>
          <w:i/>
          <w:sz w:val="24"/>
          <w:lang w:val="en-US"/>
        </w:rPr>
        <w:t>section 11 (2)</w:t>
      </w:r>
      <w:r>
        <w:rPr>
          <w:sz w:val="24"/>
          <w:lang w:val="en-US"/>
        </w:rPr>
        <w:t xml:space="preserve"> of </w:t>
      </w:r>
      <w:r>
        <w:rPr>
          <w:sz w:val="24"/>
          <w:lang w:val="en-US"/>
        </w:rPr>
        <w:lastRenderedPageBreak/>
        <w:t xml:space="preserve">the </w:t>
      </w:r>
      <w:r w:rsidRPr="00070E26">
        <w:rPr>
          <w:i/>
          <w:sz w:val="24"/>
          <w:lang w:val="en-US"/>
        </w:rPr>
        <w:t>Courts Act</w:t>
      </w:r>
      <w:r>
        <w:rPr>
          <w:sz w:val="24"/>
          <w:lang w:val="en-US"/>
        </w:rPr>
        <w:t xml:space="preserve"> in support of his contention and to the judgment of </w:t>
      </w:r>
      <w:r w:rsidRPr="00A27072">
        <w:rPr>
          <w:i/>
          <w:sz w:val="24"/>
          <w:lang w:val="en-US"/>
        </w:rPr>
        <w:t>B.</w:t>
      </w:r>
      <w:r>
        <w:rPr>
          <w:sz w:val="24"/>
          <w:lang w:val="en-US"/>
        </w:rPr>
        <w:t xml:space="preserve"> </w:t>
      </w:r>
      <w:r w:rsidRPr="00070E26">
        <w:rPr>
          <w:i/>
          <w:sz w:val="24"/>
          <w:lang w:val="en-US"/>
        </w:rPr>
        <w:t xml:space="preserve">Bundoo v </w:t>
      </w:r>
      <w:r>
        <w:rPr>
          <w:i/>
          <w:sz w:val="24"/>
          <w:lang w:val="en-US"/>
        </w:rPr>
        <w:t xml:space="preserve">R. </w:t>
      </w:r>
      <w:r w:rsidRPr="00070E26">
        <w:rPr>
          <w:i/>
          <w:sz w:val="24"/>
          <w:lang w:val="en-US"/>
        </w:rPr>
        <w:t>Baichoo</w:t>
      </w:r>
      <w:r>
        <w:rPr>
          <w:sz w:val="24"/>
          <w:lang w:val="en-US"/>
        </w:rPr>
        <w:t xml:space="preserve"> [</w:t>
      </w:r>
      <w:r w:rsidRPr="00070E26">
        <w:rPr>
          <w:i/>
          <w:sz w:val="24"/>
          <w:lang w:val="en-US"/>
        </w:rPr>
        <w:t>1979 SCJ 13</w:t>
      </w:r>
      <w:r>
        <w:rPr>
          <w:sz w:val="24"/>
          <w:lang w:val="en-US"/>
        </w:rPr>
        <w:t xml:space="preserve">]. </w:t>
      </w:r>
    </w:p>
    <w:p w:rsidR="00E379C4" w:rsidRDefault="00E379C4" w:rsidP="00CD4E3B">
      <w:pPr>
        <w:spacing w:after="0"/>
        <w:jc w:val="both"/>
        <w:rPr>
          <w:sz w:val="24"/>
          <w:lang w:val="en-US"/>
        </w:rPr>
      </w:pPr>
    </w:p>
    <w:p w:rsidR="00E379C4" w:rsidRDefault="00E379C4" w:rsidP="00CD4E3B">
      <w:pPr>
        <w:spacing w:after="0"/>
        <w:jc w:val="both"/>
        <w:rPr>
          <w:sz w:val="24"/>
          <w:lang w:val="en-US"/>
        </w:rPr>
      </w:pPr>
      <w:r>
        <w:rPr>
          <w:sz w:val="24"/>
          <w:lang w:val="en-US"/>
        </w:rPr>
        <w:tab/>
      </w:r>
    </w:p>
    <w:p w:rsidR="00E379C4" w:rsidRDefault="00E379C4" w:rsidP="00CD4E3B">
      <w:pPr>
        <w:spacing w:after="0"/>
        <w:jc w:val="both"/>
        <w:rPr>
          <w:sz w:val="24"/>
          <w:lang w:val="en-US"/>
        </w:rPr>
      </w:pPr>
      <w:r>
        <w:rPr>
          <w:sz w:val="24"/>
          <w:lang w:val="en-US"/>
        </w:rPr>
        <w:tab/>
        <w:t xml:space="preserve">Counsel has also described the claim of the Disputant as being one of money which would concern a court of law, which in his opinion would be the </w:t>
      </w:r>
      <w:r w:rsidRPr="007B32A2">
        <w:rPr>
          <w:i/>
          <w:sz w:val="24"/>
          <w:lang w:val="en-US"/>
        </w:rPr>
        <w:t>Industrial Court</w:t>
      </w:r>
      <w:r>
        <w:rPr>
          <w:sz w:val="24"/>
          <w:lang w:val="en-US"/>
        </w:rPr>
        <w:t xml:space="preserve">, and that the Tribunal cannot have jurisdiction in matters concerning the </w:t>
      </w:r>
      <w:r w:rsidRPr="007B32A2">
        <w:rPr>
          <w:i/>
          <w:sz w:val="24"/>
          <w:lang w:val="en-US"/>
        </w:rPr>
        <w:t>Industrial Court</w:t>
      </w:r>
      <w:r>
        <w:rPr>
          <w:sz w:val="24"/>
          <w:lang w:val="en-US"/>
        </w:rPr>
        <w:t xml:space="preserve">.     </w:t>
      </w:r>
    </w:p>
    <w:p w:rsidR="00E379C4" w:rsidRDefault="00E379C4" w:rsidP="00CD4E3B">
      <w:pPr>
        <w:spacing w:after="0"/>
        <w:jc w:val="both"/>
        <w:rPr>
          <w:sz w:val="24"/>
          <w:lang w:val="en-US"/>
        </w:rPr>
      </w:pPr>
    </w:p>
    <w:p w:rsidR="00E379C4" w:rsidRDefault="00E379C4" w:rsidP="00CD4E3B">
      <w:pPr>
        <w:spacing w:after="0"/>
        <w:jc w:val="both"/>
        <w:rPr>
          <w:sz w:val="24"/>
          <w:lang w:val="en-US"/>
        </w:rPr>
      </w:pPr>
    </w:p>
    <w:p w:rsidR="00E379C4" w:rsidRDefault="00E379C4" w:rsidP="00CD4E3B">
      <w:pPr>
        <w:spacing w:after="0"/>
        <w:jc w:val="both"/>
        <w:rPr>
          <w:sz w:val="24"/>
          <w:lang w:val="en-US"/>
        </w:rPr>
      </w:pPr>
      <w:r>
        <w:rPr>
          <w:sz w:val="24"/>
          <w:lang w:val="en-US"/>
        </w:rPr>
        <w:tab/>
        <w:t xml:space="preserve">Counsel for the Disputant has, on the other hand, conceded that if the </w:t>
      </w:r>
      <w:r w:rsidRPr="00BA7018">
        <w:rPr>
          <w:i/>
          <w:sz w:val="24"/>
          <w:lang w:val="en-US"/>
        </w:rPr>
        <w:t>Act</w:t>
      </w:r>
      <w:r>
        <w:rPr>
          <w:sz w:val="24"/>
          <w:lang w:val="en-US"/>
        </w:rPr>
        <w:t xml:space="preserve"> were to be strictly applied, the Disputant has gone over the three years. However, it is only last year that the Disputant became aware of how her pension was being computed and that her years of service was reckoned from 1977 instead of 1970 following which she called at </w:t>
      </w:r>
      <w:r w:rsidRPr="00432B83">
        <w:rPr>
          <w:i/>
          <w:sz w:val="24"/>
          <w:lang w:val="en-US"/>
        </w:rPr>
        <w:t>SICOM</w:t>
      </w:r>
      <w:r>
        <w:rPr>
          <w:sz w:val="24"/>
          <w:lang w:val="en-US"/>
        </w:rPr>
        <w:t xml:space="preserve"> requesting for a breakdown. It was further pointed out that the issue of time-bar was not canvassed before the </w:t>
      </w:r>
      <w:r w:rsidRPr="00BA7018">
        <w:rPr>
          <w:i/>
          <w:sz w:val="24"/>
          <w:lang w:val="en-US"/>
        </w:rPr>
        <w:t>CCM</w:t>
      </w:r>
      <w:r>
        <w:rPr>
          <w:sz w:val="24"/>
          <w:lang w:val="en-US"/>
        </w:rPr>
        <w:t xml:space="preserve"> despite the Respondent having many opportunities to come up with the objection. Referring to the principles of natural justice that the Tribunal may have regard to under </w:t>
      </w:r>
      <w:r w:rsidRPr="00432B83">
        <w:rPr>
          <w:i/>
          <w:sz w:val="24"/>
          <w:lang w:val="en-US"/>
        </w:rPr>
        <w:t>section 97</w:t>
      </w:r>
      <w:r>
        <w:rPr>
          <w:sz w:val="24"/>
          <w:lang w:val="en-US"/>
        </w:rPr>
        <w:t xml:space="preserve"> of the </w:t>
      </w:r>
      <w:r w:rsidRPr="00432B83">
        <w:rPr>
          <w:i/>
          <w:sz w:val="24"/>
          <w:lang w:val="en-US"/>
        </w:rPr>
        <w:t>Act</w:t>
      </w:r>
      <w:r>
        <w:rPr>
          <w:sz w:val="24"/>
          <w:lang w:val="en-US"/>
        </w:rPr>
        <w:t xml:space="preserve">, it is not fair on the Disputant for the objection to be taken now.  </w:t>
      </w:r>
    </w:p>
    <w:p w:rsidR="00E379C4" w:rsidRDefault="00E379C4" w:rsidP="00CD4E3B">
      <w:pPr>
        <w:spacing w:after="0"/>
        <w:jc w:val="both"/>
        <w:rPr>
          <w:sz w:val="24"/>
          <w:lang w:val="en-US"/>
        </w:rPr>
      </w:pPr>
    </w:p>
    <w:p w:rsidR="00E379C4" w:rsidRDefault="00E379C4" w:rsidP="00CD4E3B">
      <w:pPr>
        <w:spacing w:after="0"/>
        <w:jc w:val="both"/>
        <w:rPr>
          <w:sz w:val="24"/>
          <w:lang w:val="en-US"/>
        </w:rPr>
      </w:pPr>
    </w:p>
    <w:p w:rsidR="00E379C4" w:rsidRDefault="00E379C4" w:rsidP="00CD4E3B">
      <w:pPr>
        <w:spacing w:after="0"/>
        <w:jc w:val="both"/>
        <w:rPr>
          <w:sz w:val="24"/>
          <w:lang w:val="en-US"/>
        </w:rPr>
      </w:pPr>
      <w:r>
        <w:rPr>
          <w:sz w:val="24"/>
          <w:lang w:val="en-US"/>
        </w:rPr>
        <w:tab/>
        <w:t xml:space="preserve">Counsel for the </w:t>
      </w:r>
      <w:r w:rsidR="003570AE">
        <w:rPr>
          <w:sz w:val="24"/>
          <w:lang w:val="en-US"/>
        </w:rPr>
        <w:t>Disputant</w:t>
      </w:r>
      <w:r>
        <w:rPr>
          <w:sz w:val="24"/>
          <w:lang w:val="en-US"/>
        </w:rPr>
        <w:t xml:space="preserve"> also submitted that she disagreed that the </w:t>
      </w:r>
      <w:r w:rsidRPr="0073522B">
        <w:rPr>
          <w:i/>
          <w:sz w:val="24"/>
          <w:lang w:val="en-US"/>
        </w:rPr>
        <w:t>Code Civil</w:t>
      </w:r>
      <w:r>
        <w:rPr>
          <w:sz w:val="24"/>
          <w:lang w:val="en-US"/>
        </w:rPr>
        <w:t xml:space="preserve"> finds its application here inasmuch as there is an Act, namely the </w:t>
      </w:r>
      <w:r w:rsidRPr="0073522B">
        <w:rPr>
          <w:i/>
          <w:sz w:val="24"/>
          <w:lang w:val="en-US"/>
        </w:rPr>
        <w:t>Employment Relations Act</w:t>
      </w:r>
      <w:r>
        <w:rPr>
          <w:sz w:val="24"/>
          <w:lang w:val="en-US"/>
        </w:rPr>
        <w:t xml:space="preserve">, which has already catered for this issue. She submitted that the issue of time-bar was not raised before the </w:t>
      </w:r>
      <w:r w:rsidRPr="00FE3AFD">
        <w:rPr>
          <w:i/>
          <w:sz w:val="24"/>
          <w:lang w:val="en-US"/>
        </w:rPr>
        <w:t>CCM</w:t>
      </w:r>
      <w:r>
        <w:rPr>
          <w:sz w:val="24"/>
          <w:lang w:val="en-US"/>
        </w:rPr>
        <w:t xml:space="preserve">, it already has the status of a dispute which has been referred to the Tribunal under </w:t>
      </w:r>
      <w:r w:rsidRPr="00FE3AFD">
        <w:rPr>
          <w:i/>
          <w:sz w:val="24"/>
          <w:lang w:val="en-US"/>
        </w:rPr>
        <w:t>section 69 (7)</w:t>
      </w:r>
      <w:r>
        <w:rPr>
          <w:sz w:val="24"/>
          <w:lang w:val="en-US"/>
        </w:rPr>
        <w:t xml:space="preserve"> of the </w:t>
      </w:r>
      <w:r w:rsidRPr="00FE3AFD">
        <w:rPr>
          <w:i/>
          <w:sz w:val="24"/>
          <w:lang w:val="en-US"/>
        </w:rPr>
        <w:t>Act</w:t>
      </w:r>
      <w:r>
        <w:rPr>
          <w:sz w:val="24"/>
          <w:lang w:val="en-US"/>
        </w:rPr>
        <w:t xml:space="preserve">. She also referred to </w:t>
      </w:r>
      <w:r w:rsidRPr="00FE3AFD">
        <w:rPr>
          <w:i/>
          <w:sz w:val="24"/>
          <w:lang w:val="en-US"/>
        </w:rPr>
        <w:t>section 70 (2)</w:t>
      </w:r>
      <w:r>
        <w:rPr>
          <w:sz w:val="24"/>
          <w:lang w:val="en-US"/>
        </w:rPr>
        <w:t xml:space="preserve"> of the </w:t>
      </w:r>
      <w:r w:rsidRPr="00FE3AFD">
        <w:rPr>
          <w:i/>
          <w:sz w:val="24"/>
          <w:lang w:val="en-US"/>
        </w:rPr>
        <w:t>Act</w:t>
      </w:r>
      <w:r>
        <w:rPr>
          <w:sz w:val="24"/>
          <w:lang w:val="en-US"/>
        </w:rPr>
        <w:t xml:space="preserve"> in support of her submissions as well as to the decision of the </w:t>
      </w:r>
      <w:r w:rsidRPr="0073522B">
        <w:rPr>
          <w:i/>
          <w:sz w:val="24"/>
          <w:lang w:val="en-US"/>
        </w:rPr>
        <w:t>Judicial Committee of the Privy Council</w:t>
      </w:r>
      <w:r w:rsidR="00200985">
        <w:rPr>
          <w:sz w:val="24"/>
          <w:lang w:val="en-US"/>
        </w:rPr>
        <w:t xml:space="preserve"> in</w:t>
      </w:r>
      <w:r w:rsidRPr="0073522B">
        <w:rPr>
          <w:i/>
          <w:sz w:val="24"/>
          <w:lang w:val="en-US"/>
        </w:rPr>
        <w:t xml:space="preserve"> Toumany and </w:t>
      </w:r>
      <w:r>
        <w:rPr>
          <w:i/>
          <w:sz w:val="24"/>
          <w:lang w:val="en-US"/>
        </w:rPr>
        <w:t>anor</w:t>
      </w:r>
      <w:r w:rsidRPr="0073522B">
        <w:rPr>
          <w:i/>
          <w:sz w:val="24"/>
          <w:lang w:val="en-US"/>
        </w:rPr>
        <w:t xml:space="preserve"> v  Veerasamy</w:t>
      </w:r>
      <w:r>
        <w:rPr>
          <w:i/>
          <w:sz w:val="24"/>
          <w:lang w:val="en-US"/>
        </w:rPr>
        <w:t xml:space="preserve"> </w:t>
      </w:r>
      <w:r w:rsidRPr="00A84846">
        <w:rPr>
          <w:sz w:val="24"/>
          <w:lang w:val="en-US"/>
        </w:rPr>
        <w:t>[</w:t>
      </w:r>
      <w:r>
        <w:rPr>
          <w:i/>
          <w:sz w:val="24"/>
          <w:lang w:val="en-US"/>
        </w:rPr>
        <w:t>2012</w:t>
      </w:r>
      <w:r w:rsidRPr="00A84846">
        <w:rPr>
          <w:sz w:val="24"/>
          <w:lang w:val="en-US"/>
        </w:rPr>
        <w:t>]</w:t>
      </w:r>
      <w:r>
        <w:rPr>
          <w:i/>
          <w:sz w:val="24"/>
          <w:lang w:val="en-US"/>
        </w:rPr>
        <w:t xml:space="preserve"> UKPC 13</w:t>
      </w:r>
      <w:r>
        <w:rPr>
          <w:sz w:val="24"/>
          <w:lang w:val="en-US"/>
        </w:rPr>
        <w:t xml:space="preserve">, wherein the courts of Mauritius have been encouraged to be less technical and more flexible in their approach to jurisdictional issues. </w:t>
      </w:r>
    </w:p>
    <w:p w:rsidR="00E379C4" w:rsidRDefault="00E379C4" w:rsidP="00CD4E3B">
      <w:pPr>
        <w:spacing w:after="0"/>
        <w:jc w:val="both"/>
        <w:rPr>
          <w:sz w:val="24"/>
          <w:lang w:val="en-US"/>
        </w:rPr>
      </w:pPr>
    </w:p>
    <w:p w:rsidR="00E379C4" w:rsidRDefault="00E379C4" w:rsidP="00CD4E3B">
      <w:pPr>
        <w:spacing w:after="0"/>
        <w:jc w:val="both"/>
        <w:rPr>
          <w:sz w:val="24"/>
          <w:lang w:val="en-US"/>
        </w:rPr>
      </w:pPr>
    </w:p>
    <w:p w:rsidR="00E379C4" w:rsidRDefault="00E379C4" w:rsidP="00CD4E3B">
      <w:pPr>
        <w:spacing w:after="0"/>
        <w:jc w:val="both"/>
        <w:rPr>
          <w:sz w:val="24"/>
          <w:lang w:val="en-US"/>
        </w:rPr>
      </w:pPr>
      <w:r>
        <w:rPr>
          <w:sz w:val="24"/>
          <w:lang w:val="en-US"/>
        </w:rPr>
        <w:tab/>
        <w:t xml:space="preserve">The main issue raised by the plea </w:t>
      </w:r>
      <w:r w:rsidRPr="00101DA5">
        <w:rPr>
          <w:i/>
          <w:sz w:val="24"/>
          <w:lang w:val="en-US"/>
        </w:rPr>
        <w:t>in limine</w:t>
      </w:r>
      <w:r>
        <w:rPr>
          <w:sz w:val="24"/>
          <w:lang w:val="en-US"/>
        </w:rPr>
        <w:t xml:space="preserve"> is in relation to whether the dispute is time-barred. The present matter has been referred to the Tribunal pursuant to </w:t>
      </w:r>
      <w:r w:rsidRPr="00101DA5">
        <w:rPr>
          <w:i/>
          <w:sz w:val="24"/>
          <w:lang w:val="en-US"/>
        </w:rPr>
        <w:t>section 69 (7)</w:t>
      </w:r>
      <w:r>
        <w:rPr>
          <w:sz w:val="24"/>
          <w:lang w:val="en-US"/>
        </w:rPr>
        <w:t xml:space="preserve"> of the </w:t>
      </w:r>
      <w:r w:rsidRPr="00101DA5">
        <w:rPr>
          <w:i/>
          <w:sz w:val="24"/>
          <w:lang w:val="en-US"/>
        </w:rPr>
        <w:t>Act</w:t>
      </w:r>
      <w:r>
        <w:rPr>
          <w:sz w:val="24"/>
          <w:lang w:val="en-US"/>
        </w:rPr>
        <w:t xml:space="preserve">. This </w:t>
      </w:r>
      <w:r w:rsidR="00E95752">
        <w:rPr>
          <w:sz w:val="24"/>
          <w:lang w:val="en-US"/>
        </w:rPr>
        <w:t>reads</w:t>
      </w:r>
      <w:r>
        <w:rPr>
          <w:sz w:val="24"/>
          <w:lang w:val="en-US"/>
        </w:rPr>
        <w:t xml:space="preserve"> as follows:</w:t>
      </w:r>
    </w:p>
    <w:p w:rsidR="00E379C4" w:rsidRDefault="00E379C4" w:rsidP="00CD4E3B">
      <w:pPr>
        <w:spacing w:after="0"/>
        <w:jc w:val="both"/>
        <w:rPr>
          <w:sz w:val="24"/>
          <w:lang w:val="en-US"/>
        </w:rPr>
      </w:pPr>
    </w:p>
    <w:p w:rsidR="00E379C4" w:rsidRPr="009A76AA" w:rsidRDefault="00E379C4" w:rsidP="00CD4E3B">
      <w:pPr>
        <w:autoSpaceDE w:val="0"/>
        <w:autoSpaceDN w:val="0"/>
        <w:adjustRightInd w:val="0"/>
        <w:spacing w:after="0"/>
        <w:ind w:left="720" w:right="540" w:firstLine="45"/>
        <w:jc w:val="both"/>
        <w:rPr>
          <w:rFonts w:cs="ArialMT"/>
        </w:rPr>
      </w:pPr>
      <w:r w:rsidRPr="009A76AA">
        <w:rPr>
          <w:rFonts w:cs="ArialMT"/>
          <w:i/>
        </w:rPr>
        <w:t xml:space="preserve">Where no agreement is reached in the case of a labour dispute reported by an individual worker, the Commission may, within 7 days, with the consent of the worker, </w:t>
      </w:r>
      <w:r w:rsidRPr="009A76AA">
        <w:rPr>
          <w:rFonts w:cs="ArialMT"/>
          <w:i/>
          <w:u w:val="single"/>
        </w:rPr>
        <w:t>refer the labour dispute to the Tribunal for arbitration</w:t>
      </w:r>
      <w:r w:rsidRPr="009A76AA">
        <w:rPr>
          <w:rFonts w:cs="ArialMT"/>
          <w:i/>
        </w:rPr>
        <w:t>.</w:t>
      </w:r>
    </w:p>
    <w:p w:rsidR="006A16C0" w:rsidRPr="001D5BBD" w:rsidRDefault="00E379C4" w:rsidP="00CD4E3B">
      <w:pPr>
        <w:spacing w:after="0"/>
        <w:jc w:val="both"/>
        <w:rPr>
          <w:lang w:val="en-US"/>
        </w:rPr>
      </w:pPr>
      <w:r w:rsidRPr="009A76AA">
        <w:rPr>
          <w:sz w:val="28"/>
          <w:lang w:val="en-US"/>
        </w:rPr>
        <w:tab/>
      </w:r>
    </w:p>
    <w:p w:rsidR="00E379C4" w:rsidRPr="009A76AA" w:rsidRDefault="00E379C4" w:rsidP="00CD4E3B">
      <w:pPr>
        <w:spacing w:after="0"/>
        <w:ind w:firstLine="720"/>
        <w:jc w:val="both"/>
        <w:rPr>
          <w:sz w:val="28"/>
          <w:lang w:val="en-US"/>
        </w:rPr>
      </w:pPr>
      <w:r w:rsidRPr="009A76AA">
        <w:rPr>
          <w:lang w:val="en-US"/>
        </w:rPr>
        <w:t>(The underlining is ours)</w:t>
      </w:r>
    </w:p>
    <w:p w:rsidR="00E379C4" w:rsidRDefault="00E379C4" w:rsidP="00CD4E3B">
      <w:pPr>
        <w:spacing w:after="0"/>
        <w:jc w:val="both"/>
        <w:rPr>
          <w:sz w:val="24"/>
          <w:lang w:val="en-US"/>
        </w:rPr>
      </w:pPr>
    </w:p>
    <w:p w:rsidR="00A71C17" w:rsidRDefault="00A71C17" w:rsidP="00CD4E3B">
      <w:pPr>
        <w:spacing w:after="0"/>
        <w:jc w:val="both"/>
        <w:rPr>
          <w:sz w:val="24"/>
          <w:lang w:val="en-US"/>
        </w:rPr>
      </w:pPr>
    </w:p>
    <w:p w:rsidR="00E379C4" w:rsidRDefault="00E379C4" w:rsidP="00CD4E3B">
      <w:pPr>
        <w:spacing w:after="0"/>
        <w:jc w:val="both"/>
        <w:rPr>
          <w:sz w:val="24"/>
          <w:lang w:val="en-US"/>
        </w:rPr>
      </w:pPr>
      <w:r>
        <w:rPr>
          <w:sz w:val="24"/>
          <w:lang w:val="en-US"/>
        </w:rPr>
        <w:lastRenderedPageBreak/>
        <w:tab/>
        <w:t xml:space="preserve">It has not been disputed that the dispute brought by Mrs S. Veerasamy was initially reported to the </w:t>
      </w:r>
      <w:r w:rsidRPr="006F21BA">
        <w:rPr>
          <w:i/>
          <w:sz w:val="24"/>
          <w:lang w:val="en-US"/>
        </w:rPr>
        <w:t>CCM</w:t>
      </w:r>
      <w:r>
        <w:rPr>
          <w:sz w:val="24"/>
          <w:lang w:val="en-US"/>
        </w:rPr>
        <w:t xml:space="preserve"> on 28 October 2014 as per the referral letter from its </w:t>
      </w:r>
      <w:r w:rsidRPr="00691E0B">
        <w:rPr>
          <w:i/>
          <w:sz w:val="24"/>
          <w:lang w:val="en-US"/>
        </w:rPr>
        <w:t>Ag. President</w:t>
      </w:r>
      <w:r>
        <w:rPr>
          <w:sz w:val="24"/>
          <w:lang w:val="en-US"/>
        </w:rPr>
        <w:t>. The</w:t>
      </w:r>
      <w:r w:rsidR="00054B4C">
        <w:rPr>
          <w:sz w:val="24"/>
          <w:lang w:val="en-US"/>
        </w:rPr>
        <w:t xml:space="preserve"> relevant aspect of the re</w:t>
      </w:r>
      <w:r w:rsidR="00E4397C">
        <w:rPr>
          <w:sz w:val="24"/>
          <w:lang w:val="en-US"/>
        </w:rPr>
        <w:t>ferral letter</w:t>
      </w:r>
      <w:r>
        <w:rPr>
          <w:sz w:val="24"/>
          <w:lang w:val="en-US"/>
        </w:rPr>
        <w:t xml:space="preserve"> </w:t>
      </w:r>
      <w:r w:rsidR="00011725">
        <w:rPr>
          <w:sz w:val="24"/>
          <w:lang w:val="en-US"/>
        </w:rPr>
        <w:t>read</w:t>
      </w:r>
      <w:r>
        <w:rPr>
          <w:sz w:val="24"/>
          <w:lang w:val="en-US"/>
        </w:rPr>
        <w:t>s as follows in relation to the report of the dispute:</w:t>
      </w:r>
    </w:p>
    <w:p w:rsidR="00E379C4" w:rsidRDefault="00E379C4" w:rsidP="00CD4E3B">
      <w:pPr>
        <w:spacing w:after="0"/>
        <w:jc w:val="both"/>
        <w:rPr>
          <w:sz w:val="24"/>
          <w:lang w:val="en-US"/>
        </w:rPr>
      </w:pPr>
    </w:p>
    <w:p w:rsidR="00E379C4" w:rsidRPr="009A76AA" w:rsidRDefault="00E379C4" w:rsidP="00CD4E3B">
      <w:pPr>
        <w:spacing w:after="0"/>
        <w:ind w:left="720" w:right="540"/>
        <w:jc w:val="both"/>
        <w:rPr>
          <w:i/>
          <w:sz w:val="28"/>
          <w:lang w:val="en-US"/>
        </w:rPr>
      </w:pPr>
      <w:r w:rsidRPr="009A76AA">
        <w:rPr>
          <w:i/>
          <w:lang w:val="en-US"/>
        </w:rPr>
        <w:t xml:space="preserve">On 28 October 2014, Mrs. Soopamah Veerasamy reported to the President of the Commission for Conciliation and Mediation the existence of a labour dispute between herself and the Mauritius Educational Development Company Ltd (MEDCO) in presence of the Private Secondary Schools Authority (PSSA) as per section 64(1) of the Employment Relations Act (Act No.32 of 2008) as amended.  </w:t>
      </w:r>
      <w:r w:rsidRPr="009A76AA">
        <w:rPr>
          <w:i/>
          <w:sz w:val="28"/>
          <w:lang w:val="en-US"/>
        </w:rPr>
        <w:t xml:space="preserve"> </w:t>
      </w:r>
    </w:p>
    <w:p w:rsidR="00E379C4" w:rsidRPr="00081CDA" w:rsidRDefault="00E379C4" w:rsidP="00CD4E3B">
      <w:pPr>
        <w:spacing w:after="0"/>
        <w:jc w:val="both"/>
        <w:rPr>
          <w:sz w:val="24"/>
          <w:lang w:val="en-US"/>
        </w:rPr>
      </w:pPr>
    </w:p>
    <w:p w:rsidR="00E379C4" w:rsidRPr="00081CDA" w:rsidRDefault="00E379C4" w:rsidP="00CD4E3B">
      <w:pPr>
        <w:spacing w:after="0"/>
        <w:jc w:val="both"/>
        <w:rPr>
          <w:sz w:val="24"/>
          <w:lang w:val="en-US"/>
        </w:rPr>
      </w:pPr>
      <w:r>
        <w:rPr>
          <w:lang w:val="en-US"/>
        </w:rPr>
        <w:tab/>
      </w:r>
    </w:p>
    <w:p w:rsidR="00E379C4" w:rsidRDefault="00E379C4" w:rsidP="00CD4E3B">
      <w:pPr>
        <w:spacing w:after="0"/>
        <w:jc w:val="both"/>
        <w:rPr>
          <w:sz w:val="24"/>
          <w:lang w:val="en-US"/>
        </w:rPr>
      </w:pPr>
      <w:r>
        <w:rPr>
          <w:lang w:val="en-US"/>
        </w:rPr>
        <w:tab/>
      </w:r>
      <w:r>
        <w:rPr>
          <w:sz w:val="24"/>
          <w:lang w:val="en-US"/>
        </w:rPr>
        <w:t xml:space="preserve">It is amply clear that the </w:t>
      </w:r>
      <w:r w:rsidR="004C6096">
        <w:rPr>
          <w:sz w:val="24"/>
          <w:lang w:val="en-US"/>
        </w:rPr>
        <w:t>matter</w:t>
      </w:r>
      <w:r>
        <w:rPr>
          <w:sz w:val="24"/>
          <w:lang w:val="en-US"/>
        </w:rPr>
        <w:t xml:space="preserve"> reported by the Disputant is in the nature of a labour dispute under the </w:t>
      </w:r>
      <w:r w:rsidRPr="00E9631E">
        <w:rPr>
          <w:i/>
          <w:sz w:val="24"/>
          <w:lang w:val="en-US"/>
        </w:rPr>
        <w:t>Act</w:t>
      </w:r>
      <w:r>
        <w:rPr>
          <w:sz w:val="24"/>
          <w:lang w:val="en-US"/>
        </w:rPr>
        <w:t>. The term</w:t>
      </w:r>
      <w:r w:rsidR="00204564">
        <w:rPr>
          <w:sz w:val="24"/>
          <w:lang w:val="en-US"/>
        </w:rPr>
        <w:t xml:space="preserve"> ‘labour dispute’</w:t>
      </w:r>
      <w:r>
        <w:rPr>
          <w:sz w:val="24"/>
          <w:lang w:val="en-US"/>
        </w:rPr>
        <w:t xml:space="preserve"> has been </w:t>
      </w:r>
      <w:r w:rsidR="005742A5">
        <w:rPr>
          <w:sz w:val="24"/>
          <w:lang w:val="en-US"/>
        </w:rPr>
        <w:t xml:space="preserve">defined </w:t>
      </w:r>
      <w:r>
        <w:rPr>
          <w:sz w:val="24"/>
          <w:lang w:val="en-US"/>
        </w:rPr>
        <w:t xml:space="preserve">under </w:t>
      </w:r>
      <w:r w:rsidRPr="006F21BA">
        <w:rPr>
          <w:i/>
          <w:sz w:val="24"/>
          <w:lang w:val="en-US"/>
        </w:rPr>
        <w:t>section 2</w:t>
      </w:r>
      <w:r>
        <w:rPr>
          <w:sz w:val="24"/>
          <w:lang w:val="en-US"/>
        </w:rPr>
        <w:t xml:space="preserve"> of the </w:t>
      </w:r>
      <w:r w:rsidRPr="006F21BA">
        <w:rPr>
          <w:i/>
          <w:sz w:val="24"/>
          <w:lang w:val="en-US"/>
        </w:rPr>
        <w:t>Act</w:t>
      </w:r>
      <w:r>
        <w:rPr>
          <w:sz w:val="24"/>
          <w:lang w:val="en-US"/>
        </w:rPr>
        <w:t>:</w:t>
      </w:r>
    </w:p>
    <w:p w:rsidR="00E379C4" w:rsidRDefault="00E379C4" w:rsidP="00CD4E3B">
      <w:pPr>
        <w:spacing w:after="0"/>
        <w:jc w:val="both"/>
        <w:rPr>
          <w:sz w:val="24"/>
          <w:lang w:val="en-US"/>
        </w:rPr>
      </w:pPr>
    </w:p>
    <w:p w:rsidR="00E379C4" w:rsidRPr="009A76AA" w:rsidRDefault="00E379C4" w:rsidP="00CD4E3B">
      <w:pPr>
        <w:autoSpaceDE w:val="0"/>
        <w:autoSpaceDN w:val="0"/>
        <w:adjustRightInd w:val="0"/>
        <w:spacing w:after="0"/>
        <w:rPr>
          <w:rFonts w:cs="Arial-BoldMT"/>
          <w:b/>
          <w:bCs/>
          <w:i/>
        </w:rPr>
      </w:pPr>
      <w:r>
        <w:rPr>
          <w:sz w:val="24"/>
          <w:lang w:val="en-US"/>
        </w:rPr>
        <w:tab/>
      </w:r>
      <w:r w:rsidRPr="009A76AA">
        <w:rPr>
          <w:rFonts w:cs="Arial-BoldMT"/>
          <w:b/>
          <w:bCs/>
          <w:i/>
        </w:rPr>
        <w:t xml:space="preserve">2. </w:t>
      </w:r>
      <w:r w:rsidRPr="009A76AA">
        <w:rPr>
          <w:rFonts w:cs="Arial-BoldMT"/>
          <w:b/>
          <w:bCs/>
          <w:i/>
        </w:rPr>
        <w:tab/>
        <w:t>Interpretation</w:t>
      </w:r>
    </w:p>
    <w:p w:rsidR="00E379C4" w:rsidRPr="009A76AA" w:rsidRDefault="00E379C4" w:rsidP="00CD4E3B">
      <w:pPr>
        <w:spacing w:after="0"/>
        <w:ind w:left="720" w:firstLine="720"/>
        <w:jc w:val="both"/>
        <w:rPr>
          <w:rFonts w:cs="ArialMT"/>
          <w:i/>
        </w:rPr>
      </w:pPr>
    </w:p>
    <w:p w:rsidR="00E379C4" w:rsidRPr="009A76AA" w:rsidRDefault="00E379C4" w:rsidP="00CD4E3B">
      <w:pPr>
        <w:spacing w:after="0"/>
        <w:ind w:left="720" w:firstLine="720"/>
        <w:jc w:val="both"/>
        <w:rPr>
          <w:i/>
          <w:lang w:val="en-US"/>
        </w:rPr>
      </w:pPr>
      <w:r w:rsidRPr="009A76AA">
        <w:rPr>
          <w:rFonts w:cs="ArialMT"/>
          <w:i/>
        </w:rPr>
        <w:t>In this Act, unless the context otherwise requires -</w:t>
      </w:r>
    </w:p>
    <w:p w:rsidR="00E379C4" w:rsidRPr="009A76AA" w:rsidRDefault="00E379C4" w:rsidP="00CD4E3B">
      <w:pPr>
        <w:autoSpaceDE w:val="0"/>
        <w:autoSpaceDN w:val="0"/>
        <w:adjustRightInd w:val="0"/>
        <w:spacing w:after="0"/>
        <w:jc w:val="both"/>
        <w:rPr>
          <w:lang w:val="en-US"/>
        </w:rPr>
      </w:pPr>
      <w:r w:rsidRPr="009A76AA">
        <w:rPr>
          <w:lang w:val="en-US"/>
        </w:rPr>
        <w:tab/>
        <w:t xml:space="preserve"> </w:t>
      </w:r>
      <w:r w:rsidRPr="009A76AA">
        <w:rPr>
          <w:lang w:val="en-US"/>
        </w:rPr>
        <w:tab/>
        <w:t>…</w:t>
      </w:r>
    </w:p>
    <w:p w:rsidR="00E379C4" w:rsidRPr="009A76AA" w:rsidRDefault="00E379C4" w:rsidP="00CD4E3B">
      <w:pPr>
        <w:autoSpaceDE w:val="0"/>
        <w:autoSpaceDN w:val="0"/>
        <w:adjustRightInd w:val="0"/>
        <w:spacing w:after="0"/>
        <w:ind w:left="720" w:firstLine="720"/>
        <w:jc w:val="both"/>
        <w:rPr>
          <w:rFonts w:cs="ArialMT"/>
          <w:i/>
        </w:rPr>
      </w:pPr>
      <w:r w:rsidRPr="009A76AA">
        <w:rPr>
          <w:rFonts w:cs="ArialMT"/>
          <w:i/>
        </w:rPr>
        <w:t>“labour dispute” –</w:t>
      </w:r>
    </w:p>
    <w:p w:rsidR="00E379C4" w:rsidRPr="009A76AA" w:rsidRDefault="00E379C4" w:rsidP="00CD4E3B">
      <w:pPr>
        <w:autoSpaceDE w:val="0"/>
        <w:autoSpaceDN w:val="0"/>
        <w:adjustRightInd w:val="0"/>
        <w:spacing w:after="0"/>
        <w:ind w:firstLine="720"/>
        <w:jc w:val="both"/>
        <w:rPr>
          <w:rFonts w:cs="ArialMT"/>
          <w:i/>
        </w:rPr>
      </w:pPr>
    </w:p>
    <w:p w:rsidR="00E379C4" w:rsidRPr="009A76AA" w:rsidRDefault="00E379C4" w:rsidP="00CD4E3B">
      <w:pPr>
        <w:pStyle w:val="ListParagraph"/>
        <w:numPr>
          <w:ilvl w:val="0"/>
          <w:numId w:val="3"/>
        </w:numPr>
        <w:autoSpaceDE w:val="0"/>
        <w:autoSpaceDN w:val="0"/>
        <w:adjustRightInd w:val="0"/>
        <w:spacing w:after="0"/>
        <w:ind w:left="2160" w:right="540"/>
        <w:jc w:val="both"/>
        <w:rPr>
          <w:rFonts w:cs="ArialMT"/>
          <w:i/>
        </w:rPr>
      </w:pPr>
      <w:r w:rsidRPr="009A76AA">
        <w:rPr>
          <w:rFonts w:cs="ArialMT"/>
          <w:i/>
        </w:rPr>
        <w:t>means a dispute between a worker, or a recognised trade union of workers, or a joint negotiating panel, and an employer which relates wholly or mainly to wages, terms and conditions of employment, promotion, allocation of work between workers and groups of workers, reinstatement or suspension of employment of a worker;</w:t>
      </w:r>
    </w:p>
    <w:p w:rsidR="00E379C4" w:rsidRPr="009A76AA" w:rsidRDefault="00E379C4" w:rsidP="00CD4E3B">
      <w:pPr>
        <w:autoSpaceDE w:val="0"/>
        <w:autoSpaceDN w:val="0"/>
        <w:adjustRightInd w:val="0"/>
        <w:spacing w:after="0"/>
        <w:ind w:left="720" w:firstLine="720"/>
        <w:jc w:val="both"/>
        <w:rPr>
          <w:rFonts w:cs="ArialMT"/>
          <w:i/>
        </w:rPr>
      </w:pPr>
    </w:p>
    <w:p w:rsidR="00E379C4" w:rsidRPr="009A76AA" w:rsidRDefault="00E379C4" w:rsidP="00CD4E3B">
      <w:pPr>
        <w:autoSpaceDE w:val="0"/>
        <w:autoSpaceDN w:val="0"/>
        <w:adjustRightInd w:val="0"/>
        <w:spacing w:after="0"/>
        <w:ind w:left="2160" w:right="540" w:hanging="360"/>
        <w:jc w:val="both"/>
        <w:rPr>
          <w:rFonts w:cs="ArialMT"/>
          <w:i/>
        </w:rPr>
      </w:pPr>
      <w:r w:rsidRPr="009A76AA">
        <w:rPr>
          <w:rFonts w:cs="ArialMT"/>
          <w:i/>
        </w:rPr>
        <w:t xml:space="preserve">(b) </w:t>
      </w:r>
      <w:r w:rsidRPr="009A76AA">
        <w:rPr>
          <w:rFonts w:cs="ArialMT"/>
          <w:i/>
        </w:rPr>
        <w:tab/>
        <w:t>does not, notwithstanding any other enactment, include a dispute by a worker made as a result of the exercise by him of an option to be governed by the recommendations made in a report of the Pay Research Bureau or a salary commission, by whatever name called, in relation to remuneration or allowances of any kind;</w:t>
      </w:r>
    </w:p>
    <w:p w:rsidR="00E379C4" w:rsidRPr="009A76AA" w:rsidRDefault="00E379C4" w:rsidP="00CD4E3B">
      <w:pPr>
        <w:autoSpaceDE w:val="0"/>
        <w:autoSpaceDN w:val="0"/>
        <w:adjustRightInd w:val="0"/>
        <w:spacing w:after="0"/>
        <w:jc w:val="both"/>
        <w:rPr>
          <w:rFonts w:cs="ArialMT"/>
          <w:i/>
        </w:rPr>
      </w:pPr>
    </w:p>
    <w:p w:rsidR="00081CDA" w:rsidRDefault="00E379C4" w:rsidP="00CD4E3B">
      <w:pPr>
        <w:autoSpaceDE w:val="0"/>
        <w:autoSpaceDN w:val="0"/>
        <w:adjustRightInd w:val="0"/>
        <w:spacing w:after="0"/>
        <w:ind w:left="2160" w:right="540" w:hanging="360"/>
        <w:jc w:val="both"/>
        <w:rPr>
          <w:rFonts w:cs="ArialMT"/>
          <w:i/>
        </w:rPr>
      </w:pPr>
      <w:r w:rsidRPr="009A76AA">
        <w:rPr>
          <w:rFonts w:cs="ArialMT"/>
          <w:i/>
        </w:rPr>
        <w:t xml:space="preserve">(c) </w:t>
      </w:r>
      <w:r w:rsidRPr="009A76AA">
        <w:rPr>
          <w:rFonts w:cs="ArialMT"/>
          <w:i/>
        </w:rPr>
        <w:tab/>
      </w:r>
      <w:r w:rsidRPr="009A76AA">
        <w:rPr>
          <w:rFonts w:cs="ArialMT"/>
          <w:i/>
          <w:u w:val="single"/>
        </w:rPr>
        <w:t>does not include a dispute that is reported more than 3 years after the act or omission that gave rise to the dispute</w:t>
      </w:r>
      <w:r w:rsidRPr="009A76AA">
        <w:rPr>
          <w:rFonts w:cs="ArialMT"/>
          <w:i/>
        </w:rPr>
        <w:t>;</w:t>
      </w:r>
    </w:p>
    <w:p w:rsidR="00CD4E3B" w:rsidRDefault="00CD4E3B" w:rsidP="00CD4E3B">
      <w:pPr>
        <w:autoSpaceDE w:val="0"/>
        <w:autoSpaceDN w:val="0"/>
        <w:adjustRightInd w:val="0"/>
        <w:spacing w:after="0"/>
        <w:ind w:left="2160" w:right="540" w:hanging="360"/>
        <w:jc w:val="both"/>
        <w:rPr>
          <w:lang w:val="en-US"/>
        </w:rPr>
      </w:pPr>
    </w:p>
    <w:p w:rsidR="005C5E28" w:rsidRPr="00081CDA" w:rsidRDefault="005C5E28" w:rsidP="00CD4E3B">
      <w:pPr>
        <w:autoSpaceDE w:val="0"/>
        <w:autoSpaceDN w:val="0"/>
        <w:adjustRightInd w:val="0"/>
        <w:spacing w:after="0"/>
        <w:ind w:left="2160" w:right="540" w:hanging="360"/>
        <w:jc w:val="both"/>
        <w:rPr>
          <w:rFonts w:cs="ArialMT"/>
          <w:i/>
        </w:rPr>
      </w:pPr>
      <w:r w:rsidRPr="009A76AA">
        <w:rPr>
          <w:lang w:val="en-US"/>
        </w:rPr>
        <w:t>(The underlining is ours)</w:t>
      </w:r>
    </w:p>
    <w:p w:rsidR="00E379C4" w:rsidRPr="00205DC3" w:rsidRDefault="00E379C4"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jc w:val="both"/>
        <w:rPr>
          <w:rFonts w:cs="ArialMT"/>
          <w:sz w:val="24"/>
        </w:rPr>
      </w:pPr>
      <w:r>
        <w:rPr>
          <w:rFonts w:cs="ArialMT"/>
          <w:sz w:val="24"/>
        </w:rPr>
        <w:tab/>
      </w:r>
    </w:p>
    <w:p w:rsidR="00E379C4" w:rsidRDefault="00E379C4" w:rsidP="00CD4E3B">
      <w:pPr>
        <w:autoSpaceDE w:val="0"/>
        <w:autoSpaceDN w:val="0"/>
        <w:adjustRightInd w:val="0"/>
        <w:spacing w:after="0"/>
        <w:jc w:val="both"/>
        <w:rPr>
          <w:rFonts w:cs="ArialMT"/>
          <w:sz w:val="24"/>
        </w:rPr>
      </w:pPr>
      <w:r>
        <w:rPr>
          <w:rFonts w:cs="ArialMT"/>
          <w:sz w:val="24"/>
        </w:rPr>
        <w:tab/>
      </w:r>
      <w:r w:rsidR="00325FE4">
        <w:rPr>
          <w:rFonts w:cs="ArialMT"/>
          <w:sz w:val="24"/>
        </w:rPr>
        <w:t>For the purpose of the present arguments, i</w:t>
      </w:r>
      <w:r>
        <w:rPr>
          <w:rFonts w:cs="ArialMT"/>
          <w:sz w:val="24"/>
        </w:rPr>
        <w:t>t is apposite t</w:t>
      </w:r>
      <w:r w:rsidR="00F84A6C">
        <w:rPr>
          <w:rFonts w:cs="ArialMT"/>
          <w:sz w:val="24"/>
        </w:rPr>
        <w:t>o</w:t>
      </w:r>
      <w:r>
        <w:rPr>
          <w:rFonts w:cs="ArialMT"/>
          <w:sz w:val="24"/>
        </w:rPr>
        <w:t xml:space="preserve"> note that the meaning of a labour dispute has expressly excluded a dispute reported more than three years. This limitation period of three years</w:t>
      </w:r>
      <w:r w:rsidR="00200985">
        <w:rPr>
          <w:rFonts w:cs="ArialMT"/>
          <w:sz w:val="24"/>
        </w:rPr>
        <w:t xml:space="preserve"> to report a labour dispute as from the act or omission </w:t>
      </w:r>
      <w:r w:rsidR="00E873ED">
        <w:rPr>
          <w:rFonts w:cs="ArialMT"/>
          <w:sz w:val="24"/>
        </w:rPr>
        <w:t xml:space="preserve">which </w:t>
      </w:r>
      <w:r w:rsidR="00200985">
        <w:rPr>
          <w:rFonts w:cs="ArialMT"/>
          <w:sz w:val="24"/>
        </w:rPr>
        <w:t>g</w:t>
      </w:r>
      <w:r w:rsidR="00E873ED">
        <w:rPr>
          <w:rFonts w:cs="ArialMT"/>
          <w:sz w:val="24"/>
        </w:rPr>
        <w:t>ave</w:t>
      </w:r>
      <w:r>
        <w:rPr>
          <w:rFonts w:cs="ArialMT"/>
          <w:sz w:val="24"/>
        </w:rPr>
        <w:t xml:space="preserve"> rise to </w:t>
      </w:r>
      <w:r w:rsidR="00200985">
        <w:rPr>
          <w:rFonts w:cs="ArialMT"/>
          <w:sz w:val="24"/>
        </w:rPr>
        <w:t>it</w:t>
      </w:r>
      <w:r>
        <w:rPr>
          <w:rFonts w:cs="ArialMT"/>
          <w:sz w:val="24"/>
        </w:rPr>
        <w:t xml:space="preserve"> must be given its proper purpose.    </w:t>
      </w:r>
    </w:p>
    <w:p w:rsidR="00E379C4" w:rsidRDefault="00E379C4"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jc w:val="both"/>
        <w:rPr>
          <w:rFonts w:cs="ArialMT"/>
          <w:sz w:val="24"/>
        </w:rPr>
      </w:pPr>
      <w:r>
        <w:rPr>
          <w:rFonts w:cs="ArialMT"/>
          <w:sz w:val="24"/>
        </w:rPr>
        <w:tab/>
        <w:t xml:space="preserve">In </w:t>
      </w:r>
      <w:r w:rsidRPr="00D770FF">
        <w:rPr>
          <w:rFonts w:cs="ArialMT"/>
          <w:i/>
          <w:sz w:val="24"/>
        </w:rPr>
        <w:t>Donovan v Gwentoys Ltd [1990] 1</w:t>
      </w:r>
      <w:r>
        <w:rPr>
          <w:rFonts w:cs="ArialMT"/>
          <w:i/>
          <w:sz w:val="24"/>
        </w:rPr>
        <w:t xml:space="preserve"> </w:t>
      </w:r>
      <w:r w:rsidRPr="00D770FF">
        <w:rPr>
          <w:rFonts w:cs="ArialMT"/>
          <w:i/>
          <w:sz w:val="24"/>
        </w:rPr>
        <w:t>WLR 472</w:t>
      </w:r>
      <w:r>
        <w:rPr>
          <w:rFonts w:cs="ArialMT"/>
          <w:sz w:val="24"/>
        </w:rPr>
        <w:t xml:space="preserve">, as has been cited by </w:t>
      </w:r>
      <w:r w:rsidRPr="00D770FF">
        <w:rPr>
          <w:rFonts w:cs="ArialMT"/>
          <w:i/>
          <w:sz w:val="24"/>
        </w:rPr>
        <w:t>S. Sime</w:t>
      </w:r>
      <w:r>
        <w:rPr>
          <w:rFonts w:cs="ArialMT"/>
          <w:sz w:val="24"/>
        </w:rPr>
        <w:t xml:space="preserve"> in </w:t>
      </w:r>
      <w:r w:rsidRPr="00D770FF">
        <w:rPr>
          <w:rFonts w:cs="ArialMT"/>
          <w:i/>
          <w:sz w:val="24"/>
        </w:rPr>
        <w:t>A Practical Approach to Civil Procedure</w:t>
      </w:r>
      <w:r>
        <w:rPr>
          <w:rFonts w:cs="ArialMT"/>
          <w:sz w:val="24"/>
        </w:rPr>
        <w:t xml:space="preserve">, </w:t>
      </w:r>
      <w:r w:rsidRPr="00D770FF">
        <w:rPr>
          <w:rFonts w:cs="ArialMT"/>
          <w:i/>
          <w:sz w:val="24"/>
        </w:rPr>
        <w:t>3</w:t>
      </w:r>
      <w:r w:rsidRPr="00D770FF">
        <w:rPr>
          <w:rFonts w:cs="ArialMT"/>
          <w:i/>
          <w:sz w:val="24"/>
          <w:vertAlign w:val="superscript"/>
        </w:rPr>
        <w:t>rd</w:t>
      </w:r>
      <w:r w:rsidRPr="00D770FF">
        <w:rPr>
          <w:rFonts w:cs="ArialMT"/>
          <w:i/>
          <w:sz w:val="24"/>
        </w:rPr>
        <w:t xml:space="preserve"> edition</w:t>
      </w:r>
      <w:r>
        <w:rPr>
          <w:rFonts w:cs="ArialMT"/>
          <w:sz w:val="24"/>
        </w:rPr>
        <w:t>, Lord Griffiths stated the following in relation to the purpose of a limitation period:</w:t>
      </w:r>
    </w:p>
    <w:p w:rsidR="00E379C4" w:rsidRDefault="00E379C4" w:rsidP="00CD4E3B">
      <w:pPr>
        <w:autoSpaceDE w:val="0"/>
        <w:autoSpaceDN w:val="0"/>
        <w:adjustRightInd w:val="0"/>
        <w:spacing w:after="0"/>
        <w:jc w:val="both"/>
        <w:rPr>
          <w:rFonts w:cs="ArialMT"/>
          <w:sz w:val="24"/>
        </w:rPr>
      </w:pPr>
    </w:p>
    <w:p w:rsidR="00E379C4" w:rsidRPr="009A76AA" w:rsidRDefault="00E379C4" w:rsidP="00CD4E3B">
      <w:pPr>
        <w:autoSpaceDE w:val="0"/>
        <w:autoSpaceDN w:val="0"/>
        <w:adjustRightInd w:val="0"/>
        <w:spacing w:after="0"/>
        <w:ind w:left="720" w:right="540"/>
        <w:jc w:val="both"/>
        <w:rPr>
          <w:rFonts w:cs="ArialMT"/>
        </w:rPr>
      </w:pPr>
      <w:r w:rsidRPr="009A76AA">
        <w:rPr>
          <w:rFonts w:cs="ArialMT"/>
          <w:i/>
        </w:rPr>
        <w:t>The primary purpose of the limitation period is to protect a defendant from the injustice of having to face a stale claim, that is a claim with which he never expected to have to deal</w:t>
      </w:r>
      <w:r w:rsidRPr="009A76AA">
        <w:rPr>
          <w:rFonts w:cs="ArialMT"/>
        </w:rPr>
        <w:t>.</w:t>
      </w:r>
    </w:p>
    <w:p w:rsidR="00E379C4" w:rsidRDefault="00E379C4"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jc w:val="both"/>
        <w:rPr>
          <w:rFonts w:cs="ArialMT"/>
          <w:sz w:val="24"/>
        </w:rPr>
      </w:pPr>
      <w:r>
        <w:rPr>
          <w:rFonts w:cs="ArialMT"/>
          <w:sz w:val="24"/>
        </w:rPr>
        <w:tab/>
        <w:t xml:space="preserve">It would also be pertinent to note the comments of </w:t>
      </w:r>
      <w:r w:rsidRPr="00D770FF">
        <w:rPr>
          <w:rFonts w:cs="ArialMT"/>
          <w:i/>
          <w:sz w:val="24"/>
        </w:rPr>
        <w:t>S. Sime</w:t>
      </w:r>
      <w:r>
        <w:rPr>
          <w:rFonts w:cs="ArialMT"/>
          <w:i/>
          <w:sz w:val="24"/>
        </w:rPr>
        <w:t xml:space="preserve"> (supra)</w:t>
      </w:r>
      <w:r>
        <w:rPr>
          <w:rFonts w:cs="ArialMT"/>
          <w:sz w:val="24"/>
        </w:rPr>
        <w:t xml:space="preserve"> on the nature of a limitation period:</w:t>
      </w:r>
    </w:p>
    <w:p w:rsidR="00E379C4" w:rsidRDefault="00E379C4" w:rsidP="00CD4E3B">
      <w:pPr>
        <w:autoSpaceDE w:val="0"/>
        <w:autoSpaceDN w:val="0"/>
        <w:adjustRightInd w:val="0"/>
        <w:spacing w:after="0"/>
        <w:jc w:val="both"/>
        <w:rPr>
          <w:rFonts w:cs="ArialMT"/>
          <w:sz w:val="24"/>
        </w:rPr>
      </w:pPr>
    </w:p>
    <w:p w:rsidR="00F20334" w:rsidRPr="009A76AA" w:rsidRDefault="00E379C4" w:rsidP="00CD4E3B">
      <w:pPr>
        <w:autoSpaceDE w:val="0"/>
        <w:autoSpaceDN w:val="0"/>
        <w:adjustRightInd w:val="0"/>
        <w:spacing w:after="0"/>
        <w:ind w:left="720" w:right="540"/>
        <w:jc w:val="both"/>
        <w:rPr>
          <w:rFonts w:cs="ArialMT"/>
          <w:i/>
        </w:rPr>
      </w:pPr>
      <w:r w:rsidRPr="009A76AA">
        <w:rPr>
          <w:rFonts w:cs="ArialMT"/>
          <w:i/>
        </w:rPr>
        <w:t xml:space="preserve">Expiry of a limitation period provides a defendant with a complete defence to an action. </w:t>
      </w:r>
    </w:p>
    <w:p w:rsidR="00F20334" w:rsidRPr="009A76AA" w:rsidRDefault="00F20334" w:rsidP="00CD4E3B">
      <w:pPr>
        <w:autoSpaceDE w:val="0"/>
        <w:autoSpaceDN w:val="0"/>
        <w:adjustRightInd w:val="0"/>
        <w:spacing w:after="0"/>
        <w:ind w:left="720" w:right="540"/>
        <w:jc w:val="both"/>
        <w:rPr>
          <w:rFonts w:cs="ArialMT"/>
          <w:i/>
        </w:rPr>
      </w:pPr>
    </w:p>
    <w:p w:rsidR="00E379C4" w:rsidRPr="009A76AA" w:rsidRDefault="00E379C4" w:rsidP="00CD4E3B">
      <w:pPr>
        <w:autoSpaceDE w:val="0"/>
        <w:autoSpaceDN w:val="0"/>
        <w:adjustRightInd w:val="0"/>
        <w:spacing w:after="0"/>
        <w:ind w:left="720" w:right="540"/>
        <w:jc w:val="both"/>
        <w:rPr>
          <w:rFonts w:cs="ArialMT"/>
          <w:i/>
        </w:rPr>
      </w:pPr>
      <w:r w:rsidRPr="009A76AA">
        <w:rPr>
          <w:rFonts w:cs="ArialMT"/>
          <w:i/>
        </w:rPr>
        <w:t xml:space="preserve">If a claim is brought a long period after the events in question, the likelihood is that evidence which may have been available earlier may have been lost, and the memories of witnesses who may still be available will inevitably have faded or become confused. Further, it is contrary to general policy to keep people perpetually at risk. </w:t>
      </w:r>
    </w:p>
    <w:p w:rsidR="00E379C4" w:rsidRDefault="00E379C4" w:rsidP="00CD4E3B">
      <w:pPr>
        <w:autoSpaceDE w:val="0"/>
        <w:autoSpaceDN w:val="0"/>
        <w:adjustRightInd w:val="0"/>
        <w:spacing w:after="0"/>
        <w:jc w:val="both"/>
        <w:rPr>
          <w:rFonts w:cs="ArialMT"/>
          <w:sz w:val="24"/>
        </w:rPr>
      </w:pPr>
    </w:p>
    <w:p w:rsidR="00103C82" w:rsidRDefault="00103C82" w:rsidP="00CD4E3B">
      <w:pPr>
        <w:autoSpaceDE w:val="0"/>
        <w:autoSpaceDN w:val="0"/>
        <w:adjustRightInd w:val="0"/>
        <w:spacing w:after="0"/>
        <w:jc w:val="both"/>
        <w:rPr>
          <w:rFonts w:cs="ArialMT"/>
          <w:sz w:val="24"/>
        </w:rPr>
      </w:pPr>
    </w:p>
    <w:p w:rsidR="00103C82" w:rsidRDefault="00103C82" w:rsidP="00CD4E3B">
      <w:pPr>
        <w:autoSpaceDE w:val="0"/>
        <w:autoSpaceDN w:val="0"/>
        <w:adjustRightInd w:val="0"/>
        <w:spacing w:after="0"/>
        <w:jc w:val="both"/>
        <w:rPr>
          <w:rFonts w:cs="ArialMT"/>
          <w:sz w:val="24"/>
        </w:rPr>
      </w:pPr>
      <w:r>
        <w:rPr>
          <w:rFonts w:cs="ArialMT"/>
          <w:sz w:val="24"/>
        </w:rPr>
        <w:tab/>
        <w:t>Likewise, the following may be noted from</w:t>
      </w:r>
      <w:r w:rsidR="002845AC">
        <w:rPr>
          <w:rFonts w:cs="ArialMT"/>
          <w:sz w:val="24"/>
        </w:rPr>
        <w:t xml:space="preserve"> </w:t>
      </w:r>
      <w:r w:rsidR="002845AC" w:rsidRPr="002845AC">
        <w:rPr>
          <w:rFonts w:cs="ArialMT"/>
          <w:i/>
          <w:sz w:val="24"/>
        </w:rPr>
        <w:t>Prescription Extinctive</w:t>
      </w:r>
      <w:r w:rsidR="002845AC">
        <w:rPr>
          <w:rFonts w:cs="ArialMT"/>
          <w:sz w:val="24"/>
        </w:rPr>
        <w:t xml:space="preserve"> </w:t>
      </w:r>
      <w:r w:rsidR="00BE38F5">
        <w:rPr>
          <w:rFonts w:cs="ArialMT"/>
          <w:sz w:val="24"/>
        </w:rPr>
        <w:t>in</w:t>
      </w:r>
      <w:r>
        <w:rPr>
          <w:rFonts w:cs="ArialMT"/>
          <w:sz w:val="24"/>
        </w:rPr>
        <w:t xml:space="preserve"> </w:t>
      </w:r>
      <w:r w:rsidRPr="00103C82">
        <w:rPr>
          <w:rFonts w:cs="ArialMT"/>
          <w:i/>
          <w:sz w:val="24"/>
        </w:rPr>
        <w:t>Dalloz</w:t>
      </w:r>
      <w:r>
        <w:rPr>
          <w:rFonts w:cs="ArialMT"/>
          <w:sz w:val="24"/>
        </w:rPr>
        <w:t xml:space="preserve"> </w:t>
      </w:r>
      <w:r w:rsidRPr="00103C82">
        <w:rPr>
          <w:rFonts w:cs="ArialMT"/>
          <w:i/>
          <w:sz w:val="24"/>
        </w:rPr>
        <w:t>Répertoire de Droit Civil</w:t>
      </w:r>
      <w:r>
        <w:rPr>
          <w:rFonts w:cs="ArialMT"/>
          <w:sz w:val="24"/>
        </w:rPr>
        <w:t xml:space="preserve">, </w:t>
      </w:r>
      <w:r w:rsidRPr="00103C82">
        <w:rPr>
          <w:rFonts w:cs="ArialMT"/>
          <w:i/>
          <w:sz w:val="24"/>
        </w:rPr>
        <w:t>Tome IX</w:t>
      </w:r>
      <w:r>
        <w:rPr>
          <w:rFonts w:cs="ArialMT"/>
          <w:sz w:val="24"/>
        </w:rPr>
        <w:t xml:space="preserve"> on the nature</w:t>
      </w:r>
      <w:r w:rsidR="00F20334">
        <w:rPr>
          <w:rFonts w:cs="ArialMT"/>
          <w:sz w:val="24"/>
        </w:rPr>
        <w:t xml:space="preserve"> and basis</w:t>
      </w:r>
      <w:r>
        <w:rPr>
          <w:rFonts w:cs="ArialMT"/>
          <w:sz w:val="24"/>
        </w:rPr>
        <w:t xml:space="preserve"> of the ‘</w:t>
      </w:r>
      <w:r w:rsidRPr="00103C82">
        <w:rPr>
          <w:rFonts w:cs="ArialMT"/>
          <w:i/>
          <w:sz w:val="24"/>
        </w:rPr>
        <w:t>prescription extinctive</w:t>
      </w:r>
      <w:r>
        <w:rPr>
          <w:rFonts w:cs="ArialMT"/>
          <w:sz w:val="24"/>
        </w:rPr>
        <w:t xml:space="preserve">’ which is to be found in the </w:t>
      </w:r>
      <w:r w:rsidRPr="00103C82">
        <w:rPr>
          <w:rFonts w:cs="ArialMT"/>
          <w:i/>
          <w:sz w:val="24"/>
        </w:rPr>
        <w:t>Titre Vingtième</w:t>
      </w:r>
      <w:r w:rsidR="002845AC" w:rsidRPr="002845AC">
        <w:rPr>
          <w:rFonts w:cs="ArialMT"/>
          <w:sz w:val="24"/>
        </w:rPr>
        <w:t>,</w:t>
      </w:r>
      <w:r w:rsidR="002845AC">
        <w:rPr>
          <w:rFonts w:cs="ArialMT"/>
          <w:i/>
          <w:sz w:val="24"/>
        </w:rPr>
        <w:t xml:space="preserve"> Chapitre Cinquième</w:t>
      </w:r>
      <w:r w:rsidR="002845AC">
        <w:rPr>
          <w:rFonts w:cs="ArialMT"/>
          <w:sz w:val="24"/>
        </w:rPr>
        <w:t xml:space="preserve">, </w:t>
      </w:r>
      <w:r w:rsidR="002845AC" w:rsidRPr="002845AC">
        <w:rPr>
          <w:rFonts w:cs="ArialMT"/>
          <w:i/>
          <w:sz w:val="24"/>
        </w:rPr>
        <w:t>Section Troisième</w:t>
      </w:r>
      <w:r>
        <w:rPr>
          <w:rFonts w:cs="ArialMT"/>
          <w:sz w:val="24"/>
        </w:rPr>
        <w:t xml:space="preserve"> of </w:t>
      </w:r>
      <w:r w:rsidR="00AD448D">
        <w:rPr>
          <w:rFonts w:cs="ArialMT"/>
          <w:sz w:val="24"/>
        </w:rPr>
        <w:t>the</w:t>
      </w:r>
      <w:r>
        <w:rPr>
          <w:rFonts w:cs="ArialMT"/>
          <w:sz w:val="24"/>
        </w:rPr>
        <w:t xml:space="preserve"> </w:t>
      </w:r>
      <w:r w:rsidRPr="00103C82">
        <w:rPr>
          <w:rFonts w:cs="ArialMT"/>
          <w:i/>
          <w:sz w:val="24"/>
        </w:rPr>
        <w:t>Code Civil Mauricien</w:t>
      </w:r>
      <w:r>
        <w:rPr>
          <w:rFonts w:cs="ArialMT"/>
          <w:sz w:val="24"/>
        </w:rPr>
        <w:t>:</w:t>
      </w:r>
    </w:p>
    <w:p w:rsidR="00103C82" w:rsidRDefault="00103C82" w:rsidP="00CD4E3B">
      <w:pPr>
        <w:autoSpaceDE w:val="0"/>
        <w:autoSpaceDN w:val="0"/>
        <w:adjustRightInd w:val="0"/>
        <w:spacing w:after="0"/>
        <w:jc w:val="both"/>
        <w:rPr>
          <w:rFonts w:cs="ArialMT"/>
          <w:sz w:val="24"/>
        </w:rPr>
      </w:pPr>
    </w:p>
    <w:p w:rsidR="00103C82" w:rsidRDefault="00103C82" w:rsidP="00CD4E3B">
      <w:pPr>
        <w:autoSpaceDE w:val="0"/>
        <w:autoSpaceDN w:val="0"/>
        <w:adjustRightInd w:val="0"/>
        <w:spacing w:after="0"/>
        <w:ind w:left="720" w:right="540"/>
        <w:jc w:val="both"/>
        <w:rPr>
          <w:rFonts w:cs="ArialMT"/>
          <w:i/>
          <w:sz w:val="24"/>
          <w:lang w:val="fr-FR"/>
        </w:rPr>
      </w:pPr>
      <w:r w:rsidRPr="009A76AA">
        <w:rPr>
          <w:rFonts w:cs="ArialMT"/>
          <w:i/>
          <w:lang w:val="fr-FR"/>
        </w:rPr>
        <w:t>Elle résulte du non-exercice des droits par leurs titulaires, pendant un certain délai. L’extinction du droit se manifeste par la perte de l’action en justice contre laquelle une exception peut alors être opposée. Elle se justifie par l’intérêt d’ordre public et de sécurité juridique qu’il y a d’</w:t>
      </w:r>
      <w:r w:rsidR="0000779B" w:rsidRPr="009A76AA">
        <w:rPr>
          <w:rFonts w:cs="ArialMT"/>
          <w:i/>
          <w:lang w:val="fr-FR"/>
        </w:rPr>
        <w:t>empêcher</w:t>
      </w:r>
      <w:r w:rsidRPr="009A76AA">
        <w:rPr>
          <w:rFonts w:cs="ArialMT"/>
          <w:i/>
          <w:lang w:val="fr-FR"/>
        </w:rPr>
        <w:t xml:space="preserve"> des </w:t>
      </w:r>
      <w:r w:rsidR="0000779B" w:rsidRPr="009A76AA">
        <w:rPr>
          <w:rFonts w:cs="ArialMT"/>
          <w:i/>
          <w:lang w:val="fr-FR"/>
        </w:rPr>
        <w:t>procès</w:t>
      </w:r>
      <w:r w:rsidRPr="009A76AA">
        <w:rPr>
          <w:rFonts w:cs="ArialMT"/>
          <w:i/>
          <w:lang w:val="fr-FR"/>
        </w:rPr>
        <w:t xml:space="preserve"> devenus difficiles à juger ou inopportuns</w:t>
      </w:r>
      <w:r w:rsidR="0000779B" w:rsidRPr="009A76AA">
        <w:rPr>
          <w:rFonts w:cs="ArialMT"/>
          <w:i/>
          <w:lang w:val="fr-FR"/>
        </w:rPr>
        <w:t xml:space="preserve"> par suite du temps écoulé, alors que, par ailleurs, l’inaction</w:t>
      </w:r>
      <w:r w:rsidRPr="009A76AA">
        <w:rPr>
          <w:rFonts w:cs="ArialMT"/>
          <w:i/>
          <w:lang w:val="fr-FR"/>
        </w:rPr>
        <w:t xml:space="preserve"> </w:t>
      </w:r>
      <w:r w:rsidR="0000779B" w:rsidRPr="009A76AA">
        <w:rPr>
          <w:rFonts w:cs="ArialMT"/>
          <w:i/>
          <w:lang w:val="fr-FR"/>
        </w:rPr>
        <w:t>prolongée du titulaire du dr</w:t>
      </w:r>
      <w:r w:rsidRPr="009A76AA">
        <w:rPr>
          <w:rFonts w:cs="ArialMT"/>
          <w:i/>
          <w:lang w:val="fr-FR"/>
        </w:rPr>
        <w:t>o</w:t>
      </w:r>
      <w:r w:rsidR="0000779B" w:rsidRPr="009A76AA">
        <w:rPr>
          <w:rFonts w:cs="ArialMT"/>
          <w:i/>
          <w:lang w:val="fr-FR"/>
        </w:rPr>
        <w:t>i</w:t>
      </w:r>
      <w:r w:rsidRPr="009A76AA">
        <w:rPr>
          <w:rFonts w:cs="ArialMT"/>
          <w:i/>
          <w:lang w:val="fr-FR"/>
        </w:rPr>
        <w:t xml:space="preserve">t constitue une </w:t>
      </w:r>
      <w:r w:rsidR="0000779B" w:rsidRPr="009A76AA">
        <w:rPr>
          <w:rFonts w:cs="ArialMT"/>
          <w:i/>
          <w:lang w:val="fr-FR"/>
        </w:rPr>
        <w:t>négligence</w:t>
      </w:r>
      <w:r w:rsidRPr="009A76AA">
        <w:rPr>
          <w:rFonts w:cs="ArialMT"/>
          <w:i/>
          <w:lang w:val="fr-FR"/>
        </w:rPr>
        <w:t xml:space="preserve"> grave</w:t>
      </w:r>
      <w:r w:rsidR="0000779B" w:rsidRPr="009A76AA">
        <w:rPr>
          <w:rFonts w:cs="ArialMT"/>
          <w:i/>
          <w:lang w:val="fr-FR"/>
        </w:rPr>
        <w:t xml:space="preserve">. </w:t>
      </w:r>
      <w:r w:rsidRPr="002845AC">
        <w:rPr>
          <w:rFonts w:cs="ArialMT"/>
          <w:i/>
          <w:sz w:val="20"/>
          <w:lang w:val="fr-FR"/>
        </w:rPr>
        <w:t xml:space="preserve">    </w:t>
      </w:r>
    </w:p>
    <w:p w:rsidR="009A76AA" w:rsidRPr="009A76AA" w:rsidRDefault="009A76AA" w:rsidP="00CD4E3B">
      <w:pPr>
        <w:autoSpaceDE w:val="0"/>
        <w:autoSpaceDN w:val="0"/>
        <w:adjustRightInd w:val="0"/>
        <w:spacing w:after="0"/>
        <w:ind w:right="540"/>
        <w:jc w:val="both"/>
        <w:rPr>
          <w:rFonts w:cs="ArialMT"/>
          <w:sz w:val="24"/>
          <w:lang w:val="fr-FR"/>
        </w:rPr>
      </w:pPr>
    </w:p>
    <w:p w:rsidR="00E379C4" w:rsidRDefault="00E379C4" w:rsidP="00CD4E3B">
      <w:pPr>
        <w:autoSpaceDE w:val="0"/>
        <w:autoSpaceDN w:val="0"/>
        <w:adjustRightInd w:val="0"/>
        <w:spacing w:after="0"/>
        <w:jc w:val="both"/>
        <w:rPr>
          <w:rFonts w:cs="ArialMT"/>
          <w:sz w:val="24"/>
          <w:lang w:val="fr-FR"/>
        </w:rPr>
      </w:pPr>
    </w:p>
    <w:p w:rsidR="00351784" w:rsidRPr="00351784" w:rsidRDefault="00351784" w:rsidP="00CD4E3B">
      <w:pPr>
        <w:autoSpaceDE w:val="0"/>
        <w:autoSpaceDN w:val="0"/>
        <w:adjustRightInd w:val="0"/>
        <w:spacing w:after="0"/>
        <w:jc w:val="both"/>
        <w:rPr>
          <w:rFonts w:cs="ArialMT"/>
          <w:sz w:val="24"/>
        </w:rPr>
      </w:pPr>
      <w:r>
        <w:rPr>
          <w:rFonts w:cs="ArialMT"/>
          <w:sz w:val="24"/>
          <w:lang w:val="fr-FR"/>
        </w:rPr>
        <w:tab/>
      </w:r>
      <w:r w:rsidRPr="00351784">
        <w:rPr>
          <w:rFonts w:cs="ArialMT"/>
          <w:sz w:val="24"/>
        </w:rPr>
        <w:t xml:space="preserve">It may also be noted that </w:t>
      </w:r>
      <w:r w:rsidRPr="00351784">
        <w:rPr>
          <w:rFonts w:cs="ArialMT"/>
          <w:i/>
          <w:sz w:val="24"/>
        </w:rPr>
        <w:t>Article 2219</w:t>
      </w:r>
      <w:r w:rsidRPr="00351784">
        <w:rPr>
          <w:rFonts w:cs="ArialMT"/>
          <w:sz w:val="24"/>
        </w:rPr>
        <w:t xml:space="preserve"> of the </w:t>
      </w:r>
      <w:r w:rsidRPr="00351784">
        <w:rPr>
          <w:rFonts w:cs="ArialMT"/>
          <w:i/>
          <w:sz w:val="24"/>
        </w:rPr>
        <w:t>Code Civil Mauricien</w:t>
      </w:r>
      <w:r>
        <w:rPr>
          <w:rFonts w:cs="ArialMT"/>
          <w:sz w:val="24"/>
        </w:rPr>
        <w:t xml:space="preserve"> defines a</w:t>
      </w:r>
      <w:r w:rsidRPr="00351784">
        <w:rPr>
          <w:rFonts w:cs="ArialMT"/>
          <w:sz w:val="24"/>
        </w:rPr>
        <w:t xml:space="preserve"> prescription as follows:</w:t>
      </w:r>
    </w:p>
    <w:p w:rsidR="00351784" w:rsidRDefault="00351784" w:rsidP="00CD4E3B">
      <w:pPr>
        <w:autoSpaceDE w:val="0"/>
        <w:autoSpaceDN w:val="0"/>
        <w:adjustRightInd w:val="0"/>
        <w:spacing w:after="0"/>
        <w:jc w:val="both"/>
        <w:rPr>
          <w:rFonts w:cs="ArialMT"/>
          <w:sz w:val="24"/>
        </w:rPr>
      </w:pPr>
    </w:p>
    <w:p w:rsidR="00351784" w:rsidRPr="009A76AA" w:rsidRDefault="00351784" w:rsidP="00CD4E3B">
      <w:pPr>
        <w:autoSpaceDE w:val="0"/>
        <w:autoSpaceDN w:val="0"/>
        <w:adjustRightInd w:val="0"/>
        <w:spacing w:after="0"/>
        <w:ind w:left="720" w:right="540"/>
        <w:jc w:val="both"/>
        <w:rPr>
          <w:rFonts w:cs="ArialMT"/>
          <w:i/>
          <w:sz w:val="28"/>
          <w:lang w:val="fr-FR"/>
        </w:rPr>
      </w:pPr>
      <w:r w:rsidRPr="009A76AA">
        <w:rPr>
          <w:rFonts w:cs="ArialMT"/>
          <w:i/>
          <w:lang w:val="fr-FR"/>
        </w:rPr>
        <w:t xml:space="preserve">La prescription est un moyen d’acquérir ou de se libérer par un certain laps de temps, et sous les conditions déterminées par la loi. </w:t>
      </w:r>
    </w:p>
    <w:p w:rsidR="00351784" w:rsidRPr="009A76AA" w:rsidRDefault="00351784" w:rsidP="00CD4E3B">
      <w:pPr>
        <w:autoSpaceDE w:val="0"/>
        <w:autoSpaceDN w:val="0"/>
        <w:adjustRightInd w:val="0"/>
        <w:spacing w:after="0"/>
        <w:jc w:val="both"/>
        <w:rPr>
          <w:rFonts w:cs="ArialMT"/>
          <w:sz w:val="28"/>
          <w:lang w:val="fr-FR"/>
        </w:rPr>
      </w:pPr>
    </w:p>
    <w:p w:rsidR="00351784" w:rsidRPr="00351784" w:rsidRDefault="00351784" w:rsidP="00CD4E3B">
      <w:pPr>
        <w:autoSpaceDE w:val="0"/>
        <w:autoSpaceDN w:val="0"/>
        <w:adjustRightInd w:val="0"/>
        <w:spacing w:after="0"/>
        <w:jc w:val="both"/>
        <w:rPr>
          <w:rFonts w:cs="ArialMT"/>
          <w:sz w:val="24"/>
          <w:lang w:val="fr-FR"/>
        </w:rPr>
      </w:pPr>
    </w:p>
    <w:p w:rsidR="00E379C4" w:rsidRDefault="00E379C4" w:rsidP="00CD4E3B">
      <w:pPr>
        <w:autoSpaceDE w:val="0"/>
        <w:autoSpaceDN w:val="0"/>
        <w:adjustRightInd w:val="0"/>
        <w:spacing w:after="0"/>
        <w:jc w:val="both"/>
        <w:rPr>
          <w:rFonts w:cs="ArialMT"/>
          <w:sz w:val="24"/>
        </w:rPr>
      </w:pPr>
      <w:r w:rsidRPr="00351784">
        <w:rPr>
          <w:rFonts w:cs="ArialMT"/>
          <w:sz w:val="24"/>
          <w:lang w:val="fr-FR"/>
        </w:rPr>
        <w:lastRenderedPageBreak/>
        <w:tab/>
      </w:r>
      <w:r w:rsidRPr="002845AC">
        <w:rPr>
          <w:rFonts w:cs="ArialMT"/>
          <w:sz w:val="24"/>
        </w:rPr>
        <w:t xml:space="preserve">Following the submissions by </w:t>
      </w:r>
      <w:r w:rsidR="00371283" w:rsidRPr="002845AC">
        <w:rPr>
          <w:rFonts w:cs="ArialMT"/>
          <w:sz w:val="24"/>
        </w:rPr>
        <w:t>Counsel for the Disputant, it</w:t>
      </w:r>
      <w:r w:rsidRPr="002845AC">
        <w:rPr>
          <w:rFonts w:cs="ArialMT"/>
          <w:sz w:val="24"/>
        </w:rPr>
        <w:t xml:space="preserve"> has not been denied that the present dispute has been reported about a month or so after the three year limitation period provided under </w:t>
      </w:r>
      <w:r w:rsidRPr="002845AC">
        <w:rPr>
          <w:rFonts w:cs="ArialMT"/>
          <w:i/>
          <w:sz w:val="24"/>
        </w:rPr>
        <w:t>section 2</w:t>
      </w:r>
      <w:r w:rsidRPr="002845AC">
        <w:rPr>
          <w:rFonts w:cs="ArialMT"/>
          <w:sz w:val="24"/>
        </w:rPr>
        <w:t xml:space="preserve"> of the </w:t>
      </w:r>
      <w:r w:rsidRPr="002845AC">
        <w:rPr>
          <w:rFonts w:cs="ArialMT"/>
          <w:i/>
          <w:sz w:val="24"/>
        </w:rPr>
        <w:t>Act</w:t>
      </w:r>
      <w:r w:rsidRPr="002845AC">
        <w:rPr>
          <w:rFonts w:cs="ArialMT"/>
          <w:sz w:val="24"/>
        </w:rPr>
        <w:t xml:space="preserve">. However, it has been argued that the issue should have been raised before the </w:t>
      </w:r>
      <w:r w:rsidRPr="002845AC">
        <w:rPr>
          <w:rFonts w:cs="ArialMT"/>
          <w:i/>
          <w:sz w:val="24"/>
        </w:rPr>
        <w:t>CCM</w:t>
      </w:r>
      <w:r w:rsidRPr="002845AC">
        <w:rPr>
          <w:rFonts w:cs="ArialMT"/>
          <w:sz w:val="24"/>
        </w:rPr>
        <w:t xml:space="preserve"> where the dispute was reported</w:t>
      </w:r>
      <w:r>
        <w:rPr>
          <w:rFonts w:cs="ArialMT"/>
          <w:sz w:val="24"/>
        </w:rPr>
        <w:t xml:space="preserve">. </w:t>
      </w:r>
    </w:p>
    <w:p w:rsidR="00E379C4" w:rsidRDefault="00E379C4"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jc w:val="both"/>
        <w:rPr>
          <w:rFonts w:cs="ArialMT"/>
          <w:sz w:val="24"/>
        </w:rPr>
      </w:pPr>
      <w:r>
        <w:rPr>
          <w:rFonts w:cs="ArialMT"/>
          <w:sz w:val="24"/>
        </w:rPr>
        <w:tab/>
        <w:t xml:space="preserve">It cannot be overlooked that the </w:t>
      </w:r>
      <w:r w:rsidRPr="00E9631E">
        <w:rPr>
          <w:rFonts w:cs="ArialMT"/>
          <w:i/>
          <w:sz w:val="24"/>
        </w:rPr>
        <w:t>President</w:t>
      </w:r>
      <w:r>
        <w:rPr>
          <w:rFonts w:cs="ArialMT"/>
          <w:sz w:val="24"/>
        </w:rPr>
        <w:t xml:space="preserve"> of the </w:t>
      </w:r>
      <w:r w:rsidRPr="00CF470C">
        <w:rPr>
          <w:rFonts w:cs="ArialMT"/>
          <w:i/>
          <w:sz w:val="24"/>
        </w:rPr>
        <w:t>CCM</w:t>
      </w:r>
      <w:r>
        <w:rPr>
          <w:rFonts w:cs="ArialMT"/>
          <w:sz w:val="24"/>
        </w:rPr>
        <w:t xml:space="preserve"> has a discretion to reject the report of a labour dispute under </w:t>
      </w:r>
      <w:r w:rsidRPr="00CF470C">
        <w:rPr>
          <w:rFonts w:cs="ArialMT"/>
          <w:i/>
          <w:sz w:val="24"/>
        </w:rPr>
        <w:t>section 65</w:t>
      </w:r>
      <w:r>
        <w:rPr>
          <w:rFonts w:cs="ArialMT"/>
          <w:sz w:val="24"/>
        </w:rPr>
        <w:t xml:space="preserve"> of the </w:t>
      </w:r>
      <w:r w:rsidRPr="00CF470C">
        <w:rPr>
          <w:rFonts w:cs="ArialMT"/>
          <w:i/>
          <w:sz w:val="24"/>
        </w:rPr>
        <w:t>Act</w:t>
      </w:r>
      <w:r>
        <w:rPr>
          <w:rFonts w:cs="ArialMT"/>
          <w:sz w:val="24"/>
        </w:rPr>
        <w:t>. Th</w:t>
      </w:r>
      <w:r w:rsidR="00005CE8">
        <w:rPr>
          <w:rFonts w:cs="ArialMT"/>
          <w:sz w:val="24"/>
        </w:rPr>
        <w:t>e</w:t>
      </w:r>
      <w:r>
        <w:rPr>
          <w:rFonts w:cs="ArialMT"/>
          <w:sz w:val="24"/>
        </w:rPr>
        <w:t xml:space="preserve"> relevant part of this section states as follows:</w:t>
      </w:r>
    </w:p>
    <w:p w:rsidR="00E379C4" w:rsidRDefault="00E379C4" w:rsidP="00CD4E3B">
      <w:pPr>
        <w:autoSpaceDE w:val="0"/>
        <w:autoSpaceDN w:val="0"/>
        <w:adjustRightInd w:val="0"/>
        <w:spacing w:after="0"/>
        <w:jc w:val="both"/>
        <w:rPr>
          <w:rFonts w:cs="ArialMT"/>
          <w:sz w:val="24"/>
        </w:rPr>
      </w:pPr>
    </w:p>
    <w:p w:rsidR="00E379C4" w:rsidRPr="009A76AA" w:rsidRDefault="00E379C4" w:rsidP="00CD4E3B">
      <w:pPr>
        <w:autoSpaceDE w:val="0"/>
        <w:autoSpaceDN w:val="0"/>
        <w:adjustRightInd w:val="0"/>
        <w:spacing w:after="0"/>
        <w:rPr>
          <w:rFonts w:cs="Arial-BoldMT"/>
          <w:b/>
          <w:bCs/>
          <w:i/>
        </w:rPr>
      </w:pPr>
      <w:r>
        <w:rPr>
          <w:rFonts w:cs="ArialMT"/>
          <w:sz w:val="24"/>
        </w:rPr>
        <w:tab/>
      </w:r>
      <w:r w:rsidRPr="009A76AA">
        <w:rPr>
          <w:rFonts w:cs="Arial-BoldMT"/>
          <w:b/>
          <w:bCs/>
          <w:i/>
        </w:rPr>
        <w:t xml:space="preserve">65. </w:t>
      </w:r>
      <w:r w:rsidRPr="009A76AA">
        <w:rPr>
          <w:rFonts w:cs="Arial-BoldMT"/>
          <w:b/>
          <w:bCs/>
          <w:i/>
        </w:rPr>
        <w:tab/>
        <w:t>Rejection of labour disputes</w:t>
      </w:r>
    </w:p>
    <w:p w:rsidR="00E379C4" w:rsidRPr="009A76AA" w:rsidRDefault="00E379C4" w:rsidP="00CD4E3B">
      <w:pPr>
        <w:autoSpaceDE w:val="0"/>
        <w:autoSpaceDN w:val="0"/>
        <w:adjustRightInd w:val="0"/>
        <w:spacing w:after="0"/>
        <w:ind w:left="720" w:firstLine="720"/>
        <w:rPr>
          <w:rFonts w:cs="ArialMT"/>
          <w:i/>
        </w:rPr>
      </w:pPr>
    </w:p>
    <w:p w:rsidR="00E379C4" w:rsidRPr="009A76AA" w:rsidRDefault="00E379C4" w:rsidP="00CD4E3B">
      <w:pPr>
        <w:tabs>
          <w:tab w:val="left" w:pos="1800"/>
        </w:tabs>
        <w:autoSpaceDE w:val="0"/>
        <w:autoSpaceDN w:val="0"/>
        <w:adjustRightInd w:val="0"/>
        <w:spacing w:after="0"/>
        <w:ind w:left="720" w:right="540" w:firstLine="720"/>
        <w:rPr>
          <w:rFonts w:cs="ArialMT"/>
          <w:i/>
        </w:rPr>
      </w:pPr>
      <w:r w:rsidRPr="009A76AA">
        <w:rPr>
          <w:rFonts w:cs="ArialMT"/>
          <w:i/>
        </w:rPr>
        <w:t>(1)    The President of the Commission may reject a report of a labour dispute made under section 64 where he is of the opinion that –</w:t>
      </w:r>
    </w:p>
    <w:p w:rsidR="00E379C4" w:rsidRPr="009A76AA" w:rsidRDefault="00E379C4" w:rsidP="00CD4E3B">
      <w:pPr>
        <w:autoSpaceDE w:val="0"/>
        <w:autoSpaceDN w:val="0"/>
        <w:adjustRightInd w:val="0"/>
        <w:spacing w:after="0"/>
        <w:ind w:right="540"/>
        <w:jc w:val="both"/>
        <w:rPr>
          <w:rFonts w:cs="ArialMT"/>
          <w:i/>
        </w:rPr>
      </w:pPr>
      <w:r w:rsidRPr="009A76AA">
        <w:rPr>
          <w:rFonts w:cs="ArialMT"/>
          <w:i/>
        </w:rPr>
        <w:tab/>
      </w:r>
    </w:p>
    <w:p w:rsidR="00E379C4" w:rsidRPr="009A76AA" w:rsidRDefault="00E379C4" w:rsidP="00CD4E3B">
      <w:pPr>
        <w:autoSpaceDE w:val="0"/>
        <w:autoSpaceDN w:val="0"/>
        <w:adjustRightInd w:val="0"/>
        <w:spacing w:after="0"/>
        <w:ind w:left="2160" w:right="540" w:hanging="360"/>
        <w:jc w:val="both"/>
        <w:rPr>
          <w:rFonts w:cs="ArialMT"/>
          <w:sz w:val="24"/>
        </w:rPr>
      </w:pPr>
      <w:r w:rsidRPr="009A76AA">
        <w:rPr>
          <w:rFonts w:cs="ArialMT"/>
          <w:i/>
        </w:rPr>
        <w:t xml:space="preserve">(a) </w:t>
      </w:r>
      <w:r w:rsidRPr="009A76AA">
        <w:rPr>
          <w:rFonts w:cs="ArialMT"/>
          <w:i/>
        </w:rPr>
        <w:tab/>
        <w:t>the dispute is not a labour dispute or does not comply with section 67;</w:t>
      </w:r>
      <w:r w:rsidRPr="009A76AA">
        <w:rPr>
          <w:rFonts w:cs="ArialMT"/>
          <w:i/>
          <w:sz w:val="24"/>
        </w:rPr>
        <w:tab/>
      </w:r>
      <w:r w:rsidRPr="009A76AA">
        <w:rPr>
          <w:rFonts w:cs="ArialMT"/>
          <w:sz w:val="24"/>
        </w:rPr>
        <w:t xml:space="preserve">     </w:t>
      </w:r>
    </w:p>
    <w:p w:rsidR="00E379C4" w:rsidRDefault="00E379C4"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jc w:val="both"/>
        <w:rPr>
          <w:rFonts w:cs="ArialMT"/>
          <w:sz w:val="24"/>
        </w:rPr>
      </w:pPr>
      <w:r>
        <w:rPr>
          <w:rFonts w:cs="ArialMT"/>
          <w:sz w:val="24"/>
        </w:rPr>
        <w:tab/>
        <w:t xml:space="preserve">Despite, the discretionary power of the </w:t>
      </w:r>
      <w:r w:rsidRPr="00691E0B">
        <w:rPr>
          <w:rFonts w:cs="ArialMT"/>
          <w:i/>
          <w:sz w:val="24"/>
        </w:rPr>
        <w:t>President</w:t>
      </w:r>
      <w:r>
        <w:rPr>
          <w:rFonts w:cs="ArialMT"/>
          <w:sz w:val="24"/>
        </w:rPr>
        <w:t xml:space="preserve"> of the </w:t>
      </w:r>
      <w:r w:rsidRPr="002D205E">
        <w:rPr>
          <w:rFonts w:cs="ArialMT"/>
          <w:i/>
          <w:sz w:val="24"/>
        </w:rPr>
        <w:t>CCM</w:t>
      </w:r>
      <w:r>
        <w:rPr>
          <w:rFonts w:cs="ArialMT"/>
          <w:sz w:val="24"/>
        </w:rPr>
        <w:t xml:space="preserve"> to reject the report of a labour dispute under </w:t>
      </w:r>
      <w:r w:rsidRPr="002D205E">
        <w:rPr>
          <w:rFonts w:cs="ArialMT"/>
          <w:i/>
          <w:sz w:val="24"/>
        </w:rPr>
        <w:t>section 65</w:t>
      </w:r>
      <w:r>
        <w:rPr>
          <w:rFonts w:cs="ArialMT"/>
          <w:sz w:val="24"/>
        </w:rPr>
        <w:t xml:space="preserve"> of the </w:t>
      </w:r>
      <w:r w:rsidRPr="002D205E">
        <w:rPr>
          <w:rFonts w:cs="ArialMT"/>
          <w:i/>
          <w:sz w:val="24"/>
        </w:rPr>
        <w:t>Act</w:t>
      </w:r>
      <w:r>
        <w:rPr>
          <w:rFonts w:cs="ArialMT"/>
          <w:sz w:val="24"/>
        </w:rPr>
        <w:t xml:space="preserve">, it does not appear whether any objection was taken to the mediation and conciliation of the dispute before that instance. As has been previously observed, the </w:t>
      </w:r>
      <w:r w:rsidRPr="004B13DC">
        <w:rPr>
          <w:rFonts w:cs="ArialMT"/>
          <w:i/>
          <w:sz w:val="24"/>
        </w:rPr>
        <w:t>CCM</w:t>
      </w:r>
      <w:r>
        <w:rPr>
          <w:rFonts w:cs="ArialMT"/>
          <w:sz w:val="24"/>
        </w:rPr>
        <w:t xml:space="preserve"> has referred the matter to the Tribunal on 14 May 2015 in accordance with </w:t>
      </w:r>
      <w:r w:rsidRPr="004B13DC">
        <w:rPr>
          <w:rFonts w:cs="ArialMT"/>
          <w:i/>
          <w:sz w:val="24"/>
        </w:rPr>
        <w:t>section 69 (7)</w:t>
      </w:r>
      <w:r>
        <w:rPr>
          <w:rFonts w:cs="ArialMT"/>
          <w:sz w:val="24"/>
        </w:rPr>
        <w:t xml:space="preserve"> of the </w:t>
      </w:r>
      <w:r w:rsidRPr="004B13DC">
        <w:rPr>
          <w:rFonts w:cs="ArialMT"/>
          <w:i/>
          <w:sz w:val="24"/>
        </w:rPr>
        <w:t>Act</w:t>
      </w:r>
      <w:r>
        <w:rPr>
          <w:rFonts w:cs="ArialMT"/>
          <w:sz w:val="24"/>
        </w:rPr>
        <w:t xml:space="preserve"> </w:t>
      </w:r>
      <w:r w:rsidR="00005CE8">
        <w:rPr>
          <w:rFonts w:cs="ArialMT"/>
          <w:sz w:val="24"/>
        </w:rPr>
        <w:t xml:space="preserve">with the consent of the worker </w:t>
      </w:r>
      <w:r>
        <w:rPr>
          <w:rFonts w:cs="ArialMT"/>
          <w:sz w:val="24"/>
        </w:rPr>
        <w:t xml:space="preserve">after no settlement was reached between the parties.    </w:t>
      </w:r>
    </w:p>
    <w:p w:rsidR="00E379C4" w:rsidRDefault="00E379C4"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ind w:firstLine="720"/>
        <w:jc w:val="both"/>
        <w:rPr>
          <w:rFonts w:cs="ArialMT"/>
          <w:sz w:val="24"/>
        </w:rPr>
      </w:pPr>
      <w:r>
        <w:rPr>
          <w:rFonts w:cs="ArialMT"/>
          <w:sz w:val="24"/>
        </w:rPr>
        <w:t xml:space="preserve">The present objection having been raised before the Tribunal, it would be pertinent for the Tribunal to determine same inasmuch as the referral made to the Tribunal under </w:t>
      </w:r>
      <w:r w:rsidRPr="00063AA4">
        <w:rPr>
          <w:rFonts w:cs="ArialMT"/>
          <w:i/>
          <w:sz w:val="24"/>
        </w:rPr>
        <w:t>section 69 (7)</w:t>
      </w:r>
      <w:r>
        <w:rPr>
          <w:rFonts w:cs="ArialMT"/>
          <w:sz w:val="24"/>
        </w:rPr>
        <w:t xml:space="preserve"> of the </w:t>
      </w:r>
      <w:r w:rsidRPr="00063AA4">
        <w:rPr>
          <w:rFonts w:cs="ArialMT"/>
          <w:i/>
          <w:sz w:val="24"/>
        </w:rPr>
        <w:t>Act</w:t>
      </w:r>
      <w:r>
        <w:rPr>
          <w:rFonts w:cs="ArialMT"/>
          <w:sz w:val="24"/>
        </w:rPr>
        <w:t xml:space="preserve"> is one of a labour dispute as has been defined under the </w:t>
      </w:r>
      <w:r w:rsidRPr="00063AA4">
        <w:rPr>
          <w:rFonts w:cs="ArialMT"/>
          <w:i/>
          <w:sz w:val="24"/>
        </w:rPr>
        <w:t>Act</w:t>
      </w:r>
      <w:r w:rsidR="009B0048">
        <w:rPr>
          <w:rFonts w:cs="ArialMT"/>
          <w:sz w:val="24"/>
        </w:rPr>
        <w:t xml:space="preserve"> and is relevant to the jurisdiction of the Tribunal to enquire into the dispute and </w:t>
      </w:r>
      <w:r w:rsidR="004007C8">
        <w:rPr>
          <w:rFonts w:cs="ArialMT"/>
          <w:sz w:val="24"/>
        </w:rPr>
        <w:t xml:space="preserve">thereafter </w:t>
      </w:r>
      <w:r w:rsidR="009B0048">
        <w:rPr>
          <w:rFonts w:cs="ArialMT"/>
          <w:sz w:val="24"/>
        </w:rPr>
        <w:t xml:space="preserve">make an award thereon. </w:t>
      </w:r>
    </w:p>
    <w:p w:rsidR="00E379C4" w:rsidRDefault="00E379C4"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jc w:val="both"/>
        <w:rPr>
          <w:rFonts w:cs="ArialMT"/>
          <w:sz w:val="24"/>
        </w:rPr>
      </w:pPr>
      <w:r>
        <w:rPr>
          <w:rFonts w:cs="ArialMT"/>
          <w:sz w:val="24"/>
        </w:rPr>
        <w:tab/>
        <w:t xml:space="preserve">The Tribunal has noted that the Disputant retired on 11 July 2011. However, despite having signed a retirement form on 24 June 2011 and thereafter received payment of her lump sum in her bank account on 24 August 2011 and for her pension on 1 September 2011, she was unaware that her pension benefits had been calculated as from 1 January 1977 instead of 1 January 1970. She proceeded abroad to England following her retirement in July and in the following years to 2014. She only became aware of the issue regarding her pension benefits in 2014 around September. It should also be noted that she reported another labour dispute regarding vacation leave to the </w:t>
      </w:r>
      <w:r w:rsidRPr="00691E0B">
        <w:rPr>
          <w:rFonts w:cs="ArialMT"/>
          <w:i/>
          <w:sz w:val="24"/>
        </w:rPr>
        <w:t>CCM</w:t>
      </w:r>
      <w:r>
        <w:rPr>
          <w:rFonts w:cs="ArialMT"/>
          <w:sz w:val="24"/>
        </w:rPr>
        <w:t xml:space="preserve"> on 29 October 2012 despite being in the U.K. over the last three years. </w:t>
      </w:r>
    </w:p>
    <w:p w:rsidR="00E379C4" w:rsidRDefault="00E379C4" w:rsidP="00CD4E3B">
      <w:pPr>
        <w:autoSpaceDE w:val="0"/>
        <w:autoSpaceDN w:val="0"/>
        <w:adjustRightInd w:val="0"/>
        <w:spacing w:after="0"/>
        <w:jc w:val="both"/>
        <w:rPr>
          <w:rFonts w:cs="ArialMT"/>
          <w:sz w:val="24"/>
        </w:rPr>
      </w:pPr>
    </w:p>
    <w:p w:rsidR="00467CB1" w:rsidRDefault="00467CB1"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jc w:val="both"/>
        <w:rPr>
          <w:rFonts w:cs="ArialMT"/>
          <w:sz w:val="24"/>
        </w:rPr>
      </w:pPr>
      <w:r>
        <w:rPr>
          <w:rFonts w:cs="ArialMT"/>
          <w:sz w:val="24"/>
        </w:rPr>
        <w:tab/>
      </w:r>
      <w:r w:rsidR="00A32E35">
        <w:rPr>
          <w:rFonts w:cs="ArialMT"/>
          <w:sz w:val="24"/>
        </w:rPr>
        <w:t>Notwithstanding</w:t>
      </w:r>
      <w:r>
        <w:rPr>
          <w:rFonts w:cs="ArialMT"/>
          <w:sz w:val="24"/>
        </w:rPr>
        <w:t xml:space="preserve"> the </w:t>
      </w:r>
      <w:r w:rsidRPr="001F7337">
        <w:rPr>
          <w:rFonts w:cs="ArialMT"/>
          <w:sz w:val="24"/>
        </w:rPr>
        <w:t>obiter</w:t>
      </w:r>
      <w:r>
        <w:rPr>
          <w:rFonts w:cs="ArialMT"/>
          <w:sz w:val="24"/>
        </w:rPr>
        <w:t xml:space="preserve"> in </w:t>
      </w:r>
      <w:r w:rsidR="00FD6FED" w:rsidRPr="00FD6FED">
        <w:rPr>
          <w:rFonts w:cs="ArialMT"/>
          <w:i/>
          <w:sz w:val="24"/>
        </w:rPr>
        <w:t>M.</w:t>
      </w:r>
      <w:r w:rsidR="00FD6FED">
        <w:rPr>
          <w:rFonts w:cs="ArialMT"/>
          <w:sz w:val="24"/>
        </w:rPr>
        <w:t xml:space="preserve"> </w:t>
      </w:r>
      <w:r w:rsidRPr="000C703D">
        <w:rPr>
          <w:rFonts w:cs="ArialMT"/>
          <w:i/>
          <w:sz w:val="24"/>
        </w:rPr>
        <w:t>Toumany</w:t>
      </w:r>
      <w:r>
        <w:rPr>
          <w:rFonts w:cs="ArialMT"/>
          <w:i/>
          <w:sz w:val="24"/>
        </w:rPr>
        <w:t xml:space="preserve"> &amp; anor</w:t>
      </w:r>
      <w:r w:rsidRPr="000C703D">
        <w:rPr>
          <w:rFonts w:cs="ArialMT"/>
          <w:i/>
          <w:sz w:val="24"/>
        </w:rPr>
        <w:t xml:space="preserve"> v </w:t>
      </w:r>
      <w:r w:rsidR="00FD6FED">
        <w:rPr>
          <w:rFonts w:cs="ArialMT"/>
          <w:i/>
          <w:sz w:val="24"/>
        </w:rPr>
        <w:t xml:space="preserve">M. </w:t>
      </w:r>
      <w:r w:rsidRPr="000C703D">
        <w:rPr>
          <w:rFonts w:cs="ArialMT"/>
          <w:i/>
          <w:sz w:val="24"/>
        </w:rPr>
        <w:t>Veerasamy</w:t>
      </w:r>
      <w:r>
        <w:rPr>
          <w:rFonts w:cs="ArialMT"/>
          <w:i/>
          <w:sz w:val="24"/>
        </w:rPr>
        <w:t xml:space="preserve"> </w:t>
      </w:r>
      <w:r w:rsidRPr="00E9631E">
        <w:rPr>
          <w:rFonts w:cs="ArialMT"/>
          <w:sz w:val="24"/>
        </w:rPr>
        <w:t>(</w:t>
      </w:r>
      <w:r>
        <w:rPr>
          <w:rFonts w:cs="ArialMT"/>
          <w:i/>
          <w:sz w:val="24"/>
        </w:rPr>
        <w:t>supra</w:t>
      </w:r>
      <w:r w:rsidRPr="00E9631E">
        <w:rPr>
          <w:rFonts w:cs="ArialMT"/>
          <w:sz w:val="24"/>
        </w:rPr>
        <w:t xml:space="preserve">) </w:t>
      </w:r>
      <w:r>
        <w:rPr>
          <w:rFonts w:cs="ArialMT"/>
          <w:sz w:val="24"/>
        </w:rPr>
        <w:t xml:space="preserve">to the effect that courts should be encouraged to be less technical and more flexible in relation to jurisdictional matters, the evidence of the Disputant has amply shown that it is through her own inadvertence that the present labour dispute was not reported within the three years which gave rise to its act or omission. </w:t>
      </w:r>
      <w:r w:rsidR="00794D3E">
        <w:rPr>
          <w:rFonts w:cs="ArialMT"/>
          <w:sz w:val="24"/>
        </w:rPr>
        <w:t>The more so that she h</w:t>
      </w:r>
      <w:r w:rsidR="00A32E35">
        <w:rPr>
          <w:rFonts w:cs="ArialMT"/>
          <w:sz w:val="24"/>
        </w:rPr>
        <w:t>ad reported another dispute against</w:t>
      </w:r>
      <w:r w:rsidR="00794D3E">
        <w:rPr>
          <w:rFonts w:cs="ArialMT"/>
          <w:sz w:val="24"/>
        </w:rPr>
        <w:t xml:space="preserve"> her employer in 2012.  </w:t>
      </w:r>
    </w:p>
    <w:p w:rsidR="00E379C4" w:rsidRDefault="00E379C4"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jc w:val="both"/>
        <w:rPr>
          <w:rFonts w:cs="ArialMT"/>
          <w:sz w:val="24"/>
        </w:rPr>
      </w:pPr>
      <w:r>
        <w:rPr>
          <w:rFonts w:cs="ArialMT"/>
          <w:sz w:val="24"/>
        </w:rPr>
        <w:tab/>
        <w:t>The Tribunal therefore cannot find the present dispute referred is a labour dispute</w:t>
      </w:r>
      <w:r w:rsidR="00A32E35">
        <w:rPr>
          <w:rFonts w:cs="ArialMT"/>
          <w:sz w:val="24"/>
        </w:rPr>
        <w:t xml:space="preserve"> within the meaning of the law</w:t>
      </w:r>
      <w:r>
        <w:rPr>
          <w:rFonts w:cs="ArialMT"/>
          <w:sz w:val="24"/>
        </w:rPr>
        <w:t xml:space="preserve">. </w:t>
      </w:r>
    </w:p>
    <w:p w:rsidR="00E379C4" w:rsidRDefault="00E379C4"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ind w:firstLine="720"/>
        <w:jc w:val="both"/>
        <w:rPr>
          <w:rFonts w:cs="ArialMT"/>
          <w:sz w:val="24"/>
        </w:rPr>
      </w:pPr>
      <w:r>
        <w:rPr>
          <w:rFonts w:cs="ArialMT"/>
          <w:sz w:val="24"/>
        </w:rPr>
        <w:t xml:space="preserve">The Respondent having succeeded on the first limb of its objection, it is not necessary for the Tribunal to give its determination on the second point raised </w:t>
      </w:r>
      <w:r w:rsidRPr="00291C06">
        <w:rPr>
          <w:rFonts w:cs="ArialMT"/>
          <w:i/>
          <w:sz w:val="24"/>
        </w:rPr>
        <w:t>in limine</w:t>
      </w:r>
      <w:r>
        <w:rPr>
          <w:rFonts w:cs="ArialMT"/>
          <w:sz w:val="24"/>
        </w:rPr>
        <w:t xml:space="preserve">. However, it would suffice to say that upon the referral of a labour dispute, the Tribunal is bound to arbitrate on same within its terms of reference; contrary to which any award issued by the Tribunal would be </w:t>
      </w:r>
      <w:r w:rsidRPr="00FB16F3">
        <w:rPr>
          <w:rFonts w:cs="ArialMT"/>
          <w:i/>
          <w:sz w:val="24"/>
        </w:rPr>
        <w:t>ultra petita</w:t>
      </w:r>
      <w:r>
        <w:rPr>
          <w:rFonts w:cs="ArialMT"/>
          <w:sz w:val="24"/>
        </w:rPr>
        <w:t xml:space="preserve"> the terms of reference of the labour dispute (</w:t>
      </w:r>
      <w:r w:rsidRPr="00FB16F3">
        <w:rPr>
          <w:rFonts w:cs="ArialMT"/>
          <w:sz w:val="24"/>
        </w:rPr>
        <w:t>vide</w:t>
      </w:r>
      <w:r w:rsidRPr="00FB16F3">
        <w:rPr>
          <w:rFonts w:cs="ArialMT"/>
          <w:i/>
          <w:sz w:val="24"/>
        </w:rPr>
        <w:t xml:space="preserve"> Baccus v The Permanent Arbitration Tribunal</w:t>
      </w:r>
      <w:r>
        <w:rPr>
          <w:rFonts w:cs="ArialMT"/>
          <w:sz w:val="24"/>
        </w:rPr>
        <w:t xml:space="preserve"> [</w:t>
      </w:r>
      <w:r w:rsidRPr="00FB16F3">
        <w:rPr>
          <w:rFonts w:cs="ArialMT"/>
          <w:i/>
          <w:sz w:val="24"/>
        </w:rPr>
        <w:t>1986 MR 272</w:t>
      </w:r>
      <w:r>
        <w:rPr>
          <w:rFonts w:cs="ArialMT"/>
          <w:sz w:val="24"/>
        </w:rPr>
        <w:t>]</w:t>
      </w:r>
      <w:r w:rsidR="00495696">
        <w:rPr>
          <w:rFonts w:cs="ArialMT"/>
          <w:sz w:val="24"/>
        </w:rPr>
        <w:t xml:space="preserve">; and </w:t>
      </w:r>
      <w:r w:rsidR="00495696" w:rsidRPr="004C0A9A">
        <w:rPr>
          <w:rFonts w:cs="ArialMT"/>
          <w:i/>
          <w:sz w:val="24"/>
        </w:rPr>
        <w:t>Lucien v</w:t>
      </w:r>
      <w:r w:rsidR="00495696">
        <w:rPr>
          <w:rFonts w:cs="ArialMT"/>
          <w:sz w:val="24"/>
        </w:rPr>
        <w:t xml:space="preserve"> </w:t>
      </w:r>
      <w:r w:rsidR="00495696" w:rsidRPr="00FB16F3">
        <w:rPr>
          <w:rFonts w:cs="ArialMT"/>
          <w:i/>
          <w:sz w:val="24"/>
        </w:rPr>
        <w:t>The Permanent Arbitration Tribunal</w:t>
      </w:r>
      <w:r w:rsidR="004C0A9A">
        <w:rPr>
          <w:rFonts w:cs="ArialMT"/>
          <w:i/>
          <w:sz w:val="24"/>
        </w:rPr>
        <w:t xml:space="preserve"> </w:t>
      </w:r>
      <w:r w:rsidR="004C0A9A">
        <w:rPr>
          <w:rFonts w:cs="ArialMT"/>
          <w:sz w:val="24"/>
        </w:rPr>
        <w:t>[</w:t>
      </w:r>
      <w:r w:rsidR="004C0A9A">
        <w:rPr>
          <w:rFonts w:cs="ArialMT"/>
          <w:i/>
          <w:sz w:val="24"/>
        </w:rPr>
        <w:t>1994 SCJ 224</w:t>
      </w:r>
      <w:r w:rsidR="004C0A9A">
        <w:rPr>
          <w:rFonts w:cs="ArialMT"/>
          <w:sz w:val="24"/>
        </w:rPr>
        <w:t>]</w:t>
      </w:r>
      <w:r>
        <w:rPr>
          <w:rFonts w:cs="ArialMT"/>
          <w:sz w:val="24"/>
        </w:rPr>
        <w:t xml:space="preserve">).  </w:t>
      </w:r>
    </w:p>
    <w:p w:rsidR="00E379C4" w:rsidRDefault="00E379C4" w:rsidP="00CD4E3B">
      <w:pPr>
        <w:autoSpaceDE w:val="0"/>
        <w:autoSpaceDN w:val="0"/>
        <w:adjustRightInd w:val="0"/>
        <w:spacing w:after="0"/>
        <w:jc w:val="both"/>
        <w:rPr>
          <w:rFonts w:cs="ArialMT"/>
          <w:sz w:val="24"/>
        </w:rPr>
      </w:pPr>
    </w:p>
    <w:p w:rsidR="00E379C4" w:rsidRDefault="00E379C4" w:rsidP="00CD4E3B">
      <w:pPr>
        <w:autoSpaceDE w:val="0"/>
        <w:autoSpaceDN w:val="0"/>
        <w:adjustRightInd w:val="0"/>
        <w:spacing w:after="0"/>
        <w:jc w:val="both"/>
        <w:rPr>
          <w:rFonts w:cs="ArialMT"/>
          <w:sz w:val="24"/>
        </w:rPr>
      </w:pPr>
    </w:p>
    <w:p w:rsidR="00E379C4" w:rsidRPr="007A375E" w:rsidRDefault="00E379C4" w:rsidP="00CD4E3B">
      <w:pPr>
        <w:autoSpaceDE w:val="0"/>
        <w:autoSpaceDN w:val="0"/>
        <w:adjustRightInd w:val="0"/>
        <w:spacing w:after="0"/>
        <w:ind w:firstLine="720"/>
        <w:jc w:val="both"/>
        <w:rPr>
          <w:rFonts w:cs="ArialMT"/>
          <w:sz w:val="24"/>
        </w:rPr>
      </w:pPr>
      <w:r>
        <w:rPr>
          <w:rFonts w:cs="ArialMT"/>
          <w:sz w:val="24"/>
        </w:rPr>
        <w:t xml:space="preserve">The present matter is therefore set aside.     </w:t>
      </w:r>
    </w:p>
    <w:p w:rsidR="00D53ACE" w:rsidRPr="00E379C4" w:rsidRDefault="00D53ACE" w:rsidP="00CD4E3B">
      <w:pPr>
        <w:spacing w:after="0"/>
        <w:jc w:val="both"/>
        <w:rPr>
          <w:sz w:val="24"/>
        </w:rPr>
      </w:pPr>
    </w:p>
    <w:p w:rsidR="00E9151D" w:rsidRDefault="00E9151D" w:rsidP="00CD4E3B">
      <w:pPr>
        <w:rPr>
          <w:sz w:val="24"/>
          <w:lang w:val="en-US"/>
        </w:rPr>
      </w:pPr>
      <w:r>
        <w:rPr>
          <w:sz w:val="24"/>
          <w:lang w:val="en-US"/>
        </w:rPr>
        <w:br w:type="page"/>
      </w:r>
    </w:p>
    <w:p w:rsidR="00E9151D" w:rsidRDefault="00E9151D" w:rsidP="005578F1">
      <w:pPr>
        <w:spacing w:after="0"/>
        <w:jc w:val="both"/>
        <w:rPr>
          <w:sz w:val="24"/>
          <w:lang w:val="en-US"/>
        </w:rPr>
      </w:pPr>
    </w:p>
    <w:p w:rsidR="002625E3" w:rsidRDefault="002625E3" w:rsidP="005578F1">
      <w:pPr>
        <w:spacing w:after="0"/>
        <w:jc w:val="both"/>
        <w:rPr>
          <w:sz w:val="24"/>
          <w:lang w:val="en-US"/>
        </w:rPr>
      </w:pPr>
      <w:r>
        <w:rPr>
          <w:sz w:val="24"/>
          <w:lang w:val="en-US"/>
        </w:rPr>
        <w:tab/>
      </w:r>
    </w:p>
    <w:p w:rsidR="005578F1" w:rsidRDefault="00DF2CE4" w:rsidP="00E9151D">
      <w:pPr>
        <w:spacing w:after="0"/>
        <w:jc w:val="both"/>
        <w:rPr>
          <w:sz w:val="24"/>
          <w:lang w:val="en-US"/>
        </w:rPr>
      </w:pPr>
      <w:r>
        <w:rPr>
          <w:sz w:val="24"/>
          <w:lang w:val="en-US"/>
        </w:rPr>
        <w:t xml:space="preserve">   </w:t>
      </w:r>
      <w:r w:rsidR="00C23F00">
        <w:rPr>
          <w:sz w:val="24"/>
          <w:lang w:val="en-US"/>
        </w:rPr>
        <w:t xml:space="preserve">  </w:t>
      </w:r>
    </w:p>
    <w:p w:rsidR="005578F1" w:rsidRDefault="005578F1" w:rsidP="005578F1">
      <w:pPr>
        <w:spacing w:after="0"/>
        <w:jc w:val="both"/>
        <w:rPr>
          <w:sz w:val="24"/>
          <w:lang w:val="en-US"/>
        </w:rPr>
      </w:pPr>
    </w:p>
    <w:p w:rsidR="00B678EF" w:rsidRDefault="00785F7F" w:rsidP="005578F1">
      <w:pPr>
        <w:spacing w:after="0"/>
        <w:ind w:right="831"/>
        <w:rPr>
          <w:rFonts w:cstheme="minorHAnsi"/>
          <w:b/>
          <w:bCs/>
          <w:sz w:val="24"/>
          <w:szCs w:val="24"/>
        </w:rPr>
      </w:pPr>
      <w:r>
        <w:rPr>
          <w:rFonts w:cstheme="minorHAnsi"/>
          <w:b/>
          <w:bCs/>
          <w:sz w:val="24"/>
          <w:szCs w:val="24"/>
        </w:rPr>
        <w:t>(Sd)</w:t>
      </w:r>
      <w:r w:rsidR="00CB4E48">
        <w:rPr>
          <w:rFonts w:cstheme="minorHAnsi"/>
          <w:b/>
          <w:bCs/>
          <w:sz w:val="24"/>
          <w:szCs w:val="24"/>
        </w:rPr>
        <w:t xml:space="preserve">  </w:t>
      </w:r>
      <w:r w:rsidR="00B678EF">
        <w:rPr>
          <w:rFonts w:cstheme="minorHAnsi"/>
          <w:b/>
          <w:bCs/>
          <w:sz w:val="24"/>
          <w:szCs w:val="24"/>
        </w:rPr>
        <w:t>Shameer Janhangeer</w:t>
      </w:r>
    </w:p>
    <w:p w:rsidR="00B678EF" w:rsidRDefault="00CB4E48" w:rsidP="00CB4E48">
      <w:pPr>
        <w:spacing w:after="0"/>
        <w:ind w:right="831"/>
        <w:rPr>
          <w:rFonts w:cstheme="minorHAnsi"/>
          <w:b/>
          <w:bCs/>
          <w:sz w:val="24"/>
          <w:szCs w:val="24"/>
        </w:rPr>
      </w:pPr>
      <w:r>
        <w:rPr>
          <w:rFonts w:cstheme="minorHAnsi"/>
          <w:b/>
          <w:bCs/>
          <w:sz w:val="24"/>
          <w:szCs w:val="24"/>
        </w:rPr>
        <w:t xml:space="preserve">        </w:t>
      </w:r>
      <w:r w:rsidR="00B678EF">
        <w:rPr>
          <w:rFonts w:cstheme="minorHAnsi"/>
          <w:b/>
          <w:bCs/>
          <w:sz w:val="24"/>
          <w:szCs w:val="24"/>
        </w:rPr>
        <w:t>(Vice-President)</w:t>
      </w:r>
    </w:p>
    <w:p w:rsidR="00B678EF" w:rsidRDefault="00B678EF" w:rsidP="005578F1">
      <w:pPr>
        <w:spacing w:after="0"/>
        <w:ind w:right="831"/>
        <w:rPr>
          <w:rFonts w:cstheme="minorHAnsi"/>
          <w:b/>
          <w:bCs/>
          <w:sz w:val="24"/>
          <w:szCs w:val="24"/>
        </w:rPr>
      </w:pPr>
    </w:p>
    <w:p w:rsidR="00B678EF" w:rsidRDefault="00B678EF" w:rsidP="005578F1">
      <w:pPr>
        <w:spacing w:after="0"/>
        <w:ind w:right="831"/>
        <w:rPr>
          <w:rFonts w:cstheme="minorHAnsi"/>
          <w:b/>
          <w:bCs/>
          <w:sz w:val="24"/>
          <w:szCs w:val="24"/>
        </w:rPr>
      </w:pPr>
    </w:p>
    <w:p w:rsidR="00B678EF" w:rsidRDefault="00B678EF" w:rsidP="005578F1">
      <w:pPr>
        <w:spacing w:after="0"/>
        <w:ind w:right="831"/>
        <w:rPr>
          <w:rFonts w:cstheme="minorHAnsi"/>
          <w:b/>
          <w:bCs/>
          <w:sz w:val="24"/>
          <w:szCs w:val="24"/>
        </w:rPr>
      </w:pPr>
    </w:p>
    <w:p w:rsidR="00B678EF" w:rsidRDefault="00785F7F" w:rsidP="005578F1">
      <w:pPr>
        <w:spacing w:after="0"/>
        <w:ind w:right="831"/>
        <w:rPr>
          <w:b/>
          <w:sz w:val="24"/>
          <w:szCs w:val="24"/>
          <w:lang w:val="en-US"/>
        </w:rPr>
      </w:pPr>
      <w:r>
        <w:rPr>
          <w:b/>
          <w:sz w:val="24"/>
          <w:szCs w:val="24"/>
          <w:lang w:val="en-US"/>
        </w:rPr>
        <w:t>(Sd)</w:t>
      </w:r>
      <w:r w:rsidR="00CB4E48">
        <w:rPr>
          <w:b/>
          <w:sz w:val="24"/>
          <w:szCs w:val="24"/>
          <w:lang w:val="en-US"/>
        </w:rPr>
        <w:t xml:space="preserve">   </w:t>
      </w:r>
      <w:r w:rsidR="00B678EF" w:rsidRPr="0094054B">
        <w:rPr>
          <w:b/>
          <w:sz w:val="24"/>
          <w:szCs w:val="24"/>
          <w:lang w:val="en-US"/>
        </w:rPr>
        <w:t>Vijay Kumar Mohit</w:t>
      </w:r>
    </w:p>
    <w:p w:rsidR="00B678EF" w:rsidRDefault="00CB4E48" w:rsidP="005578F1">
      <w:pPr>
        <w:spacing w:after="0"/>
        <w:ind w:right="831"/>
        <w:rPr>
          <w:rFonts w:cstheme="minorHAnsi"/>
          <w:b/>
          <w:bCs/>
          <w:sz w:val="24"/>
          <w:szCs w:val="24"/>
          <w:lang w:val="en-US"/>
        </w:rPr>
      </w:pPr>
      <w:r>
        <w:rPr>
          <w:rFonts w:cstheme="minorHAnsi"/>
          <w:b/>
          <w:bCs/>
          <w:sz w:val="24"/>
          <w:szCs w:val="24"/>
          <w:lang w:val="en-US"/>
        </w:rPr>
        <w:t xml:space="preserve">         </w:t>
      </w:r>
      <w:r w:rsidR="00B678EF">
        <w:rPr>
          <w:rFonts w:cstheme="minorHAnsi"/>
          <w:b/>
          <w:bCs/>
          <w:sz w:val="24"/>
          <w:szCs w:val="24"/>
          <w:lang w:val="en-US"/>
        </w:rPr>
        <w:t>(Member)</w:t>
      </w:r>
    </w:p>
    <w:p w:rsidR="00B678EF" w:rsidRDefault="00B678EF" w:rsidP="005578F1">
      <w:pPr>
        <w:spacing w:after="0"/>
        <w:ind w:right="831"/>
        <w:rPr>
          <w:rFonts w:cstheme="minorHAnsi"/>
          <w:b/>
          <w:bCs/>
          <w:sz w:val="24"/>
          <w:szCs w:val="24"/>
          <w:lang w:val="en-US"/>
        </w:rPr>
      </w:pPr>
    </w:p>
    <w:p w:rsidR="00B678EF" w:rsidRDefault="00B678EF" w:rsidP="005578F1">
      <w:pPr>
        <w:spacing w:after="0"/>
        <w:ind w:right="831"/>
        <w:rPr>
          <w:rFonts w:cstheme="minorHAnsi"/>
          <w:b/>
          <w:bCs/>
          <w:sz w:val="24"/>
          <w:szCs w:val="24"/>
          <w:lang w:val="en-US"/>
        </w:rPr>
      </w:pPr>
    </w:p>
    <w:p w:rsidR="00B678EF" w:rsidRDefault="00B678EF" w:rsidP="005578F1">
      <w:pPr>
        <w:spacing w:after="0"/>
        <w:ind w:right="831"/>
        <w:rPr>
          <w:rFonts w:cstheme="minorHAnsi"/>
          <w:b/>
          <w:bCs/>
          <w:sz w:val="24"/>
          <w:szCs w:val="24"/>
          <w:lang w:val="en-US"/>
        </w:rPr>
      </w:pPr>
    </w:p>
    <w:p w:rsidR="00B678EF" w:rsidRDefault="00785F7F" w:rsidP="005578F1">
      <w:pPr>
        <w:spacing w:after="0"/>
        <w:ind w:right="831"/>
        <w:rPr>
          <w:rFonts w:cstheme="minorHAnsi"/>
          <w:b/>
          <w:bCs/>
          <w:sz w:val="24"/>
          <w:szCs w:val="24"/>
        </w:rPr>
      </w:pPr>
      <w:r>
        <w:rPr>
          <w:b/>
          <w:bCs/>
          <w:sz w:val="24"/>
          <w:szCs w:val="24"/>
        </w:rPr>
        <w:t>(Sd)</w:t>
      </w:r>
      <w:r w:rsidR="00CB4E48">
        <w:rPr>
          <w:b/>
          <w:bCs/>
          <w:sz w:val="24"/>
          <w:szCs w:val="24"/>
        </w:rPr>
        <w:t xml:space="preserve">  </w:t>
      </w:r>
      <w:r w:rsidR="00B678EF">
        <w:rPr>
          <w:b/>
          <w:bCs/>
          <w:sz w:val="24"/>
          <w:szCs w:val="24"/>
        </w:rPr>
        <w:t>Jay Komarduth Hurry</w:t>
      </w:r>
      <w:r w:rsidR="00B678EF">
        <w:rPr>
          <w:b/>
          <w:bCs/>
          <w:sz w:val="24"/>
          <w:szCs w:val="24"/>
        </w:rPr>
        <w:tab/>
      </w:r>
      <w:r w:rsidR="00B678EF">
        <w:rPr>
          <w:b/>
          <w:bCs/>
          <w:sz w:val="24"/>
          <w:szCs w:val="24"/>
        </w:rPr>
        <w:tab/>
      </w:r>
      <w:r w:rsidR="00B678EF">
        <w:rPr>
          <w:rFonts w:cstheme="minorHAnsi"/>
          <w:b/>
          <w:bCs/>
          <w:sz w:val="24"/>
          <w:szCs w:val="24"/>
        </w:rPr>
        <w:t xml:space="preserve"> </w:t>
      </w:r>
    </w:p>
    <w:p w:rsidR="00B678EF" w:rsidRDefault="00CB4E48" w:rsidP="005578F1">
      <w:pPr>
        <w:spacing w:after="0"/>
        <w:ind w:right="831"/>
        <w:rPr>
          <w:rFonts w:cstheme="minorHAnsi"/>
          <w:b/>
          <w:bCs/>
          <w:sz w:val="24"/>
          <w:szCs w:val="24"/>
        </w:rPr>
      </w:pPr>
      <w:r>
        <w:rPr>
          <w:rFonts w:cstheme="minorHAnsi"/>
          <w:b/>
          <w:bCs/>
          <w:sz w:val="24"/>
          <w:szCs w:val="24"/>
        </w:rPr>
        <w:t xml:space="preserve">        </w:t>
      </w:r>
      <w:r w:rsidR="00B678EF">
        <w:rPr>
          <w:rFonts w:cstheme="minorHAnsi"/>
          <w:b/>
          <w:bCs/>
          <w:sz w:val="24"/>
          <w:szCs w:val="24"/>
        </w:rPr>
        <w:t>(Member)</w:t>
      </w:r>
    </w:p>
    <w:p w:rsidR="00B678EF" w:rsidRDefault="00B678EF" w:rsidP="005578F1">
      <w:pPr>
        <w:spacing w:after="0"/>
        <w:ind w:right="831"/>
        <w:rPr>
          <w:rFonts w:cstheme="minorHAnsi"/>
          <w:b/>
          <w:bCs/>
          <w:sz w:val="24"/>
          <w:szCs w:val="24"/>
        </w:rPr>
      </w:pPr>
    </w:p>
    <w:p w:rsidR="00B678EF" w:rsidRDefault="00B678EF" w:rsidP="005578F1">
      <w:pPr>
        <w:spacing w:after="0"/>
        <w:ind w:right="831"/>
        <w:rPr>
          <w:rFonts w:cstheme="minorHAnsi"/>
          <w:b/>
          <w:bCs/>
          <w:sz w:val="24"/>
          <w:szCs w:val="24"/>
        </w:rPr>
      </w:pPr>
    </w:p>
    <w:p w:rsidR="00B678EF" w:rsidRDefault="00B678EF" w:rsidP="005578F1">
      <w:pPr>
        <w:spacing w:after="0"/>
        <w:ind w:right="831"/>
        <w:rPr>
          <w:rFonts w:cstheme="minorHAnsi"/>
          <w:b/>
          <w:bCs/>
          <w:sz w:val="24"/>
          <w:szCs w:val="24"/>
        </w:rPr>
      </w:pPr>
    </w:p>
    <w:p w:rsidR="00B678EF" w:rsidRDefault="00CB4E48" w:rsidP="005578F1">
      <w:pPr>
        <w:spacing w:after="0"/>
        <w:ind w:right="831"/>
        <w:rPr>
          <w:b/>
          <w:bCs/>
          <w:sz w:val="24"/>
          <w:szCs w:val="24"/>
        </w:rPr>
      </w:pPr>
      <w:r>
        <w:rPr>
          <w:b/>
          <w:bCs/>
          <w:sz w:val="24"/>
          <w:szCs w:val="24"/>
        </w:rPr>
        <w:t xml:space="preserve">SD    </w:t>
      </w:r>
      <w:r w:rsidR="00B678EF">
        <w:rPr>
          <w:b/>
          <w:bCs/>
          <w:sz w:val="24"/>
          <w:szCs w:val="24"/>
        </w:rPr>
        <w:t>Georges Karl Louis</w:t>
      </w:r>
    </w:p>
    <w:p w:rsidR="00B678EF" w:rsidRDefault="00CB4E48" w:rsidP="005578F1">
      <w:pPr>
        <w:spacing w:after="0"/>
        <w:ind w:right="831"/>
        <w:rPr>
          <w:rFonts w:cstheme="minorHAnsi"/>
          <w:b/>
          <w:bCs/>
          <w:sz w:val="24"/>
          <w:szCs w:val="24"/>
        </w:rPr>
      </w:pPr>
      <w:r>
        <w:rPr>
          <w:rFonts w:cstheme="minorHAnsi"/>
          <w:b/>
          <w:bCs/>
          <w:sz w:val="24"/>
          <w:szCs w:val="24"/>
        </w:rPr>
        <w:t xml:space="preserve">         </w:t>
      </w:r>
      <w:r w:rsidR="00B678EF">
        <w:rPr>
          <w:rFonts w:cstheme="minorHAnsi"/>
          <w:b/>
          <w:bCs/>
          <w:sz w:val="24"/>
          <w:szCs w:val="24"/>
        </w:rPr>
        <w:t>(Member)</w:t>
      </w:r>
    </w:p>
    <w:p w:rsidR="00B678EF" w:rsidRDefault="00B678EF" w:rsidP="005578F1">
      <w:pPr>
        <w:spacing w:after="0"/>
        <w:ind w:right="566"/>
        <w:jc w:val="both"/>
        <w:rPr>
          <w:rFonts w:eastAsia="Calibri" w:cstheme="minorHAnsi"/>
          <w:bCs/>
          <w:sz w:val="24"/>
          <w:szCs w:val="24"/>
        </w:rPr>
      </w:pPr>
    </w:p>
    <w:p w:rsidR="00B678EF" w:rsidRDefault="00B678EF" w:rsidP="005578F1">
      <w:pPr>
        <w:spacing w:after="0"/>
        <w:ind w:right="566"/>
        <w:jc w:val="both"/>
        <w:rPr>
          <w:rFonts w:eastAsia="Calibri" w:cstheme="minorHAnsi"/>
          <w:bCs/>
          <w:sz w:val="24"/>
          <w:szCs w:val="24"/>
        </w:rPr>
      </w:pPr>
    </w:p>
    <w:p w:rsidR="00B678EF" w:rsidRDefault="00B678EF" w:rsidP="005578F1">
      <w:pPr>
        <w:spacing w:after="0"/>
        <w:ind w:right="566"/>
        <w:jc w:val="both"/>
        <w:rPr>
          <w:rFonts w:eastAsia="Calibri" w:cstheme="minorHAnsi"/>
          <w:b/>
          <w:bCs/>
          <w:sz w:val="24"/>
          <w:szCs w:val="24"/>
        </w:rPr>
      </w:pPr>
    </w:p>
    <w:p w:rsidR="00C476CF" w:rsidRDefault="00B678EF" w:rsidP="005578F1">
      <w:pPr>
        <w:spacing w:after="0"/>
        <w:jc w:val="both"/>
        <w:rPr>
          <w:sz w:val="24"/>
          <w:lang w:val="en-US"/>
        </w:rPr>
      </w:pPr>
      <w:r w:rsidRPr="00C22A53">
        <w:rPr>
          <w:b/>
          <w:sz w:val="24"/>
          <w:lang w:val="en-US"/>
        </w:rPr>
        <w:t>Date:</w:t>
      </w:r>
      <w:r>
        <w:rPr>
          <w:sz w:val="24"/>
          <w:lang w:val="en-US"/>
        </w:rPr>
        <w:tab/>
      </w:r>
      <w:r w:rsidRPr="00B678EF">
        <w:rPr>
          <w:b/>
          <w:sz w:val="24"/>
          <w:lang w:val="en-US"/>
        </w:rPr>
        <w:t>11</w:t>
      </w:r>
      <w:r w:rsidRPr="00B678EF">
        <w:rPr>
          <w:b/>
          <w:sz w:val="24"/>
          <w:vertAlign w:val="superscript"/>
          <w:lang w:val="en-US"/>
        </w:rPr>
        <w:t>th</w:t>
      </w:r>
      <w:r w:rsidRPr="00B678EF">
        <w:rPr>
          <w:b/>
          <w:sz w:val="24"/>
          <w:lang w:val="en-US"/>
        </w:rPr>
        <w:t xml:space="preserve"> September 2015</w:t>
      </w:r>
      <w:r w:rsidR="002A2B2E">
        <w:rPr>
          <w:sz w:val="24"/>
          <w:lang w:val="en-US"/>
        </w:rPr>
        <w:t xml:space="preserve">  </w:t>
      </w:r>
      <w:r w:rsidR="00571DDC">
        <w:rPr>
          <w:sz w:val="24"/>
          <w:lang w:val="en-US"/>
        </w:rPr>
        <w:t xml:space="preserve">   </w:t>
      </w:r>
      <w:r w:rsidR="00C476CF">
        <w:rPr>
          <w:sz w:val="24"/>
          <w:lang w:val="en-US"/>
        </w:rPr>
        <w:t xml:space="preserve"> </w:t>
      </w:r>
    </w:p>
    <w:p w:rsidR="009421FA" w:rsidRDefault="009421FA" w:rsidP="005578F1">
      <w:pPr>
        <w:spacing w:after="0"/>
        <w:ind w:right="540"/>
        <w:jc w:val="both"/>
        <w:rPr>
          <w:sz w:val="24"/>
          <w:lang w:val="en-US"/>
        </w:rPr>
      </w:pPr>
    </w:p>
    <w:p w:rsidR="00F35655" w:rsidRDefault="00BD7919" w:rsidP="005578F1">
      <w:pPr>
        <w:spacing w:after="0"/>
        <w:ind w:right="540"/>
        <w:jc w:val="both"/>
        <w:rPr>
          <w:sz w:val="24"/>
          <w:lang w:val="en-US"/>
        </w:rPr>
      </w:pPr>
      <w:r>
        <w:rPr>
          <w:sz w:val="24"/>
          <w:lang w:val="en-US"/>
        </w:rPr>
        <w:tab/>
      </w:r>
    </w:p>
    <w:p w:rsidR="00F35655" w:rsidRPr="0071386C" w:rsidRDefault="00F35655" w:rsidP="005578F1">
      <w:pPr>
        <w:spacing w:after="0"/>
        <w:ind w:right="540"/>
        <w:jc w:val="both"/>
        <w:rPr>
          <w:sz w:val="24"/>
          <w:lang w:val="en-US"/>
        </w:rPr>
      </w:pPr>
    </w:p>
    <w:sectPr w:rsidR="00F35655" w:rsidRPr="0071386C" w:rsidSect="00054B4C">
      <w:headerReference w:type="default" r:id="rId9"/>
      <w:footerReference w:type="default" r:id="rId10"/>
      <w:pgSz w:w="11906" w:h="16838"/>
      <w:pgMar w:top="1440" w:right="1466"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9B2" w:rsidRDefault="005029B2" w:rsidP="009421FA">
      <w:pPr>
        <w:spacing w:after="0" w:line="240" w:lineRule="auto"/>
      </w:pPr>
      <w:r>
        <w:separator/>
      </w:r>
    </w:p>
  </w:endnote>
  <w:endnote w:type="continuationSeparator" w:id="0">
    <w:p w:rsidR="005029B2" w:rsidRDefault="005029B2" w:rsidP="0094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275028"/>
      <w:docPartObj>
        <w:docPartGallery w:val="Page Numbers (Bottom of Page)"/>
        <w:docPartUnique/>
      </w:docPartObj>
    </w:sdtPr>
    <w:sdtEndPr>
      <w:rPr>
        <w:noProof/>
      </w:rPr>
    </w:sdtEndPr>
    <w:sdtContent>
      <w:p w:rsidR="00DD599C" w:rsidRDefault="00DD599C">
        <w:pPr>
          <w:pStyle w:val="Footer"/>
          <w:jc w:val="right"/>
        </w:pPr>
        <w:r>
          <w:fldChar w:fldCharType="begin"/>
        </w:r>
        <w:r>
          <w:instrText xml:space="preserve"> PAGE   \* MERGEFORMAT </w:instrText>
        </w:r>
        <w:r>
          <w:fldChar w:fldCharType="separate"/>
        </w:r>
        <w:r w:rsidR="00F610A8">
          <w:rPr>
            <w:noProof/>
          </w:rPr>
          <w:t>9</w:t>
        </w:r>
        <w:r>
          <w:rPr>
            <w:noProof/>
          </w:rPr>
          <w:fldChar w:fldCharType="end"/>
        </w:r>
      </w:p>
    </w:sdtContent>
  </w:sdt>
  <w:p w:rsidR="00DD599C" w:rsidRDefault="00DD5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9B2" w:rsidRDefault="005029B2" w:rsidP="009421FA">
      <w:pPr>
        <w:spacing w:after="0" w:line="240" w:lineRule="auto"/>
      </w:pPr>
      <w:r>
        <w:separator/>
      </w:r>
    </w:p>
  </w:footnote>
  <w:footnote w:type="continuationSeparator" w:id="0">
    <w:p w:rsidR="005029B2" w:rsidRDefault="005029B2" w:rsidP="00942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1FA" w:rsidRPr="009421FA" w:rsidRDefault="0004342C" w:rsidP="0004342C">
    <w:pPr>
      <w:pStyle w:val="Header"/>
      <w:tabs>
        <w:tab w:val="left" w:pos="8026"/>
        <w:tab w:val="right" w:pos="9000"/>
      </w:tabs>
      <w:rPr>
        <w:sz w:val="32"/>
        <w:lang w:val="en-US"/>
      </w:rPr>
    </w:pPr>
    <w:r>
      <w:rPr>
        <w:sz w:val="32"/>
        <w:lang w:val="en-US"/>
      </w:rPr>
      <w:tab/>
    </w:r>
    <w:r>
      <w:rPr>
        <w:sz w:val="32"/>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681C"/>
    <w:multiLevelType w:val="hybridMultilevel"/>
    <w:tmpl w:val="FAEEFE2E"/>
    <w:lvl w:ilvl="0" w:tplc="878804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80B5914"/>
    <w:multiLevelType w:val="hybridMultilevel"/>
    <w:tmpl w:val="7ECAA4C8"/>
    <w:lvl w:ilvl="0" w:tplc="C4A69C6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nsid w:val="7BFA77F7"/>
    <w:multiLevelType w:val="hybridMultilevel"/>
    <w:tmpl w:val="A6C2FCEE"/>
    <w:lvl w:ilvl="0" w:tplc="EF1A8132">
      <w:start w:val="1"/>
      <w:numFmt w:val="lowerLetter"/>
      <w:lvlText w:val="(%1)"/>
      <w:lvlJc w:val="left"/>
      <w:pPr>
        <w:ind w:left="1080" w:hanging="360"/>
      </w:pPr>
      <w:rPr>
        <w:rFonts w:hint="default"/>
        <w:i/>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9F"/>
    <w:rsid w:val="00005CE8"/>
    <w:rsid w:val="0000779B"/>
    <w:rsid w:val="00011725"/>
    <w:rsid w:val="00031F08"/>
    <w:rsid w:val="00037CDE"/>
    <w:rsid w:val="0004342C"/>
    <w:rsid w:val="00054B4C"/>
    <w:rsid w:val="0006123E"/>
    <w:rsid w:val="00066A28"/>
    <w:rsid w:val="00081CDA"/>
    <w:rsid w:val="0009286F"/>
    <w:rsid w:val="000A667D"/>
    <w:rsid w:val="000B6A89"/>
    <w:rsid w:val="000E3F85"/>
    <w:rsid w:val="00103869"/>
    <w:rsid w:val="00103C82"/>
    <w:rsid w:val="00147DA7"/>
    <w:rsid w:val="001D5BBD"/>
    <w:rsid w:val="001E2F96"/>
    <w:rsid w:val="001F6A58"/>
    <w:rsid w:val="002006AE"/>
    <w:rsid w:val="00200985"/>
    <w:rsid w:val="002042C8"/>
    <w:rsid w:val="00204564"/>
    <w:rsid w:val="002139F3"/>
    <w:rsid w:val="002249A5"/>
    <w:rsid w:val="00236077"/>
    <w:rsid w:val="002625E3"/>
    <w:rsid w:val="00263423"/>
    <w:rsid w:val="00276B7B"/>
    <w:rsid w:val="002845AC"/>
    <w:rsid w:val="002A2B2E"/>
    <w:rsid w:val="002A394B"/>
    <w:rsid w:val="002E6AC1"/>
    <w:rsid w:val="003216C7"/>
    <w:rsid w:val="00325FE4"/>
    <w:rsid w:val="00351784"/>
    <w:rsid w:val="003570AE"/>
    <w:rsid w:val="0036728F"/>
    <w:rsid w:val="00371283"/>
    <w:rsid w:val="00382153"/>
    <w:rsid w:val="0038298F"/>
    <w:rsid w:val="00391F7D"/>
    <w:rsid w:val="003E34EA"/>
    <w:rsid w:val="003F0532"/>
    <w:rsid w:val="004007C8"/>
    <w:rsid w:val="004042B6"/>
    <w:rsid w:val="00454ED5"/>
    <w:rsid w:val="00456BDD"/>
    <w:rsid w:val="00467CB1"/>
    <w:rsid w:val="0048086A"/>
    <w:rsid w:val="00495696"/>
    <w:rsid w:val="004C0A9A"/>
    <w:rsid w:val="004C6096"/>
    <w:rsid w:val="004E2B0A"/>
    <w:rsid w:val="004E4D8E"/>
    <w:rsid w:val="005029B2"/>
    <w:rsid w:val="00506798"/>
    <w:rsid w:val="0053163F"/>
    <w:rsid w:val="0054364A"/>
    <w:rsid w:val="005469DD"/>
    <w:rsid w:val="00553E18"/>
    <w:rsid w:val="00554308"/>
    <w:rsid w:val="005578F1"/>
    <w:rsid w:val="00571DDC"/>
    <w:rsid w:val="005742A5"/>
    <w:rsid w:val="00585B0C"/>
    <w:rsid w:val="005A136E"/>
    <w:rsid w:val="005C4717"/>
    <w:rsid w:val="005C5E28"/>
    <w:rsid w:val="005E379C"/>
    <w:rsid w:val="005E3BFE"/>
    <w:rsid w:val="005E609E"/>
    <w:rsid w:val="005F297E"/>
    <w:rsid w:val="0065400F"/>
    <w:rsid w:val="0067729F"/>
    <w:rsid w:val="00677DE1"/>
    <w:rsid w:val="00685846"/>
    <w:rsid w:val="00685E22"/>
    <w:rsid w:val="006A0C87"/>
    <w:rsid w:val="006A16C0"/>
    <w:rsid w:val="0071386C"/>
    <w:rsid w:val="00737B1B"/>
    <w:rsid w:val="00743D4F"/>
    <w:rsid w:val="00752584"/>
    <w:rsid w:val="00785F7F"/>
    <w:rsid w:val="00794D3E"/>
    <w:rsid w:val="007B31E4"/>
    <w:rsid w:val="007B58B2"/>
    <w:rsid w:val="007D5682"/>
    <w:rsid w:val="00823AA9"/>
    <w:rsid w:val="00845421"/>
    <w:rsid w:val="00860CD4"/>
    <w:rsid w:val="00866D3C"/>
    <w:rsid w:val="008955E4"/>
    <w:rsid w:val="008C2F8D"/>
    <w:rsid w:val="008D5742"/>
    <w:rsid w:val="008E5874"/>
    <w:rsid w:val="008F2EF8"/>
    <w:rsid w:val="008F44F2"/>
    <w:rsid w:val="00906EEA"/>
    <w:rsid w:val="0094054B"/>
    <w:rsid w:val="009421FA"/>
    <w:rsid w:val="0097587E"/>
    <w:rsid w:val="0098315A"/>
    <w:rsid w:val="00991A16"/>
    <w:rsid w:val="00993A5E"/>
    <w:rsid w:val="009A0D77"/>
    <w:rsid w:val="009A76AA"/>
    <w:rsid w:val="009B0048"/>
    <w:rsid w:val="009D4A83"/>
    <w:rsid w:val="009F0BAF"/>
    <w:rsid w:val="00A07EAD"/>
    <w:rsid w:val="00A32E35"/>
    <w:rsid w:val="00A71C17"/>
    <w:rsid w:val="00AA5760"/>
    <w:rsid w:val="00AD448D"/>
    <w:rsid w:val="00AE1E17"/>
    <w:rsid w:val="00B11007"/>
    <w:rsid w:val="00B33164"/>
    <w:rsid w:val="00B345C9"/>
    <w:rsid w:val="00B43683"/>
    <w:rsid w:val="00B451DA"/>
    <w:rsid w:val="00B678EF"/>
    <w:rsid w:val="00BA0102"/>
    <w:rsid w:val="00BB0CBD"/>
    <w:rsid w:val="00BB6452"/>
    <w:rsid w:val="00BB6786"/>
    <w:rsid w:val="00BD7919"/>
    <w:rsid w:val="00BE38F5"/>
    <w:rsid w:val="00BF04E2"/>
    <w:rsid w:val="00BF47C6"/>
    <w:rsid w:val="00C147A0"/>
    <w:rsid w:val="00C20EA3"/>
    <w:rsid w:val="00C23F00"/>
    <w:rsid w:val="00C443C9"/>
    <w:rsid w:val="00C476CF"/>
    <w:rsid w:val="00C56DF7"/>
    <w:rsid w:val="00C61BF3"/>
    <w:rsid w:val="00C63EBD"/>
    <w:rsid w:val="00CB4E48"/>
    <w:rsid w:val="00CD4E3B"/>
    <w:rsid w:val="00CE1B98"/>
    <w:rsid w:val="00D04D5B"/>
    <w:rsid w:val="00D25782"/>
    <w:rsid w:val="00D53ACE"/>
    <w:rsid w:val="00D921A5"/>
    <w:rsid w:val="00DD599C"/>
    <w:rsid w:val="00DE3AC4"/>
    <w:rsid w:val="00DE3D78"/>
    <w:rsid w:val="00DE41CB"/>
    <w:rsid w:val="00DF2CE4"/>
    <w:rsid w:val="00E04D13"/>
    <w:rsid w:val="00E20957"/>
    <w:rsid w:val="00E21A4B"/>
    <w:rsid w:val="00E379C4"/>
    <w:rsid w:val="00E4397C"/>
    <w:rsid w:val="00E84851"/>
    <w:rsid w:val="00E873ED"/>
    <w:rsid w:val="00E9151D"/>
    <w:rsid w:val="00E95752"/>
    <w:rsid w:val="00E96B96"/>
    <w:rsid w:val="00EB7B05"/>
    <w:rsid w:val="00EC4248"/>
    <w:rsid w:val="00F071EF"/>
    <w:rsid w:val="00F20334"/>
    <w:rsid w:val="00F35655"/>
    <w:rsid w:val="00F47E91"/>
    <w:rsid w:val="00F610A8"/>
    <w:rsid w:val="00F84A6C"/>
    <w:rsid w:val="00FD4C2B"/>
    <w:rsid w:val="00FD6FED"/>
    <w:rsid w:val="00FE27F7"/>
    <w:rsid w:val="00FF279F"/>
    <w:rsid w:val="00FF3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79F"/>
    <w:pPr>
      <w:ind w:left="720"/>
      <w:contextualSpacing/>
    </w:pPr>
  </w:style>
  <w:style w:type="paragraph" w:styleId="Header">
    <w:name w:val="header"/>
    <w:basedOn w:val="Normal"/>
    <w:link w:val="HeaderChar"/>
    <w:uiPriority w:val="99"/>
    <w:unhideWhenUsed/>
    <w:rsid w:val="0094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1FA"/>
  </w:style>
  <w:style w:type="paragraph" w:styleId="Footer">
    <w:name w:val="footer"/>
    <w:basedOn w:val="Normal"/>
    <w:link w:val="FooterChar"/>
    <w:uiPriority w:val="99"/>
    <w:unhideWhenUsed/>
    <w:rsid w:val="0094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1FA"/>
  </w:style>
  <w:style w:type="paragraph" w:styleId="BalloonText">
    <w:name w:val="Balloon Text"/>
    <w:basedOn w:val="Normal"/>
    <w:link w:val="BalloonTextChar"/>
    <w:uiPriority w:val="99"/>
    <w:semiHidden/>
    <w:unhideWhenUsed/>
    <w:rsid w:val="0014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79F"/>
    <w:pPr>
      <w:ind w:left="720"/>
      <w:contextualSpacing/>
    </w:pPr>
  </w:style>
  <w:style w:type="paragraph" w:styleId="Header">
    <w:name w:val="header"/>
    <w:basedOn w:val="Normal"/>
    <w:link w:val="HeaderChar"/>
    <w:uiPriority w:val="99"/>
    <w:unhideWhenUsed/>
    <w:rsid w:val="0094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1FA"/>
  </w:style>
  <w:style w:type="paragraph" w:styleId="Footer">
    <w:name w:val="footer"/>
    <w:basedOn w:val="Normal"/>
    <w:link w:val="FooterChar"/>
    <w:uiPriority w:val="99"/>
    <w:unhideWhenUsed/>
    <w:rsid w:val="0094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1FA"/>
  </w:style>
  <w:style w:type="paragraph" w:styleId="BalloonText">
    <w:name w:val="Balloon Text"/>
    <w:basedOn w:val="Normal"/>
    <w:link w:val="BalloonTextChar"/>
    <w:uiPriority w:val="99"/>
    <w:semiHidden/>
    <w:unhideWhenUsed/>
    <w:rsid w:val="0014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C34F0B-A465-4618-B99A-DB5E53BBCE8A}"/>
</file>

<file path=customXml/itemProps2.xml><?xml version="1.0" encoding="utf-8"?>
<ds:datastoreItem xmlns:ds="http://schemas.openxmlformats.org/officeDocument/2006/customXml" ds:itemID="{76D9EE55-D2B9-436D-9B14-FB737B3A4223}"/>
</file>

<file path=customXml/itemProps3.xml><?xml version="1.0" encoding="utf-8"?>
<ds:datastoreItem xmlns:ds="http://schemas.openxmlformats.org/officeDocument/2006/customXml" ds:itemID="{B0ADBC72-3CDD-4DB5-81B1-E12088A210C6}"/>
</file>

<file path=customXml/itemProps4.xml><?xml version="1.0" encoding="utf-8"?>
<ds:datastoreItem xmlns:ds="http://schemas.openxmlformats.org/officeDocument/2006/customXml" ds:itemID="{18BB1FD9-27D9-4784-BD7A-B283AA3497FC}"/>
</file>

<file path=docProps/app.xml><?xml version="1.0" encoding="utf-8"?>
<Properties xmlns="http://schemas.openxmlformats.org/officeDocument/2006/extended-properties" xmlns:vt="http://schemas.openxmlformats.org/officeDocument/2006/docPropsVTypes">
  <Template>Normal.dotm</Template>
  <TotalTime>0</TotalTime>
  <Pages>1</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5</cp:revision>
  <cp:lastPrinted>2015-09-23T07:25:00Z</cp:lastPrinted>
  <dcterms:created xsi:type="dcterms:W3CDTF">2015-09-11T10:59:00Z</dcterms:created>
  <dcterms:modified xsi:type="dcterms:W3CDTF">2015-09-23T07:25:00Z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52500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