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63" w:rsidRDefault="00D43C63" w:rsidP="00F119AD">
      <w:pPr>
        <w:jc w:val="center"/>
        <w:rPr>
          <w:rFonts w:ascii="Arial" w:hAnsi="Arial" w:cs="Arial"/>
          <w:b/>
          <w:sz w:val="24"/>
          <w:szCs w:val="24"/>
          <w:u w:val="single"/>
        </w:rPr>
      </w:pPr>
    </w:p>
    <w:p w:rsidR="00F119AD" w:rsidRPr="005B3CE8" w:rsidRDefault="00F119AD" w:rsidP="00F119AD">
      <w:pPr>
        <w:jc w:val="center"/>
        <w:rPr>
          <w:rFonts w:ascii="Arial" w:hAnsi="Arial" w:cs="Arial"/>
          <w:b/>
          <w:sz w:val="28"/>
          <w:szCs w:val="28"/>
          <w:u w:val="single"/>
        </w:rPr>
      </w:pPr>
      <w:r w:rsidRPr="005B3CE8">
        <w:rPr>
          <w:rFonts w:ascii="Arial" w:hAnsi="Arial" w:cs="Arial"/>
          <w:b/>
          <w:sz w:val="28"/>
          <w:szCs w:val="28"/>
          <w:u w:val="single"/>
        </w:rPr>
        <w:t xml:space="preserve">EMPLOYMENT RELATIONS TRIBUNAL  </w:t>
      </w:r>
    </w:p>
    <w:p w:rsidR="00056093" w:rsidRDefault="00056093" w:rsidP="00F119AD">
      <w:pPr>
        <w:jc w:val="center"/>
        <w:rPr>
          <w:rFonts w:ascii="Arial" w:hAnsi="Arial" w:cs="Arial"/>
          <w:b/>
          <w:sz w:val="28"/>
          <w:szCs w:val="28"/>
        </w:rPr>
      </w:pPr>
    </w:p>
    <w:p w:rsidR="00F119AD" w:rsidRPr="005B3CE8" w:rsidRDefault="00F96E3D" w:rsidP="00F119AD">
      <w:pPr>
        <w:jc w:val="center"/>
        <w:rPr>
          <w:rFonts w:ascii="Arial" w:hAnsi="Arial" w:cs="Arial"/>
          <w:b/>
          <w:sz w:val="28"/>
          <w:szCs w:val="28"/>
        </w:rPr>
      </w:pPr>
      <w:r>
        <w:rPr>
          <w:rFonts w:ascii="Arial" w:hAnsi="Arial" w:cs="Arial"/>
          <w:b/>
          <w:sz w:val="28"/>
          <w:szCs w:val="28"/>
        </w:rPr>
        <w:t>RULING</w:t>
      </w:r>
    </w:p>
    <w:p w:rsidR="005D2484" w:rsidRPr="005B3CE8" w:rsidRDefault="00F119AD" w:rsidP="00F119AD">
      <w:pPr>
        <w:rPr>
          <w:rFonts w:ascii="Arial" w:hAnsi="Arial" w:cs="Arial"/>
          <w:b/>
          <w:sz w:val="28"/>
          <w:szCs w:val="28"/>
        </w:rPr>
      </w:pPr>
      <w:r w:rsidRPr="005B3CE8">
        <w:rPr>
          <w:rFonts w:ascii="Arial" w:hAnsi="Arial" w:cs="Arial"/>
          <w:b/>
          <w:sz w:val="28"/>
          <w:szCs w:val="28"/>
        </w:rPr>
        <w:t xml:space="preserve">RN </w:t>
      </w:r>
      <w:r w:rsidR="00056093">
        <w:rPr>
          <w:rFonts w:ascii="Arial" w:hAnsi="Arial" w:cs="Arial"/>
          <w:b/>
          <w:sz w:val="28"/>
          <w:szCs w:val="28"/>
        </w:rPr>
        <w:t>10</w:t>
      </w:r>
      <w:r w:rsidR="00F96E3D">
        <w:rPr>
          <w:rFonts w:ascii="Arial" w:hAnsi="Arial" w:cs="Arial"/>
          <w:b/>
          <w:sz w:val="28"/>
          <w:szCs w:val="28"/>
        </w:rPr>
        <w:t>4</w:t>
      </w:r>
      <w:r w:rsidRPr="005B3CE8">
        <w:rPr>
          <w:rFonts w:ascii="Arial" w:hAnsi="Arial" w:cs="Arial"/>
          <w:b/>
          <w:sz w:val="28"/>
          <w:szCs w:val="28"/>
        </w:rPr>
        <w:t>/1</w:t>
      </w:r>
      <w:r w:rsidR="00056093">
        <w:rPr>
          <w:rFonts w:ascii="Arial" w:hAnsi="Arial" w:cs="Arial"/>
          <w:b/>
          <w:sz w:val="28"/>
          <w:szCs w:val="28"/>
        </w:rPr>
        <w:t>3</w:t>
      </w:r>
    </w:p>
    <w:p w:rsidR="002A6DEB" w:rsidRPr="005B3CE8" w:rsidRDefault="002A6DEB" w:rsidP="002A6DEB">
      <w:pPr>
        <w:ind w:firstLine="720"/>
        <w:rPr>
          <w:rFonts w:ascii="Arial" w:hAnsi="Arial" w:cs="Arial"/>
          <w:b/>
          <w:sz w:val="28"/>
          <w:szCs w:val="28"/>
        </w:rPr>
      </w:pPr>
    </w:p>
    <w:p w:rsidR="00F119AD" w:rsidRPr="005B3CE8" w:rsidRDefault="00F119AD" w:rsidP="002A6DEB">
      <w:pPr>
        <w:ind w:firstLine="720"/>
        <w:rPr>
          <w:rFonts w:ascii="Arial" w:hAnsi="Arial" w:cs="Arial"/>
          <w:b/>
          <w:sz w:val="28"/>
          <w:szCs w:val="28"/>
        </w:rPr>
      </w:pPr>
      <w:r w:rsidRPr="005B3CE8">
        <w:rPr>
          <w:rFonts w:ascii="Arial" w:hAnsi="Arial" w:cs="Arial"/>
          <w:b/>
          <w:sz w:val="28"/>
          <w:szCs w:val="28"/>
        </w:rPr>
        <w:t>Before</w:t>
      </w:r>
    </w:p>
    <w:p w:rsidR="00F119AD" w:rsidRPr="005B3CE8" w:rsidRDefault="00F119AD" w:rsidP="00F119AD">
      <w:pPr>
        <w:ind w:left="1440" w:firstLine="720"/>
        <w:jc w:val="both"/>
        <w:rPr>
          <w:rFonts w:ascii="Arial" w:hAnsi="Arial" w:cs="Arial"/>
          <w:b/>
          <w:sz w:val="28"/>
          <w:szCs w:val="28"/>
        </w:rPr>
      </w:pPr>
      <w:r w:rsidRPr="005B3CE8">
        <w:rPr>
          <w:rFonts w:ascii="Arial" w:hAnsi="Arial" w:cs="Arial"/>
          <w:b/>
          <w:sz w:val="28"/>
          <w:szCs w:val="28"/>
        </w:rPr>
        <w:t>Indiren Sivaramen</w:t>
      </w:r>
      <w:r w:rsidRPr="005B3CE8">
        <w:rPr>
          <w:rFonts w:ascii="Arial" w:hAnsi="Arial" w:cs="Arial"/>
          <w:b/>
          <w:sz w:val="28"/>
          <w:szCs w:val="28"/>
        </w:rPr>
        <w:tab/>
      </w:r>
      <w:r w:rsidRPr="005B3CE8">
        <w:rPr>
          <w:rFonts w:ascii="Arial" w:hAnsi="Arial" w:cs="Arial"/>
          <w:b/>
          <w:sz w:val="28"/>
          <w:szCs w:val="28"/>
        </w:rPr>
        <w:tab/>
        <w:t>Vice-President</w:t>
      </w:r>
    </w:p>
    <w:p w:rsidR="00F119AD" w:rsidRPr="005B3CE8" w:rsidRDefault="00F119AD" w:rsidP="00F119AD">
      <w:pPr>
        <w:ind w:left="1440"/>
        <w:jc w:val="center"/>
        <w:rPr>
          <w:rFonts w:ascii="Arial" w:hAnsi="Arial" w:cs="Arial"/>
          <w:b/>
          <w:sz w:val="28"/>
          <w:szCs w:val="28"/>
        </w:rPr>
      </w:pPr>
    </w:p>
    <w:p w:rsidR="00F119AD" w:rsidRPr="005B3CE8" w:rsidRDefault="00927934" w:rsidP="00F119AD">
      <w:pPr>
        <w:ind w:left="1440" w:firstLine="720"/>
        <w:jc w:val="both"/>
        <w:rPr>
          <w:rFonts w:ascii="Arial" w:hAnsi="Arial" w:cs="Arial"/>
          <w:b/>
          <w:sz w:val="28"/>
          <w:szCs w:val="28"/>
        </w:rPr>
      </w:pPr>
      <w:bookmarkStart w:id="0" w:name="_GoBack"/>
      <w:r w:rsidRPr="005B3CE8">
        <w:rPr>
          <w:rFonts w:ascii="Arial" w:hAnsi="Arial" w:cs="Arial"/>
          <w:b/>
          <w:sz w:val="28"/>
          <w:szCs w:val="28"/>
        </w:rPr>
        <w:t>Ra</w:t>
      </w:r>
      <w:r w:rsidR="00F96E3D">
        <w:rPr>
          <w:rFonts w:ascii="Arial" w:hAnsi="Arial" w:cs="Arial"/>
          <w:b/>
          <w:sz w:val="28"/>
          <w:szCs w:val="28"/>
        </w:rPr>
        <w:t>mprakash</w:t>
      </w:r>
      <w:r w:rsidR="00933B24">
        <w:rPr>
          <w:rFonts w:ascii="Arial" w:hAnsi="Arial" w:cs="Arial"/>
          <w:b/>
          <w:sz w:val="28"/>
          <w:szCs w:val="28"/>
        </w:rPr>
        <w:t xml:space="preserve"> </w:t>
      </w:r>
      <w:r w:rsidR="00F96E3D">
        <w:rPr>
          <w:rFonts w:ascii="Arial" w:hAnsi="Arial" w:cs="Arial"/>
          <w:b/>
          <w:sz w:val="28"/>
          <w:szCs w:val="28"/>
        </w:rPr>
        <w:t>Ramkissen</w:t>
      </w:r>
      <w:r w:rsidR="00F119AD" w:rsidRPr="005B3CE8">
        <w:rPr>
          <w:rFonts w:ascii="Arial" w:hAnsi="Arial" w:cs="Arial"/>
          <w:b/>
          <w:bCs/>
          <w:sz w:val="28"/>
          <w:szCs w:val="28"/>
        </w:rPr>
        <w:tab/>
      </w:r>
      <w:r w:rsidR="00F119AD" w:rsidRPr="005B3CE8">
        <w:rPr>
          <w:rFonts w:ascii="Arial" w:hAnsi="Arial" w:cs="Arial"/>
          <w:b/>
          <w:sz w:val="28"/>
          <w:szCs w:val="28"/>
        </w:rPr>
        <w:t>Member</w:t>
      </w:r>
    </w:p>
    <w:bookmarkEnd w:id="0"/>
    <w:p w:rsidR="00F119AD" w:rsidRPr="005B3CE8" w:rsidRDefault="00F119AD" w:rsidP="00F119AD">
      <w:pPr>
        <w:jc w:val="center"/>
        <w:rPr>
          <w:rFonts w:ascii="Arial" w:hAnsi="Arial" w:cs="Arial"/>
          <w:b/>
          <w:sz w:val="28"/>
          <w:szCs w:val="28"/>
        </w:rPr>
      </w:pPr>
    </w:p>
    <w:p w:rsidR="00F119AD" w:rsidRPr="005B3CE8" w:rsidRDefault="00F96E3D" w:rsidP="00F119AD">
      <w:pPr>
        <w:ind w:left="1440" w:firstLine="720"/>
        <w:jc w:val="both"/>
        <w:rPr>
          <w:rFonts w:ascii="Arial" w:hAnsi="Arial" w:cs="Arial"/>
          <w:b/>
          <w:sz w:val="28"/>
          <w:szCs w:val="28"/>
        </w:rPr>
      </w:pPr>
      <w:r>
        <w:rPr>
          <w:rFonts w:ascii="Arial" w:hAnsi="Arial" w:cs="Arial"/>
          <w:b/>
          <w:sz w:val="28"/>
          <w:szCs w:val="28"/>
        </w:rPr>
        <w:t>Denis Labat</w:t>
      </w:r>
      <w:r>
        <w:rPr>
          <w:rFonts w:ascii="Arial" w:hAnsi="Arial" w:cs="Arial"/>
          <w:b/>
          <w:sz w:val="28"/>
          <w:szCs w:val="28"/>
        </w:rPr>
        <w:tab/>
      </w:r>
      <w:r>
        <w:rPr>
          <w:rFonts w:ascii="Arial" w:hAnsi="Arial" w:cs="Arial"/>
          <w:b/>
          <w:sz w:val="28"/>
          <w:szCs w:val="28"/>
        </w:rPr>
        <w:tab/>
      </w:r>
      <w:r w:rsidR="00056093">
        <w:rPr>
          <w:rFonts w:ascii="Arial" w:hAnsi="Arial" w:cs="Arial"/>
          <w:b/>
          <w:sz w:val="28"/>
          <w:szCs w:val="28"/>
        </w:rPr>
        <w:tab/>
      </w:r>
      <w:r w:rsidR="00F119AD" w:rsidRPr="005B3CE8">
        <w:rPr>
          <w:rFonts w:ascii="Arial" w:hAnsi="Arial" w:cs="Arial"/>
          <w:b/>
          <w:sz w:val="28"/>
          <w:szCs w:val="28"/>
        </w:rPr>
        <w:t>Member</w:t>
      </w:r>
    </w:p>
    <w:p w:rsidR="00F119AD" w:rsidRPr="005B3CE8" w:rsidRDefault="00F119AD" w:rsidP="00F119AD">
      <w:pPr>
        <w:jc w:val="center"/>
        <w:rPr>
          <w:rFonts w:ascii="Arial" w:hAnsi="Arial" w:cs="Arial"/>
          <w:b/>
          <w:sz w:val="28"/>
          <w:szCs w:val="28"/>
        </w:rPr>
      </w:pPr>
    </w:p>
    <w:p w:rsidR="00F119AD" w:rsidRPr="005B3CE8" w:rsidRDefault="00927934" w:rsidP="00F119AD">
      <w:pPr>
        <w:tabs>
          <w:tab w:val="left" w:pos="3510"/>
        </w:tabs>
        <w:jc w:val="center"/>
        <w:rPr>
          <w:rFonts w:ascii="Arial" w:hAnsi="Arial" w:cs="Arial"/>
          <w:b/>
          <w:sz w:val="28"/>
          <w:szCs w:val="28"/>
        </w:rPr>
      </w:pPr>
      <w:r w:rsidRPr="005B3CE8">
        <w:rPr>
          <w:rFonts w:ascii="Arial" w:hAnsi="Arial" w:cs="Arial"/>
          <w:b/>
          <w:sz w:val="28"/>
          <w:szCs w:val="28"/>
        </w:rPr>
        <w:t>Triboohun</w:t>
      </w:r>
      <w:r w:rsidR="00933B24">
        <w:rPr>
          <w:rFonts w:ascii="Arial" w:hAnsi="Arial" w:cs="Arial"/>
          <w:b/>
          <w:sz w:val="28"/>
          <w:szCs w:val="28"/>
        </w:rPr>
        <w:t xml:space="preserve"> </w:t>
      </w:r>
      <w:r w:rsidRPr="005B3CE8">
        <w:rPr>
          <w:rFonts w:ascii="Arial" w:hAnsi="Arial" w:cs="Arial"/>
          <w:b/>
          <w:sz w:val="28"/>
          <w:szCs w:val="28"/>
        </w:rPr>
        <w:t>Raj Gunnoo</w:t>
      </w:r>
      <w:r w:rsidR="00F119AD" w:rsidRPr="005B3CE8">
        <w:rPr>
          <w:rFonts w:ascii="Arial" w:hAnsi="Arial" w:cs="Arial"/>
          <w:b/>
          <w:sz w:val="28"/>
          <w:szCs w:val="28"/>
        </w:rPr>
        <w:tab/>
      </w:r>
      <w:r w:rsidR="00F119AD" w:rsidRPr="005B3CE8">
        <w:rPr>
          <w:rFonts w:ascii="Arial" w:hAnsi="Arial" w:cs="Arial"/>
          <w:b/>
          <w:sz w:val="28"/>
          <w:szCs w:val="28"/>
        </w:rPr>
        <w:tab/>
        <w:t>Member</w:t>
      </w:r>
    </w:p>
    <w:p w:rsidR="00F119AD" w:rsidRPr="005B3CE8" w:rsidRDefault="00F119AD" w:rsidP="00F119AD">
      <w:pPr>
        <w:rPr>
          <w:rFonts w:ascii="Arial" w:hAnsi="Arial" w:cs="Arial"/>
          <w:b/>
          <w:sz w:val="28"/>
          <w:szCs w:val="28"/>
        </w:rPr>
      </w:pPr>
    </w:p>
    <w:p w:rsidR="005D2484" w:rsidRPr="005B3CE8" w:rsidRDefault="005D2484" w:rsidP="00F119AD">
      <w:pPr>
        <w:rPr>
          <w:rFonts w:ascii="Arial" w:hAnsi="Arial" w:cs="Arial"/>
          <w:b/>
          <w:sz w:val="28"/>
          <w:szCs w:val="28"/>
        </w:rPr>
      </w:pPr>
    </w:p>
    <w:p w:rsidR="00F119AD" w:rsidRPr="005B3CE8" w:rsidRDefault="00F119AD" w:rsidP="00F119AD">
      <w:pPr>
        <w:rPr>
          <w:rFonts w:ascii="Arial" w:hAnsi="Arial" w:cs="Arial"/>
          <w:b/>
          <w:sz w:val="28"/>
          <w:szCs w:val="28"/>
        </w:rPr>
      </w:pPr>
      <w:r w:rsidRPr="005B3CE8">
        <w:rPr>
          <w:rFonts w:ascii="Arial" w:hAnsi="Arial" w:cs="Arial"/>
          <w:b/>
          <w:sz w:val="28"/>
          <w:szCs w:val="28"/>
        </w:rPr>
        <w:t>In the matter of:-</w:t>
      </w:r>
    </w:p>
    <w:p w:rsidR="00F119AD" w:rsidRPr="005B3CE8" w:rsidRDefault="00F119AD" w:rsidP="00F119AD">
      <w:pPr>
        <w:ind w:firstLine="720"/>
        <w:jc w:val="center"/>
        <w:rPr>
          <w:rFonts w:ascii="Arial" w:hAnsi="Arial" w:cs="Arial"/>
          <w:b/>
          <w:sz w:val="28"/>
          <w:szCs w:val="28"/>
        </w:rPr>
      </w:pPr>
      <w:r w:rsidRPr="005B3CE8">
        <w:rPr>
          <w:rFonts w:ascii="Arial" w:hAnsi="Arial" w:cs="Arial"/>
          <w:b/>
          <w:sz w:val="28"/>
          <w:szCs w:val="28"/>
        </w:rPr>
        <w:t xml:space="preserve">              Mr </w:t>
      </w:r>
      <w:r w:rsidR="002A6055">
        <w:rPr>
          <w:rFonts w:ascii="Arial" w:hAnsi="Arial" w:cs="Arial"/>
          <w:b/>
          <w:sz w:val="28"/>
          <w:szCs w:val="28"/>
        </w:rPr>
        <w:t xml:space="preserve">Lindsay Wilson </w:t>
      </w:r>
      <w:r w:rsidRPr="005B3CE8">
        <w:rPr>
          <w:rFonts w:ascii="Arial" w:hAnsi="Arial" w:cs="Arial"/>
          <w:b/>
          <w:sz w:val="28"/>
          <w:szCs w:val="28"/>
        </w:rPr>
        <w:t>(Disputant)</w:t>
      </w:r>
    </w:p>
    <w:p w:rsidR="00F119AD" w:rsidRPr="005B3CE8" w:rsidRDefault="00F119AD" w:rsidP="00F119AD">
      <w:pPr>
        <w:rPr>
          <w:rFonts w:ascii="Arial" w:hAnsi="Arial" w:cs="Arial"/>
          <w:b/>
          <w:sz w:val="28"/>
          <w:szCs w:val="28"/>
        </w:rPr>
      </w:pPr>
    </w:p>
    <w:p w:rsidR="00F119AD" w:rsidRPr="005B3CE8" w:rsidRDefault="00F119AD" w:rsidP="00F119AD">
      <w:pPr>
        <w:jc w:val="center"/>
        <w:rPr>
          <w:rFonts w:ascii="Arial" w:hAnsi="Arial" w:cs="Arial"/>
          <w:b/>
          <w:sz w:val="28"/>
          <w:szCs w:val="28"/>
        </w:rPr>
      </w:pPr>
      <w:r w:rsidRPr="005B3CE8">
        <w:rPr>
          <w:rFonts w:ascii="Arial" w:hAnsi="Arial" w:cs="Arial"/>
          <w:b/>
          <w:sz w:val="28"/>
          <w:szCs w:val="28"/>
        </w:rPr>
        <w:t>And</w:t>
      </w:r>
    </w:p>
    <w:p w:rsidR="00F119AD" w:rsidRPr="005B3CE8" w:rsidRDefault="00F119AD" w:rsidP="00F119AD">
      <w:pPr>
        <w:jc w:val="center"/>
        <w:rPr>
          <w:rFonts w:ascii="Arial" w:hAnsi="Arial" w:cs="Arial"/>
          <w:b/>
          <w:sz w:val="28"/>
          <w:szCs w:val="28"/>
        </w:rPr>
      </w:pPr>
    </w:p>
    <w:p w:rsidR="00F119AD" w:rsidRDefault="002A6055" w:rsidP="00F119AD">
      <w:pPr>
        <w:ind w:left="1440" w:firstLine="720"/>
        <w:jc w:val="center"/>
        <w:rPr>
          <w:rFonts w:ascii="Arial" w:hAnsi="Arial" w:cs="Arial"/>
          <w:b/>
          <w:sz w:val="28"/>
          <w:szCs w:val="28"/>
        </w:rPr>
      </w:pPr>
      <w:r>
        <w:rPr>
          <w:rFonts w:ascii="Arial" w:hAnsi="Arial" w:cs="Arial"/>
          <w:b/>
          <w:sz w:val="28"/>
          <w:szCs w:val="28"/>
        </w:rPr>
        <w:t>Municipal</w:t>
      </w:r>
      <w:r w:rsidR="00933B24">
        <w:rPr>
          <w:rFonts w:ascii="Arial" w:hAnsi="Arial" w:cs="Arial"/>
          <w:b/>
          <w:sz w:val="28"/>
          <w:szCs w:val="28"/>
        </w:rPr>
        <w:t xml:space="preserve"> </w:t>
      </w:r>
      <w:r>
        <w:rPr>
          <w:rFonts w:ascii="Arial" w:hAnsi="Arial" w:cs="Arial"/>
          <w:b/>
          <w:sz w:val="28"/>
          <w:szCs w:val="28"/>
        </w:rPr>
        <w:t>Council of Quatre</w:t>
      </w:r>
      <w:r w:rsidR="00933B24">
        <w:rPr>
          <w:rFonts w:ascii="Arial" w:hAnsi="Arial" w:cs="Arial"/>
          <w:b/>
          <w:sz w:val="28"/>
          <w:szCs w:val="28"/>
        </w:rPr>
        <w:t xml:space="preserve"> </w:t>
      </w:r>
      <w:r>
        <w:rPr>
          <w:rFonts w:ascii="Arial" w:hAnsi="Arial" w:cs="Arial"/>
          <w:b/>
          <w:sz w:val="28"/>
          <w:szCs w:val="28"/>
        </w:rPr>
        <w:t>Bornes</w:t>
      </w:r>
      <w:r w:rsidR="00F119AD" w:rsidRPr="005B3CE8">
        <w:rPr>
          <w:rFonts w:ascii="Arial" w:hAnsi="Arial" w:cs="Arial"/>
          <w:b/>
          <w:sz w:val="28"/>
          <w:szCs w:val="28"/>
        </w:rPr>
        <w:t xml:space="preserve"> (Respondent)</w:t>
      </w:r>
    </w:p>
    <w:p w:rsidR="002A6055" w:rsidRDefault="002A6055" w:rsidP="00F119AD">
      <w:pPr>
        <w:ind w:left="1440" w:firstLine="720"/>
        <w:jc w:val="center"/>
        <w:rPr>
          <w:rFonts w:ascii="Arial" w:hAnsi="Arial" w:cs="Arial"/>
          <w:b/>
          <w:sz w:val="28"/>
          <w:szCs w:val="28"/>
        </w:rPr>
      </w:pPr>
    </w:p>
    <w:p w:rsidR="002A6055" w:rsidRDefault="002A6055" w:rsidP="00F119AD">
      <w:pPr>
        <w:ind w:left="1440" w:firstLine="720"/>
        <w:jc w:val="center"/>
        <w:rPr>
          <w:rFonts w:ascii="Arial" w:hAnsi="Arial" w:cs="Arial"/>
          <w:b/>
          <w:sz w:val="28"/>
          <w:szCs w:val="28"/>
        </w:rPr>
      </w:pPr>
      <w:r>
        <w:rPr>
          <w:rFonts w:ascii="Arial" w:hAnsi="Arial" w:cs="Arial"/>
          <w:b/>
          <w:sz w:val="28"/>
          <w:szCs w:val="28"/>
        </w:rPr>
        <w:t>In presence of:</w:t>
      </w:r>
    </w:p>
    <w:p w:rsidR="002A6055" w:rsidRDefault="002A6055" w:rsidP="00F119AD">
      <w:pPr>
        <w:ind w:left="1440" w:firstLine="720"/>
        <w:jc w:val="center"/>
        <w:rPr>
          <w:rFonts w:ascii="Arial" w:hAnsi="Arial" w:cs="Arial"/>
          <w:b/>
          <w:sz w:val="28"/>
          <w:szCs w:val="28"/>
        </w:rPr>
      </w:pPr>
    </w:p>
    <w:p w:rsidR="002A6055" w:rsidRDefault="002A6055" w:rsidP="002A6055">
      <w:pPr>
        <w:pStyle w:val="ListParagraph"/>
        <w:numPr>
          <w:ilvl w:val="0"/>
          <w:numId w:val="2"/>
        </w:numPr>
        <w:jc w:val="center"/>
        <w:rPr>
          <w:rFonts w:ascii="Arial" w:hAnsi="Arial" w:cs="Arial"/>
          <w:b/>
          <w:sz w:val="28"/>
          <w:szCs w:val="28"/>
        </w:rPr>
      </w:pPr>
      <w:r w:rsidRPr="002A6055">
        <w:rPr>
          <w:rFonts w:ascii="Arial" w:hAnsi="Arial" w:cs="Arial"/>
          <w:b/>
          <w:sz w:val="28"/>
          <w:szCs w:val="28"/>
        </w:rPr>
        <w:t>Local Government Service Commission  (Co-Respondent No</w:t>
      </w:r>
      <w:r>
        <w:rPr>
          <w:rFonts w:ascii="Arial" w:hAnsi="Arial" w:cs="Arial"/>
          <w:b/>
          <w:sz w:val="28"/>
          <w:szCs w:val="28"/>
        </w:rPr>
        <w:t>.</w:t>
      </w:r>
      <w:r w:rsidRPr="002A6055">
        <w:rPr>
          <w:rFonts w:ascii="Arial" w:hAnsi="Arial" w:cs="Arial"/>
          <w:b/>
          <w:sz w:val="28"/>
          <w:szCs w:val="28"/>
        </w:rPr>
        <w:t xml:space="preserve"> 1)</w:t>
      </w:r>
    </w:p>
    <w:p w:rsidR="002A6055" w:rsidRDefault="002A6055" w:rsidP="002A6055">
      <w:pPr>
        <w:pStyle w:val="ListParagraph"/>
        <w:numPr>
          <w:ilvl w:val="0"/>
          <w:numId w:val="2"/>
        </w:numPr>
        <w:jc w:val="center"/>
        <w:rPr>
          <w:rFonts w:ascii="Arial" w:hAnsi="Arial" w:cs="Arial"/>
          <w:b/>
          <w:sz w:val="28"/>
          <w:szCs w:val="28"/>
        </w:rPr>
      </w:pPr>
      <w:r>
        <w:rPr>
          <w:rFonts w:ascii="Arial" w:hAnsi="Arial" w:cs="Arial"/>
          <w:b/>
          <w:sz w:val="28"/>
          <w:szCs w:val="28"/>
        </w:rPr>
        <w:t>Pay Research Bureau (Co-Respondent No. 2)</w:t>
      </w:r>
    </w:p>
    <w:p w:rsidR="00D2508B" w:rsidRPr="00D2508B" w:rsidRDefault="00D2508B" w:rsidP="00D2508B">
      <w:pPr>
        <w:ind w:left="2160"/>
        <w:jc w:val="center"/>
        <w:rPr>
          <w:rFonts w:ascii="Arial" w:hAnsi="Arial" w:cs="Arial"/>
          <w:b/>
          <w:sz w:val="28"/>
          <w:szCs w:val="28"/>
        </w:rPr>
      </w:pPr>
    </w:p>
    <w:p w:rsidR="00F119AD" w:rsidRPr="005B3CE8" w:rsidRDefault="00F119AD" w:rsidP="00F119AD">
      <w:pPr>
        <w:jc w:val="center"/>
        <w:rPr>
          <w:rFonts w:ascii="Arial" w:hAnsi="Arial" w:cs="Arial"/>
          <w:b/>
          <w:sz w:val="28"/>
          <w:szCs w:val="28"/>
        </w:rPr>
      </w:pPr>
    </w:p>
    <w:p w:rsidR="00245967" w:rsidRDefault="00F119AD" w:rsidP="00F119AD">
      <w:pPr>
        <w:jc w:val="both"/>
        <w:rPr>
          <w:rFonts w:ascii="Arial" w:hAnsi="Arial" w:cs="Arial"/>
          <w:sz w:val="28"/>
          <w:szCs w:val="28"/>
        </w:rPr>
      </w:pPr>
      <w:r w:rsidRPr="005B3CE8">
        <w:rPr>
          <w:rFonts w:ascii="Arial" w:hAnsi="Arial" w:cs="Arial"/>
          <w:sz w:val="28"/>
          <w:szCs w:val="28"/>
        </w:rPr>
        <w:t xml:space="preserve">The present </w:t>
      </w:r>
      <w:r w:rsidR="00DF630C">
        <w:rPr>
          <w:rFonts w:ascii="Arial" w:hAnsi="Arial" w:cs="Arial"/>
          <w:sz w:val="28"/>
          <w:szCs w:val="28"/>
        </w:rPr>
        <w:t>dispute</w:t>
      </w:r>
      <w:r w:rsidRPr="005B3CE8">
        <w:rPr>
          <w:rFonts w:ascii="Arial" w:hAnsi="Arial" w:cs="Arial"/>
          <w:sz w:val="28"/>
          <w:szCs w:val="28"/>
        </w:rPr>
        <w:t xml:space="preserve"> has been referred to the Tribunal by the Commission for Conciliation and Mediation under Section 69(7) of the Employment Relations Act (hereinafter referred to as “the Act”).  </w:t>
      </w:r>
      <w:r w:rsidR="00245967">
        <w:rPr>
          <w:rFonts w:ascii="Arial" w:hAnsi="Arial" w:cs="Arial"/>
          <w:sz w:val="28"/>
          <w:szCs w:val="28"/>
        </w:rPr>
        <w:t xml:space="preserve">Co-Respondents Nos. 1 and 2 </w:t>
      </w:r>
      <w:r w:rsidR="00DF630C">
        <w:rPr>
          <w:rFonts w:ascii="Arial" w:hAnsi="Arial" w:cs="Arial"/>
          <w:sz w:val="28"/>
          <w:szCs w:val="28"/>
        </w:rPr>
        <w:t xml:space="preserve">have been </w:t>
      </w:r>
      <w:r w:rsidR="00245967">
        <w:rPr>
          <w:rFonts w:ascii="Arial" w:hAnsi="Arial" w:cs="Arial"/>
          <w:sz w:val="28"/>
          <w:szCs w:val="28"/>
        </w:rPr>
        <w:t xml:space="preserve">joined as parties </w:t>
      </w:r>
      <w:r w:rsidR="00DF630C">
        <w:rPr>
          <w:rFonts w:ascii="Arial" w:hAnsi="Arial" w:cs="Arial"/>
          <w:sz w:val="28"/>
          <w:szCs w:val="28"/>
        </w:rPr>
        <w:t xml:space="preserve">during </w:t>
      </w:r>
      <w:r w:rsidR="00245967">
        <w:rPr>
          <w:rFonts w:ascii="Arial" w:hAnsi="Arial" w:cs="Arial"/>
          <w:sz w:val="28"/>
          <w:szCs w:val="28"/>
        </w:rPr>
        <w:t xml:space="preserve">the </w:t>
      </w:r>
      <w:r w:rsidR="00DF630C">
        <w:rPr>
          <w:rFonts w:ascii="Arial" w:hAnsi="Arial" w:cs="Arial"/>
          <w:sz w:val="28"/>
          <w:szCs w:val="28"/>
        </w:rPr>
        <w:t xml:space="preserve">course of the </w:t>
      </w:r>
      <w:r w:rsidR="00245967">
        <w:rPr>
          <w:rFonts w:ascii="Arial" w:hAnsi="Arial" w:cs="Arial"/>
          <w:sz w:val="28"/>
          <w:szCs w:val="28"/>
        </w:rPr>
        <w:t xml:space="preserve">proceedings.  </w:t>
      </w:r>
      <w:r w:rsidR="00DF1B96">
        <w:rPr>
          <w:rFonts w:ascii="Arial" w:hAnsi="Arial" w:cs="Arial"/>
          <w:sz w:val="28"/>
          <w:szCs w:val="28"/>
        </w:rPr>
        <w:t>T</w:t>
      </w:r>
      <w:r w:rsidR="00DF630C">
        <w:rPr>
          <w:rFonts w:ascii="Arial" w:hAnsi="Arial" w:cs="Arial"/>
          <w:sz w:val="28"/>
          <w:szCs w:val="28"/>
        </w:rPr>
        <w:t>here was no possibility of a settlement</w:t>
      </w:r>
      <w:r w:rsidR="00DF1B96">
        <w:rPr>
          <w:rFonts w:ascii="Arial" w:hAnsi="Arial" w:cs="Arial"/>
          <w:sz w:val="28"/>
          <w:szCs w:val="28"/>
        </w:rPr>
        <w:t xml:space="preserve"> and </w:t>
      </w:r>
      <w:r w:rsidR="00245967">
        <w:rPr>
          <w:rFonts w:ascii="Arial" w:hAnsi="Arial" w:cs="Arial"/>
          <w:sz w:val="28"/>
          <w:szCs w:val="28"/>
        </w:rPr>
        <w:t>Counsel for</w:t>
      </w:r>
      <w:r w:rsidR="00933B24">
        <w:rPr>
          <w:rFonts w:ascii="Arial" w:hAnsi="Arial" w:cs="Arial"/>
          <w:sz w:val="28"/>
          <w:szCs w:val="28"/>
        </w:rPr>
        <w:t xml:space="preserve"> </w:t>
      </w:r>
      <w:r w:rsidR="00A81745">
        <w:rPr>
          <w:rFonts w:ascii="Arial" w:hAnsi="Arial" w:cs="Arial"/>
          <w:sz w:val="28"/>
          <w:szCs w:val="28"/>
        </w:rPr>
        <w:t>Co-</w:t>
      </w:r>
      <w:r w:rsidR="00245967">
        <w:rPr>
          <w:rFonts w:ascii="Arial" w:hAnsi="Arial" w:cs="Arial"/>
          <w:sz w:val="28"/>
          <w:szCs w:val="28"/>
        </w:rPr>
        <w:t xml:space="preserve">Respondent </w:t>
      </w:r>
      <w:r w:rsidR="00A81745">
        <w:rPr>
          <w:rFonts w:ascii="Arial" w:hAnsi="Arial" w:cs="Arial"/>
          <w:sz w:val="28"/>
          <w:szCs w:val="28"/>
        </w:rPr>
        <w:t xml:space="preserve">No. 1 </w:t>
      </w:r>
      <w:r w:rsidR="00245967">
        <w:rPr>
          <w:rFonts w:ascii="Arial" w:hAnsi="Arial" w:cs="Arial"/>
          <w:sz w:val="28"/>
          <w:szCs w:val="28"/>
        </w:rPr>
        <w:t>raised two preliminary points which read as follows:</w:t>
      </w:r>
    </w:p>
    <w:p w:rsidR="00245967" w:rsidRDefault="00245967" w:rsidP="00F119AD">
      <w:pPr>
        <w:jc w:val="both"/>
        <w:rPr>
          <w:rFonts w:ascii="Arial" w:hAnsi="Arial" w:cs="Arial"/>
          <w:sz w:val="28"/>
          <w:szCs w:val="28"/>
        </w:rPr>
      </w:pPr>
    </w:p>
    <w:p w:rsidR="00245967" w:rsidRDefault="00244052" w:rsidP="00244052">
      <w:pPr>
        <w:pStyle w:val="ListParagraph"/>
        <w:numPr>
          <w:ilvl w:val="0"/>
          <w:numId w:val="3"/>
        </w:numPr>
        <w:jc w:val="both"/>
        <w:rPr>
          <w:rFonts w:ascii="Arial" w:hAnsi="Arial" w:cs="Arial"/>
          <w:sz w:val="28"/>
          <w:szCs w:val="28"/>
        </w:rPr>
      </w:pPr>
      <w:r>
        <w:rPr>
          <w:rFonts w:ascii="Arial" w:hAnsi="Arial" w:cs="Arial"/>
          <w:sz w:val="28"/>
          <w:szCs w:val="28"/>
        </w:rPr>
        <w:t xml:space="preserve"> The case does not fall within the definition of a labour dispute as defined under the Employment Relations Act; and</w:t>
      </w:r>
    </w:p>
    <w:p w:rsidR="00244052" w:rsidRPr="00244052" w:rsidRDefault="007219D6" w:rsidP="00244052">
      <w:pPr>
        <w:pStyle w:val="ListParagraph"/>
        <w:numPr>
          <w:ilvl w:val="0"/>
          <w:numId w:val="3"/>
        </w:numPr>
        <w:jc w:val="both"/>
        <w:rPr>
          <w:rFonts w:ascii="Arial" w:hAnsi="Arial" w:cs="Arial"/>
          <w:sz w:val="28"/>
          <w:szCs w:val="28"/>
        </w:rPr>
      </w:pPr>
      <w:r>
        <w:rPr>
          <w:rFonts w:ascii="Arial" w:hAnsi="Arial" w:cs="Arial"/>
          <w:sz w:val="28"/>
          <w:szCs w:val="28"/>
        </w:rPr>
        <w:t xml:space="preserve"> </w:t>
      </w:r>
      <w:proofErr w:type="gramStart"/>
      <w:r w:rsidR="00244052">
        <w:rPr>
          <w:rFonts w:ascii="Arial" w:hAnsi="Arial" w:cs="Arial"/>
          <w:sz w:val="28"/>
          <w:szCs w:val="28"/>
        </w:rPr>
        <w:t>the</w:t>
      </w:r>
      <w:proofErr w:type="gramEnd"/>
      <w:r w:rsidR="00244052">
        <w:rPr>
          <w:rFonts w:ascii="Arial" w:hAnsi="Arial" w:cs="Arial"/>
          <w:sz w:val="28"/>
          <w:szCs w:val="28"/>
        </w:rPr>
        <w:t xml:space="preserve"> Tribunal does not have jurisdiction to grant the prayer sought by the Disputant.</w:t>
      </w:r>
    </w:p>
    <w:p w:rsidR="00245967" w:rsidRDefault="00245967" w:rsidP="00F119AD">
      <w:pPr>
        <w:jc w:val="both"/>
        <w:rPr>
          <w:rFonts w:ascii="Arial" w:hAnsi="Arial" w:cs="Arial"/>
          <w:sz w:val="28"/>
          <w:szCs w:val="28"/>
        </w:rPr>
      </w:pPr>
    </w:p>
    <w:p w:rsidR="00245967" w:rsidRDefault="00245967" w:rsidP="00F119AD">
      <w:pPr>
        <w:jc w:val="both"/>
        <w:rPr>
          <w:rFonts w:ascii="Arial" w:hAnsi="Arial" w:cs="Arial"/>
          <w:sz w:val="28"/>
          <w:szCs w:val="28"/>
        </w:rPr>
      </w:pPr>
    </w:p>
    <w:p w:rsidR="00245967" w:rsidRDefault="00245967" w:rsidP="00F119AD">
      <w:pPr>
        <w:jc w:val="both"/>
        <w:rPr>
          <w:rFonts w:ascii="Arial" w:hAnsi="Arial" w:cs="Arial"/>
          <w:sz w:val="28"/>
          <w:szCs w:val="28"/>
        </w:rPr>
      </w:pPr>
    </w:p>
    <w:p w:rsidR="0030786F" w:rsidRPr="005B3CE8" w:rsidRDefault="00245967" w:rsidP="00F119AD">
      <w:pPr>
        <w:jc w:val="both"/>
        <w:rPr>
          <w:rFonts w:ascii="Arial" w:hAnsi="Arial" w:cs="Arial"/>
          <w:sz w:val="28"/>
          <w:szCs w:val="28"/>
        </w:rPr>
      </w:pPr>
      <w:r>
        <w:rPr>
          <w:rFonts w:ascii="Arial" w:hAnsi="Arial" w:cs="Arial"/>
          <w:sz w:val="28"/>
          <w:szCs w:val="28"/>
        </w:rPr>
        <w:t>The matter was thus fixed for arguments and all</w:t>
      </w:r>
      <w:r w:rsidR="00F119AD" w:rsidRPr="005B3CE8">
        <w:rPr>
          <w:rFonts w:ascii="Arial" w:hAnsi="Arial" w:cs="Arial"/>
          <w:sz w:val="28"/>
          <w:szCs w:val="28"/>
        </w:rPr>
        <w:t xml:space="preserve"> parties</w:t>
      </w:r>
      <w:r w:rsidR="00BC44FB" w:rsidRPr="005B3CE8">
        <w:rPr>
          <w:rFonts w:ascii="Arial" w:hAnsi="Arial" w:cs="Arial"/>
          <w:sz w:val="28"/>
          <w:szCs w:val="28"/>
        </w:rPr>
        <w:t xml:space="preserve"> were assisted by Counsel</w:t>
      </w:r>
      <w:r>
        <w:rPr>
          <w:rFonts w:ascii="Arial" w:hAnsi="Arial" w:cs="Arial"/>
          <w:sz w:val="28"/>
          <w:szCs w:val="28"/>
        </w:rPr>
        <w:t xml:space="preserve"> before the </w:t>
      </w:r>
      <w:proofErr w:type="spellStart"/>
      <w:r>
        <w:rPr>
          <w:rFonts w:ascii="Arial" w:hAnsi="Arial" w:cs="Arial"/>
          <w:sz w:val="28"/>
          <w:szCs w:val="28"/>
        </w:rPr>
        <w:t>Tribunal</w:t>
      </w:r>
      <w:r w:rsidR="00BC44FB" w:rsidRPr="005B3CE8">
        <w:rPr>
          <w:rFonts w:ascii="Arial" w:hAnsi="Arial" w:cs="Arial"/>
          <w:sz w:val="28"/>
          <w:szCs w:val="28"/>
        </w:rPr>
        <w:t>.</w:t>
      </w:r>
      <w:r w:rsidR="00F119AD" w:rsidRPr="005B3CE8">
        <w:rPr>
          <w:rFonts w:ascii="Arial" w:hAnsi="Arial" w:cs="Arial"/>
          <w:sz w:val="28"/>
          <w:szCs w:val="28"/>
        </w:rPr>
        <w:t>The</w:t>
      </w:r>
      <w:proofErr w:type="spellEnd"/>
      <w:r w:rsidR="00F119AD" w:rsidRPr="005B3CE8">
        <w:rPr>
          <w:rFonts w:ascii="Arial" w:hAnsi="Arial" w:cs="Arial"/>
          <w:sz w:val="28"/>
          <w:szCs w:val="28"/>
        </w:rPr>
        <w:t xml:space="preserve"> terms of reference </w:t>
      </w:r>
      <w:r>
        <w:rPr>
          <w:rFonts w:ascii="Arial" w:hAnsi="Arial" w:cs="Arial"/>
          <w:sz w:val="28"/>
          <w:szCs w:val="28"/>
        </w:rPr>
        <w:t xml:space="preserve">of the dispute </w:t>
      </w:r>
      <w:r w:rsidR="00F119AD" w:rsidRPr="005B3CE8">
        <w:rPr>
          <w:rFonts w:ascii="Arial" w:hAnsi="Arial" w:cs="Arial"/>
          <w:sz w:val="28"/>
          <w:szCs w:val="28"/>
        </w:rPr>
        <w:t>read as follows:</w:t>
      </w:r>
    </w:p>
    <w:p w:rsidR="00F119AD" w:rsidRDefault="00F119AD" w:rsidP="00F119AD">
      <w:pPr>
        <w:jc w:val="both"/>
        <w:rPr>
          <w:rFonts w:ascii="Arial" w:hAnsi="Arial" w:cs="Arial"/>
          <w:sz w:val="24"/>
          <w:szCs w:val="24"/>
        </w:rPr>
      </w:pPr>
    </w:p>
    <w:p w:rsidR="008D1291" w:rsidRPr="006C6E70" w:rsidRDefault="00495175" w:rsidP="00056093">
      <w:pPr>
        <w:jc w:val="both"/>
        <w:rPr>
          <w:rFonts w:ascii="Arial" w:hAnsi="Arial" w:cs="Arial"/>
          <w:sz w:val="28"/>
          <w:szCs w:val="28"/>
        </w:rPr>
      </w:pPr>
      <w:r>
        <w:rPr>
          <w:rFonts w:ascii="Arial" w:hAnsi="Arial" w:cs="Arial"/>
          <w:i/>
          <w:sz w:val="24"/>
          <w:szCs w:val="24"/>
        </w:rPr>
        <w:t>“</w:t>
      </w:r>
      <w:r w:rsidR="00B001F9" w:rsidRPr="00B001F9">
        <w:rPr>
          <w:rFonts w:ascii="Arial" w:hAnsi="Arial" w:cs="Arial"/>
          <w:i/>
          <w:sz w:val="28"/>
          <w:szCs w:val="28"/>
        </w:rPr>
        <w:t>Whether</w:t>
      </w:r>
      <w:r w:rsidR="00933B24">
        <w:rPr>
          <w:rFonts w:ascii="Arial" w:hAnsi="Arial" w:cs="Arial"/>
          <w:i/>
          <w:sz w:val="28"/>
          <w:szCs w:val="28"/>
        </w:rPr>
        <w:t xml:space="preserve"> </w:t>
      </w:r>
      <w:r w:rsidR="00B001F9" w:rsidRPr="00B001F9">
        <w:rPr>
          <w:rFonts w:ascii="Arial" w:hAnsi="Arial" w:cs="Arial"/>
          <w:i/>
          <w:sz w:val="28"/>
          <w:szCs w:val="28"/>
        </w:rPr>
        <w:t>I, Lindsay</w:t>
      </w:r>
      <w:r w:rsidR="00B001F9">
        <w:rPr>
          <w:rFonts w:ascii="Arial" w:hAnsi="Arial" w:cs="Arial"/>
          <w:i/>
          <w:sz w:val="28"/>
          <w:szCs w:val="28"/>
        </w:rPr>
        <w:t xml:space="preserve"> Wilson,</w:t>
      </w:r>
      <w:r w:rsidR="00933B24">
        <w:rPr>
          <w:rFonts w:ascii="Arial" w:hAnsi="Arial" w:cs="Arial"/>
          <w:i/>
          <w:sz w:val="28"/>
          <w:szCs w:val="28"/>
        </w:rPr>
        <w:t xml:space="preserve"> </w:t>
      </w:r>
      <w:r w:rsidR="00B001F9">
        <w:rPr>
          <w:rFonts w:ascii="Arial" w:hAnsi="Arial" w:cs="Arial"/>
          <w:i/>
          <w:sz w:val="28"/>
          <w:szCs w:val="28"/>
        </w:rPr>
        <w:t xml:space="preserve">should be reverted back to my previous post of Attendant (Vocational Training Centre) and be granted </w:t>
      </w:r>
      <w:r w:rsidR="00244052">
        <w:rPr>
          <w:rFonts w:ascii="Arial" w:hAnsi="Arial" w:cs="Arial"/>
          <w:i/>
          <w:sz w:val="28"/>
          <w:szCs w:val="28"/>
        </w:rPr>
        <w:t>one increment every two years on completing 24 years of service in a single grade as per PRB Report 2008</w:t>
      </w:r>
      <w:r w:rsidR="006C6E70">
        <w:rPr>
          <w:rFonts w:ascii="Arial" w:hAnsi="Arial" w:cs="Arial"/>
          <w:i/>
          <w:sz w:val="28"/>
          <w:szCs w:val="28"/>
        </w:rPr>
        <w:t>.”</w:t>
      </w:r>
    </w:p>
    <w:p w:rsidR="00AA3B87" w:rsidRDefault="00AA3B87" w:rsidP="00F119AD">
      <w:pPr>
        <w:jc w:val="both"/>
        <w:rPr>
          <w:rFonts w:ascii="Arial" w:hAnsi="Arial" w:cs="Arial"/>
          <w:sz w:val="24"/>
          <w:szCs w:val="24"/>
        </w:rPr>
      </w:pPr>
    </w:p>
    <w:p w:rsidR="006A4071" w:rsidRDefault="00244052" w:rsidP="00F119AD">
      <w:pPr>
        <w:jc w:val="both"/>
        <w:rPr>
          <w:rFonts w:ascii="Arial" w:hAnsi="Arial" w:cs="Arial"/>
          <w:b/>
          <w:sz w:val="28"/>
          <w:szCs w:val="28"/>
        </w:rPr>
      </w:pPr>
      <w:r w:rsidRPr="00244052">
        <w:rPr>
          <w:rFonts w:ascii="Arial" w:hAnsi="Arial" w:cs="Arial"/>
          <w:sz w:val="28"/>
          <w:szCs w:val="28"/>
        </w:rPr>
        <w:t xml:space="preserve">The </w:t>
      </w:r>
      <w:r>
        <w:rPr>
          <w:rFonts w:ascii="Arial" w:hAnsi="Arial" w:cs="Arial"/>
          <w:sz w:val="28"/>
          <w:szCs w:val="28"/>
        </w:rPr>
        <w:t xml:space="preserve">Tribunal heard arguments from all parties on the preliminary points raised.  </w:t>
      </w:r>
      <w:r w:rsidR="003500D1">
        <w:rPr>
          <w:rFonts w:ascii="Arial" w:hAnsi="Arial" w:cs="Arial"/>
          <w:sz w:val="28"/>
          <w:szCs w:val="28"/>
        </w:rPr>
        <w:t xml:space="preserve">A certified copy of the option form signed by Disputant accepting the revised emoluments and terms and conditions of service following the Pay Research Bureau (PRB) Report 2008 was produced (Doc A) as well as extracts from the said PRB Report 2008 (Doc B).  </w:t>
      </w:r>
      <w:r>
        <w:rPr>
          <w:rFonts w:ascii="Arial" w:hAnsi="Arial" w:cs="Arial"/>
          <w:sz w:val="28"/>
          <w:szCs w:val="28"/>
        </w:rPr>
        <w:t xml:space="preserve">Counsel for </w:t>
      </w:r>
      <w:r w:rsidR="00A81745">
        <w:rPr>
          <w:rFonts w:ascii="Arial" w:hAnsi="Arial" w:cs="Arial"/>
          <w:sz w:val="28"/>
          <w:szCs w:val="28"/>
        </w:rPr>
        <w:t>Co-</w:t>
      </w:r>
      <w:r>
        <w:rPr>
          <w:rFonts w:ascii="Arial" w:hAnsi="Arial" w:cs="Arial"/>
          <w:sz w:val="28"/>
          <w:szCs w:val="28"/>
        </w:rPr>
        <w:t xml:space="preserve">Respondent </w:t>
      </w:r>
      <w:r w:rsidR="00A81745">
        <w:rPr>
          <w:rFonts w:ascii="Arial" w:hAnsi="Arial" w:cs="Arial"/>
          <w:sz w:val="28"/>
          <w:szCs w:val="28"/>
        </w:rPr>
        <w:t xml:space="preserve">No. 1 </w:t>
      </w:r>
      <w:r>
        <w:rPr>
          <w:rFonts w:ascii="Arial" w:hAnsi="Arial" w:cs="Arial"/>
          <w:sz w:val="28"/>
          <w:szCs w:val="28"/>
        </w:rPr>
        <w:t xml:space="preserve">argued that </w:t>
      </w:r>
      <w:r w:rsidR="004B2F3E">
        <w:rPr>
          <w:rFonts w:ascii="Arial" w:hAnsi="Arial" w:cs="Arial"/>
          <w:sz w:val="28"/>
          <w:szCs w:val="28"/>
        </w:rPr>
        <w:t xml:space="preserve">the Disputant is in effect seeking to challenge his appointment as </w:t>
      </w:r>
      <w:r w:rsidR="00A34904">
        <w:rPr>
          <w:rFonts w:ascii="Arial" w:hAnsi="Arial" w:cs="Arial"/>
          <w:sz w:val="28"/>
          <w:szCs w:val="28"/>
        </w:rPr>
        <w:t>H</w:t>
      </w:r>
      <w:r w:rsidR="004B2F3E">
        <w:rPr>
          <w:rFonts w:ascii="Arial" w:hAnsi="Arial" w:cs="Arial"/>
          <w:sz w:val="28"/>
          <w:szCs w:val="28"/>
        </w:rPr>
        <w:t xml:space="preserve">andy </w:t>
      </w:r>
      <w:r w:rsidR="00A34904">
        <w:rPr>
          <w:rFonts w:ascii="Arial" w:hAnsi="Arial" w:cs="Arial"/>
          <w:sz w:val="28"/>
          <w:szCs w:val="28"/>
        </w:rPr>
        <w:t>W</w:t>
      </w:r>
      <w:r w:rsidR="004B2F3E">
        <w:rPr>
          <w:rFonts w:ascii="Arial" w:hAnsi="Arial" w:cs="Arial"/>
          <w:sz w:val="28"/>
          <w:szCs w:val="28"/>
        </w:rPr>
        <w:t xml:space="preserve">orker and that such a matter does not fall within the definition of labour dispute.  </w:t>
      </w:r>
      <w:r w:rsidR="00A52BB0">
        <w:rPr>
          <w:rFonts w:ascii="Arial" w:hAnsi="Arial" w:cs="Arial"/>
          <w:sz w:val="28"/>
          <w:szCs w:val="28"/>
        </w:rPr>
        <w:t>She also added that the</w:t>
      </w:r>
      <w:r w:rsidR="00933B24">
        <w:rPr>
          <w:rFonts w:ascii="Arial" w:hAnsi="Arial" w:cs="Arial"/>
          <w:sz w:val="28"/>
          <w:szCs w:val="28"/>
        </w:rPr>
        <w:t xml:space="preserve"> </w:t>
      </w:r>
      <w:r w:rsidR="00A52BB0">
        <w:rPr>
          <w:rFonts w:ascii="Arial" w:hAnsi="Arial" w:cs="Arial"/>
          <w:sz w:val="28"/>
          <w:szCs w:val="28"/>
        </w:rPr>
        <w:t>definition of labour dispute specifically excludes a dispute</w:t>
      </w:r>
      <w:r w:rsidR="00255F35">
        <w:rPr>
          <w:rFonts w:ascii="Arial" w:hAnsi="Arial" w:cs="Arial"/>
          <w:sz w:val="28"/>
          <w:szCs w:val="28"/>
        </w:rPr>
        <w:t>,</w:t>
      </w:r>
      <w:r w:rsidR="00A52BB0">
        <w:rPr>
          <w:rFonts w:ascii="Arial" w:hAnsi="Arial" w:cs="Arial"/>
          <w:sz w:val="28"/>
          <w:szCs w:val="28"/>
        </w:rPr>
        <w:t xml:space="preserve"> made by a worker as a result of the exercise by him of an option to be governed by a recommendation of the PRB</w:t>
      </w:r>
      <w:r w:rsidR="00255F35">
        <w:rPr>
          <w:rFonts w:ascii="Arial" w:hAnsi="Arial" w:cs="Arial"/>
          <w:sz w:val="28"/>
          <w:szCs w:val="28"/>
        </w:rPr>
        <w:t>,</w:t>
      </w:r>
      <w:r w:rsidR="00A52BB0">
        <w:rPr>
          <w:rFonts w:ascii="Arial" w:hAnsi="Arial" w:cs="Arial"/>
          <w:sz w:val="28"/>
          <w:szCs w:val="28"/>
        </w:rPr>
        <w:t xml:space="preserve"> in relation to remuneration or allowances.  </w:t>
      </w:r>
      <w:r w:rsidR="00806E83">
        <w:rPr>
          <w:rFonts w:ascii="Arial" w:hAnsi="Arial" w:cs="Arial"/>
          <w:sz w:val="28"/>
          <w:szCs w:val="28"/>
        </w:rPr>
        <w:t xml:space="preserve">She submitted that the issue of appointment cannot be challenged before this forum and that the appropriate </w:t>
      </w:r>
      <w:r w:rsidR="00D31B37">
        <w:rPr>
          <w:rFonts w:ascii="Arial" w:hAnsi="Arial" w:cs="Arial"/>
          <w:sz w:val="28"/>
          <w:szCs w:val="28"/>
        </w:rPr>
        <w:t xml:space="preserve">venue would be the Public Bodies Appeal Tribunal or by way of judicial review before the Supreme Court.  She also referred to paragraph </w:t>
      </w:r>
      <w:r w:rsidR="00C92DF2">
        <w:rPr>
          <w:rFonts w:ascii="Arial" w:hAnsi="Arial" w:cs="Arial"/>
          <w:sz w:val="28"/>
          <w:szCs w:val="28"/>
        </w:rPr>
        <w:t>6</w:t>
      </w:r>
      <w:r w:rsidR="00D31B37">
        <w:rPr>
          <w:rFonts w:ascii="Arial" w:hAnsi="Arial" w:cs="Arial"/>
          <w:sz w:val="28"/>
          <w:szCs w:val="28"/>
        </w:rPr>
        <w:t xml:space="preserve"> of Disputant’s Statement of Case and to the terms of reference of the dispute.  She then relied on the Supreme Court</w:t>
      </w:r>
      <w:r w:rsidR="00933B24">
        <w:rPr>
          <w:rFonts w:ascii="Arial" w:hAnsi="Arial" w:cs="Arial"/>
          <w:sz w:val="28"/>
          <w:szCs w:val="28"/>
        </w:rPr>
        <w:t xml:space="preserve"> </w:t>
      </w:r>
      <w:r w:rsidR="00D31B37">
        <w:rPr>
          <w:rFonts w:ascii="Arial" w:hAnsi="Arial" w:cs="Arial"/>
          <w:sz w:val="28"/>
          <w:szCs w:val="28"/>
        </w:rPr>
        <w:t xml:space="preserve">judgment in the case of </w:t>
      </w:r>
      <w:r w:rsidR="00D31B37" w:rsidRPr="00D31B37">
        <w:rPr>
          <w:rFonts w:ascii="Arial" w:hAnsi="Arial" w:cs="Arial"/>
          <w:b/>
          <w:sz w:val="28"/>
          <w:szCs w:val="28"/>
        </w:rPr>
        <w:t>Federation of Civil Service and other unions &amp; others v State of Mauritius &amp;</w:t>
      </w:r>
      <w:r w:rsidR="007219D6">
        <w:rPr>
          <w:rFonts w:ascii="Arial" w:hAnsi="Arial" w:cs="Arial"/>
          <w:b/>
          <w:sz w:val="28"/>
          <w:szCs w:val="28"/>
        </w:rPr>
        <w:t xml:space="preserve"> </w:t>
      </w:r>
      <w:proofErr w:type="spellStart"/>
      <w:r w:rsidR="00D31B37" w:rsidRPr="00D31B37">
        <w:rPr>
          <w:rFonts w:ascii="Arial" w:hAnsi="Arial" w:cs="Arial"/>
          <w:b/>
          <w:sz w:val="28"/>
          <w:szCs w:val="28"/>
        </w:rPr>
        <w:t>Anor</w:t>
      </w:r>
      <w:proofErr w:type="spellEnd"/>
      <w:r w:rsidR="00D31B37" w:rsidRPr="00D31B37">
        <w:rPr>
          <w:rFonts w:ascii="Arial" w:hAnsi="Arial" w:cs="Arial"/>
          <w:b/>
          <w:sz w:val="28"/>
          <w:szCs w:val="28"/>
        </w:rPr>
        <w:t xml:space="preserve">. </w:t>
      </w:r>
      <w:proofErr w:type="gramStart"/>
      <w:r w:rsidR="00D31B37" w:rsidRPr="00D31B37">
        <w:rPr>
          <w:rFonts w:ascii="Arial" w:hAnsi="Arial" w:cs="Arial"/>
          <w:b/>
          <w:sz w:val="28"/>
          <w:szCs w:val="28"/>
        </w:rPr>
        <w:t>2009 SCJ 214</w:t>
      </w:r>
      <w:r w:rsidR="006A4071">
        <w:rPr>
          <w:rFonts w:ascii="Arial" w:hAnsi="Arial" w:cs="Arial"/>
          <w:b/>
          <w:sz w:val="28"/>
          <w:szCs w:val="28"/>
        </w:rPr>
        <w:t>.</w:t>
      </w:r>
      <w:proofErr w:type="gramEnd"/>
    </w:p>
    <w:p w:rsidR="006A4071" w:rsidRDefault="006A4071" w:rsidP="00F119AD">
      <w:pPr>
        <w:jc w:val="both"/>
        <w:rPr>
          <w:rFonts w:ascii="Arial" w:hAnsi="Arial" w:cs="Arial"/>
          <w:b/>
          <w:sz w:val="28"/>
          <w:szCs w:val="28"/>
        </w:rPr>
      </w:pPr>
    </w:p>
    <w:p w:rsidR="00DC2341" w:rsidRPr="00F5468C" w:rsidRDefault="006A4071" w:rsidP="00F119AD">
      <w:pPr>
        <w:jc w:val="both"/>
        <w:rPr>
          <w:rFonts w:ascii="Arial" w:hAnsi="Arial" w:cs="Arial"/>
          <w:b/>
          <w:sz w:val="28"/>
          <w:szCs w:val="28"/>
        </w:rPr>
      </w:pPr>
      <w:r w:rsidRPr="006A4071">
        <w:rPr>
          <w:rFonts w:ascii="Arial" w:hAnsi="Arial" w:cs="Arial"/>
          <w:sz w:val="28"/>
          <w:szCs w:val="28"/>
        </w:rPr>
        <w:t>Under the second limb, Counsel</w:t>
      </w:r>
      <w:r>
        <w:rPr>
          <w:rFonts w:ascii="Arial" w:hAnsi="Arial" w:cs="Arial"/>
          <w:sz w:val="28"/>
          <w:szCs w:val="28"/>
        </w:rPr>
        <w:t xml:space="preserve"> argued that the quashing of the decision of the Respondent does not even arise since the decision to appoint is that of Co-Respondent No. 1 and not Respondent.  </w:t>
      </w:r>
      <w:r w:rsidR="00D71906">
        <w:rPr>
          <w:rFonts w:ascii="Arial" w:hAnsi="Arial" w:cs="Arial"/>
          <w:sz w:val="28"/>
          <w:szCs w:val="28"/>
        </w:rPr>
        <w:t xml:space="preserve">She suggested that </w:t>
      </w:r>
      <w:r w:rsidR="00954E66">
        <w:rPr>
          <w:rFonts w:ascii="Arial" w:hAnsi="Arial" w:cs="Arial"/>
          <w:sz w:val="28"/>
          <w:szCs w:val="28"/>
        </w:rPr>
        <w:t xml:space="preserve">the prayer sought would imply quashing the appointment which has been made and reappointing the Disputant to his previous post.  Issues of eligibility to appoint is exclusively </w:t>
      </w:r>
      <w:r w:rsidR="00CD0F85">
        <w:rPr>
          <w:rFonts w:ascii="Arial" w:hAnsi="Arial" w:cs="Arial"/>
          <w:sz w:val="28"/>
          <w:szCs w:val="28"/>
        </w:rPr>
        <w:t xml:space="preserve">within the jurisdiction of the appointing body, that is, Co-Respondent No. 1.  </w:t>
      </w:r>
      <w:r w:rsidR="00F5468C">
        <w:rPr>
          <w:rFonts w:ascii="Arial" w:hAnsi="Arial" w:cs="Arial"/>
          <w:sz w:val="28"/>
          <w:szCs w:val="28"/>
        </w:rPr>
        <w:t xml:space="preserve">She relied on the ruling delivered in </w:t>
      </w:r>
      <w:r w:rsidR="00426A41">
        <w:rPr>
          <w:rFonts w:ascii="Arial" w:hAnsi="Arial" w:cs="Arial"/>
          <w:sz w:val="28"/>
          <w:szCs w:val="28"/>
        </w:rPr>
        <w:t xml:space="preserve">the case of </w:t>
      </w:r>
      <w:r w:rsidR="00F5468C" w:rsidRPr="00F5468C">
        <w:rPr>
          <w:rFonts w:ascii="Arial" w:hAnsi="Arial" w:cs="Arial"/>
          <w:b/>
          <w:sz w:val="28"/>
          <w:szCs w:val="28"/>
        </w:rPr>
        <w:t xml:space="preserve">Miss Marie Karen Ladouceur v The State of Mauritius as represented by the Ministry </w:t>
      </w:r>
      <w:r w:rsidR="00AA62AD">
        <w:rPr>
          <w:rFonts w:ascii="Arial" w:hAnsi="Arial" w:cs="Arial"/>
          <w:b/>
          <w:sz w:val="28"/>
          <w:szCs w:val="28"/>
        </w:rPr>
        <w:t xml:space="preserve">of Health &amp; Quality of Life RN 90/13.  </w:t>
      </w:r>
    </w:p>
    <w:p w:rsidR="00245967" w:rsidRPr="00F5468C" w:rsidRDefault="00245967" w:rsidP="00F119AD">
      <w:pPr>
        <w:jc w:val="both"/>
        <w:rPr>
          <w:rFonts w:ascii="Arial" w:hAnsi="Arial" w:cs="Arial"/>
          <w:b/>
          <w:sz w:val="28"/>
          <w:szCs w:val="28"/>
        </w:rPr>
      </w:pPr>
    </w:p>
    <w:p w:rsidR="00C833DF" w:rsidRDefault="00AA62AD" w:rsidP="00F119AD">
      <w:pPr>
        <w:jc w:val="both"/>
        <w:rPr>
          <w:rFonts w:ascii="Arial" w:hAnsi="Arial" w:cs="Arial"/>
          <w:sz w:val="28"/>
          <w:szCs w:val="28"/>
        </w:rPr>
      </w:pPr>
      <w:r>
        <w:rPr>
          <w:rFonts w:ascii="Arial" w:hAnsi="Arial" w:cs="Arial"/>
          <w:sz w:val="28"/>
          <w:szCs w:val="28"/>
        </w:rPr>
        <w:lastRenderedPageBreak/>
        <w:t>Counsel for Disputant argued that</w:t>
      </w:r>
      <w:r w:rsidR="00933B24">
        <w:rPr>
          <w:rFonts w:ascii="Arial" w:hAnsi="Arial" w:cs="Arial"/>
          <w:sz w:val="28"/>
          <w:szCs w:val="28"/>
        </w:rPr>
        <w:t xml:space="preserve"> </w:t>
      </w:r>
      <w:r w:rsidR="005556A8">
        <w:rPr>
          <w:rFonts w:ascii="Arial" w:hAnsi="Arial" w:cs="Arial"/>
          <w:sz w:val="28"/>
          <w:szCs w:val="28"/>
        </w:rPr>
        <w:t xml:space="preserve">the Disputant is not challenging the decision of the PRB.  He suggested that the dispute is the appointment </w:t>
      </w:r>
      <w:r w:rsidR="00B33FFE">
        <w:rPr>
          <w:rFonts w:ascii="Arial" w:hAnsi="Arial" w:cs="Arial"/>
          <w:sz w:val="28"/>
          <w:szCs w:val="28"/>
        </w:rPr>
        <w:t xml:space="preserve">which is being challenged </w:t>
      </w:r>
      <w:r w:rsidR="005556A8">
        <w:rPr>
          <w:rFonts w:ascii="Arial" w:hAnsi="Arial" w:cs="Arial"/>
          <w:sz w:val="28"/>
          <w:szCs w:val="28"/>
        </w:rPr>
        <w:t xml:space="preserve">since the appointment of Disputant to the new post </w:t>
      </w:r>
      <w:r w:rsidR="00B33FFE">
        <w:rPr>
          <w:rFonts w:ascii="Arial" w:hAnsi="Arial" w:cs="Arial"/>
          <w:sz w:val="28"/>
          <w:szCs w:val="28"/>
        </w:rPr>
        <w:t xml:space="preserve">has changed </w:t>
      </w:r>
      <w:r w:rsidR="003E02C5">
        <w:rPr>
          <w:rFonts w:ascii="Arial" w:hAnsi="Arial" w:cs="Arial"/>
          <w:sz w:val="28"/>
          <w:szCs w:val="28"/>
        </w:rPr>
        <w:t>Disputant’s</w:t>
      </w:r>
      <w:r w:rsidR="00933B24">
        <w:rPr>
          <w:rFonts w:ascii="Arial" w:hAnsi="Arial" w:cs="Arial"/>
          <w:sz w:val="28"/>
          <w:szCs w:val="28"/>
        </w:rPr>
        <w:t xml:space="preserve"> </w:t>
      </w:r>
      <w:r w:rsidR="005556A8">
        <w:rPr>
          <w:rFonts w:ascii="Arial" w:hAnsi="Arial" w:cs="Arial"/>
          <w:sz w:val="28"/>
          <w:szCs w:val="28"/>
        </w:rPr>
        <w:t xml:space="preserve">terms and conditions of employment.  With regard to the second point raised, Counsel argued that if the Tribunal finds that the decision should not be quashed or that Disputant should not be reverted back to his former post, then the Disputant </w:t>
      </w:r>
      <w:r w:rsidR="00B33FFE">
        <w:rPr>
          <w:rFonts w:ascii="Arial" w:hAnsi="Arial" w:cs="Arial"/>
          <w:sz w:val="28"/>
          <w:szCs w:val="28"/>
        </w:rPr>
        <w:t>shall be praying t</w:t>
      </w:r>
      <w:r w:rsidR="005556A8">
        <w:rPr>
          <w:rFonts w:ascii="Arial" w:hAnsi="Arial" w:cs="Arial"/>
          <w:sz w:val="28"/>
          <w:szCs w:val="28"/>
        </w:rPr>
        <w:t>hat the Tribunal otherwise deals with the dispute as it may deem fit and proper.</w:t>
      </w:r>
    </w:p>
    <w:p w:rsidR="00C833DF" w:rsidRDefault="00C833DF" w:rsidP="00F119AD">
      <w:pPr>
        <w:jc w:val="both"/>
        <w:rPr>
          <w:rFonts w:ascii="Arial" w:hAnsi="Arial" w:cs="Arial"/>
          <w:sz w:val="28"/>
          <w:szCs w:val="28"/>
        </w:rPr>
      </w:pPr>
    </w:p>
    <w:p w:rsidR="00C833DF" w:rsidRDefault="00C833DF" w:rsidP="00F119AD">
      <w:pPr>
        <w:jc w:val="both"/>
        <w:rPr>
          <w:rFonts w:ascii="Arial" w:hAnsi="Arial" w:cs="Arial"/>
          <w:sz w:val="28"/>
          <w:szCs w:val="28"/>
        </w:rPr>
      </w:pPr>
      <w:r>
        <w:rPr>
          <w:rFonts w:ascii="Arial" w:hAnsi="Arial" w:cs="Arial"/>
          <w:sz w:val="28"/>
          <w:szCs w:val="28"/>
        </w:rPr>
        <w:t>Counsel for Co-Respondent No. 2 argued that Disputant was in any case bound by its terms of reference.</w:t>
      </w:r>
    </w:p>
    <w:p w:rsidR="00C833DF" w:rsidRDefault="00C833DF" w:rsidP="00F119AD">
      <w:pPr>
        <w:jc w:val="both"/>
        <w:rPr>
          <w:rFonts w:ascii="Arial" w:hAnsi="Arial" w:cs="Arial"/>
          <w:sz w:val="28"/>
          <w:szCs w:val="28"/>
        </w:rPr>
      </w:pPr>
    </w:p>
    <w:p w:rsidR="003A31A4" w:rsidRDefault="00C833DF" w:rsidP="00F119AD">
      <w:pPr>
        <w:jc w:val="both"/>
        <w:rPr>
          <w:rFonts w:ascii="Arial" w:hAnsi="Arial" w:cs="Arial"/>
          <w:sz w:val="28"/>
          <w:szCs w:val="28"/>
        </w:rPr>
      </w:pPr>
      <w:r>
        <w:rPr>
          <w:rFonts w:ascii="Arial" w:hAnsi="Arial" w:cs="Arial"/>
          <w:sz w:val="28"/>
          <w:szCs w:val="28"/>
        </w:rPr>
        <w:t>The Tribunal has examined the arguments of Counsel.</w:t>
      </w:r>
      <w:r w:rsidR="003A31A4">
        <w:rPr>
          <w:rFonts w:ascii="Arial" w:hAnsi="Arial" w:cs="Arial"/>
          <w:sz w:val="28"/>
          <w:szCs w:val="28"/>
        </w:rPr>
        <w:t xml:space="preserve">  As opposed to the Public Service Commission, the Local Government Service Commission is not established by the Constitution but emanates from the </w:t>
      </w:r>
      <w:r w:rsidR="003A31A4" w:rsidRPr="003E02C5">
        <w:rPr>
          <w:rFonts w:ascii="Arial" w:hAnsi="Arial" w:cs="Arial"/>
          <w:b/>
          <w:sz w:val="28"/>
          <w:szCs w:val="28"/>
        </w:rPr>
        <w:t>Local Government Service Commission Act</w:t>
      </w:r>
      <w:r w:rsidR="003A31A4">
        <w:rPr>
          <w:rFonts w:ascii="Arial" w:hAnsi="Arial" w:cs="Arial"/>
          <w:sz w:val="28"/>
          <w:szCs w:val="28"/>
        </w:rPr>
        <w:t xml:space="preserve"> (hereinafter referred to as the “</w:t>
      </w:r>
      <w:r w:rsidR="003A31A4" w:rsidRPr="003E02C5">
        <w:rPr>
          <w:rFonts w:ascii="Arial" w:hAnsi="Arial" w:cs="Arial"/>
          <w:b/>
          <w:sz w:val="28"/>
          <w:szCs w:val="28"/>
        </w:rPr>
        <w:t>LGSCA</w:t>
      </w:r>
      <w:r w:rsidR="003A31A4">
        <w:rPr>
          <w:rFonts w:ascii="Arial" w:hAnsi="Arial" w:cs="Arial"/>
          <w:sz w:val="28"/>
          <w:szCs w:val="28"/>
        </w:rPr>
        <w:t xml:space="preserve">”).  </w:t>
      </w:r>
      <w:r w:rsidR="003A31A4" w:rsidRPr="003E02C5">
        <w:rPr>
          <w:rFonts w:ascii="Arial" w:hAnsi="Arial" w:cs="Arial"/>
          <w:b/>
          <w:sz w:val="28"/>
          <w:szCs w:val="28"/>
        </w:rPr>
        <w:t>Section 4</w:t>
      </w:r>
      <w:r w:rsidR="003A31A4">
        <w:rPr>
          <w:rFonts w:ascii="Arial" w:hAnsi="Arial" w:cs="Arial"/>
          <w:sz w:val="28"/>
          <w:szCs w:val="28"/>
        </w:rPr>
        <w:t xml:space="preserve"> of the </w:t>
      </w:r>
      <w:r w:rsidR="003A31A4" w:rsidRPr="003E02C5">
        <w:rPr>
          <w:rFonts w:ascii="Arial" w:hAnsi="Arial" w:cs="Arial"/>
          <w:b/>
          <w:sz w:val="28"/>
          <w:szCs w:val="28"/>
        </w:rPr>
        <w:t>LGSCA</w:t>
      </w:r>
      <w:r w:rsidR="003A31A4">
        <w:rPr>
          <w:rFonts w:ascii="Arial" w:hAnsi="Arial" w:cs="Arial"/>
          <w:sz w:val="28"/>
          <w:szCs w:val="28"/>
        </w:rPr>
        <w:t xml:space="preserve"> provides as follows:</w:t>
      </w:r>
    </w:p>
    <w:p w:rsidR="003A31A4" w:rsidRDefault="003A31A4" w:rsidP="00F119AD">
      <w:pPr>
        <w:jc w:val="both"/>
        <w:rPr>
          <w:rFonts w:ascii="Arial" w:hAnsi="Arial" w:cs="Arial"/>
          <w:sz w:val="28"/>
          <w:szCs w:val="28"/>
        </w:rPr>
      </w:pPr>
    </w:p>
    <w:p w:rsidR="003A31A4" w:rsidRPr="003A31A4" w:rsidRDefault="003A31A4" w:rsidP="003A31A4">
      <w:pPr>
        <w:autoSpaceDE w:val="0"/>
        <w:autoSpaceDN w:val="0"/>
        <w:adjustRightInd w:val="0"/>
        <w:jc w:val="both"/>
        <w:rPr>
          <w:rFonts w:ascii="Arial" w:eastAsiaTheme="minorHAnsi" w:hAnsi="Arial" w:cs="Arial"/>
          <w:b/>
          <w:bCs/>
          <w:i/>
          <w:color w:val="000000"/>
          <w:sz w:val="28"/>
          <w:szCs w:val="28"/>
        </w:rPr>
      </w:pPr>
      <w:r w:rsidRPr="003A31A4">
        <w:rPr>
          <w:rFonts w:ascii="Arial" w:eastAsiaTheme="minorHAnsi" w:hAnsi="Arial" w:cs="Arial"/>
          <w:b/>
          <w:bCs/>
          <w:i/>
          <w:color w:val="000000"/>
          <w:sz w:val="28"/>
          <w:szCs w:val="28"/>
        </w:rPr>
        <w:t>4. Powers of the Commission</w:t>
      </w:r>
    </w:p>
    <w:p w:rsidR="003A31A4" w:rsidRPr="003A31A4" w:rsidRDefault="003A31A4" w:rsidP="003A31A4">
      <w:pPr>
        <w:autoSpaceDE w:val="0"/>
        <w:autoSpaceDN w:val="0"/>
        <w:adjustRightInd w:val="0"/>
        <w:jc w:val="both"/>
        <w:rPr>
          <w:rFonts w:ascii="Arial" w:eastAsiaTheme="minorHAnsi" w:hAnsi="Arial" w:cs="Arial"/>
          <w:i/>
          <w:color w:val="000000"/>
          <w:sz w:val="28"/>
          <w:szCs w:val="28"/>
        </w:rPr>
      </w:pPr>
      <w:r w:rsidRPr="003A31A4">
        <w:rPr>
          <w:rFonts w:ascii="Arial" w:eastAsiaTheme="minorHAnsi" w:hAnsi="Arial" w:cs="Arial"/>
          <w:i/>
          <w:color w:val="000000"/>
          <w:sz w:val="28"/>
          <w:szCs w:val="28"/>
        </w:rPr>
        <w:t>(1) Subject to the other provisions of this section and to the Local Government</w:t>
      </w:r>
      <w:r w:rsidR="00492943">
        <w:rPr>
          <w:rFonts w:ascii="Arial" w:eastAsiaTheme="minorHAnsi" w:hAnsi="Arial" w:cs="Arial"/>
          <w:i/>
          <w:color w:val="000000"/>
          <w:sz w:val="28"/>
          <w:szCs w:val="28"/>
        </w:rPr>
        <w:t xml:space="preserve"> </w:t>
      </w:r>
      <w:r w:rsidRPr="003A31A4">
        <w:rPr>
          <w:rFonts w:ascii="Arial" w:eastAsiaTheme="minorHAnsi" w:hAnsi="Arial" w:cs="Arial"/>
          <w:i/>
          <w:color w:val="000000"/>
          <w:sz w:val="28"/>
          <w:szCs w:val="28"/>
        </w:rPr>
        <w:t>Act 1989, the power -</w:t>
      </w:r>
    </w:p>
    <w:p w:rsidR="003A31A4" w:rsidRPr="003A31A4" w:rsidRDefault="003A31A4" w:rsidP="003A31A4">
      <w:pPr>
        <w:autoSpaceDE w:val="0"/>
        <w:autoSpaceDN w:val="0"/>
        <w:adjustRightInd w:val="0"/>
        <w:jc w:val="both"/>
        <w:rPr>
          <w:rFonts w:ascii="Arial" w:eastAsiaTheme="minorHAnsi" w:hAnsi="Arial" w:cs="Arial"/>
          <w:i/>
          <w:color w:val="000000"/>
          <w:sz w:val="28"/>
          <w:szCs w:val="28"/>
        </w:rPr>
      </w:pPr>
      <w:r w:rsidRPr="003A31A4">
        <w:rPr>
          <w:rFonts w:ascii="Arial" w:eastAsiaTheme="minorHAnsi" w:hAnsi="Arial" w:cs="Arial"/>
          <w:i/>
          <w:color w:val="000000"/>
          <w:sz w:val="28"/>
          <w:szCs w:val="28"/>
        </w:rPr>
        <w:t xml:space="preserve">(a) </w:t>
      </w:r>
      <w:proofErr w:type="gramStart"/>
      <w:r w:rsidRPr="003A31A4">
        <w:rPr>
          <w:rFonts w:ascii="Arial" w:eastAsiaTheme="minorHAnsi" w:hAnsi="Arial" w:cs="Arial"/>
          <w:i/>
          <w:color w:val="000000"/>
          <w:sz w:val="28"/>
          <w:szCs w:val="28"/>
        </w:rPr>
        <w:t>of</w:t>
      </w:r>
      <w:proofErr w:type="gramEnd"/>
      <w:r w:rsidRPr="003A31A4">
        <w:rPr>
          <w:rFonts w:ascii="Arial" w:eastAsiaTheme="minorHAnsi" w:hAnsi="Arial" w:cs="Arial"/>
          <w:i/>
          <w:color w:val="000000"/>
          <w:sz w:val="28"/>
          <w:szCs w:val="28"/>
        </w:rPr>
        <w:t xml:space="preserve"> appointment;</w:t>
      </w:r>
    </w:p>
    <w:p w:rsidR="003A31A4" w:rsidRPr="003A31A4" w:rsidRDefault="003A31A4" w:rsidP="003A31A4">
      <w:pPr>
        <w:autoSpaceDE w:val="0"/>
        <w:autoSpaceDN w:val="0"/>
        <w:adjustRightInd w:val="0"/>
        <w:jc w:val="both"/>
        <w:rPr>
          <w:rFonts w:ascii="Arial" w:eastAsiaTheme="minorHAnsi" w:hAnsi="Arial" w:cs="Arial"/>
          <w:i/>
          <w:color w:val="000000"/>
          <w:sz w:val="28"/>
          <w:szCs w:val="28"/>
        </w:rPr>
      </w:pPr>
      <w:r w:rsidRPr="003A31A4">
        <w:rPr>
          <w:rFonts w:ascii="Arial" w:eastAsiaTheme="minorHAnsi" w:hAnsi="Arial" w:cs="Arial"/>
          <w:i/>
          <w:color w:val="000000"/>
          <w:sz w:val="28"/>
          <w:szCs w:val="28"/>
        </w:rPr>
        <w:t xml:space="preserve">(b) </w:t>
      </w:r>
      <w:proofErr w:type="gramStart"/>
      <w:r w:rsidRPr="003A31A4">
        <w:rPr>
          <w:rFonts w:ascii="Arial" w:eastAsiaTheme="minorHAnsi" w:hAnsi="Arial" w:cs="Arial"/>
          <w:i/>
          <w:color w:val="000000"/>
          <w:sz w:val="28"/>
          <w:szCs w:val="28"/>
        </w:rPr>
        <w:t>to</w:t>
      </w:r>
      <w:proofErr w:type="gramEnd"/>
      <w:r w:rsidRPr="003A31A4">
        <w:rPr>
          <w:rFonts w:ascii="Arial" w:eastAsiaTheme="minorHAnsi" w:hAnsi="Arial" w:cs="Arial"/>
          <w:i/>
          <w:color w:val="000000"/>
          <w:sz w:val="28"/>
          <w:szCs w:val="28"/>
        </w:rPr>
        <w:t xml:space="preserve"> exercise disciplinary control over local government officers;</w:t>
      </w:r>
    </w:p>
    <w:p w:rsidR="003A31A4" w:rsidRPr="003A31A4" w:rsidRDefault="003A31A4" w:rsidP="003A31A4">
      <w:pPr>
        <w:autoSpaceDE w:val="0"/>
        <w:autoSpaceDN w:val="0"/>
        <w:adjustRightInd w:val="0"/>
        <w:jc w:val="both"/>
        <w:rPr>
          <w:rFonts w:ascii="Arial" w:eastAsiaTheme="minorHAnsi" w:hAnsi="Arial" w:cs="Arial"/>
          <w:i/>
          <w:color w:val="000000"/>
          <w:sz w:val="28"/>
          <w:szCs w:val="28"/>
        </w:rPr>
      </w:pPr>
      <w:r w:rsidRPr="003A31A4">
        <w:rPr>
          <w:rFonts w:ascii="Arial" w:eastAsiaTheme="minorHAnsi" w:hAnsi="Arial" w:cs="Arial"/>
          <w:i/>
          <w:color w:val="000000"/>
          <w:sz w:val="28"/>
          <w:szCs w:val="28"/>
        </w:rPr>
        <w:t xml:space="preserve">(c) </w:t>
      </w:r>
      <w:proofErr w:type="gramStart"/>
      <w:r w:rsidRPr="003A31A4">
        <w:rPr>
          <w:rFonts w:ascii="Arial" w:eastAsiaTheme="minorHAnsi" w:hAnsi="Arial" w:cs="Arial"/>
          <w:i/>
          <w:color w:val="000000"/>
          <w:sz w:val="28"/>
          <w:szCs w:val="28"/>
        </w:rPr>
        <w:t>to</w:t>
      </w:r>
      <w:proofErr w:type="gramEnd"/>
      <w:r w:rsidRPr="003A31A4">
        <w:rPr>
          <w:rFonts w:ascii="Arial" w:eastAsiaTheme="minorHAnsi" w:hAnsi="Arial" w:cs="Arial"/>
          <w:i/>
          <w:color w:val="000000"/>
          <w:sz w:val="28"/>
          <w:szCs w:val="28"/>
        </w:rPr>
        <w:t xml:space="preserve"> remove from office or approve the retirement of local government</w:t>
      </w:r>
    </w:p>
    <w:p w:rsidR="003A31A4" w:rsidRPr="003A31A4" w:rsidRDefault="003A31A4" w:rsidP="003A31A4">
      <w:pPr>
        <w:autoSpaceDE w:val="0"/>
        <w:autoSpaceDN w:val="0"/>
        <w:adjustRightInd w:val="0"/>
        <w:jc w:val="both"/>
        <w:rPr>
          <w:rFonts w:ascii="Arial" w:eastAsiaTheme="minorHAnsi" w:hAnsi="Arial" w:cs="Arial"/>
          <w:i/>
          <w:color w:val="000000"/>
          <w:sz w:val="28"/>
          <w:szCs w:val="28"/>
        </w:rPr>
      </w:pPr>
      <w:proofErr w:type="gramStart"/>
      <w:r w:rsidRPr="003A31A4">
        <w:rPr>
          <w:rFonts w:ascii="Arial" w:eastAsiaTheme="minorHAnsi" w:hAnsi="Arial" w:cs="Arial"/>
          <w:i/>
          <w:color w:val="000000"/>
          <w:sz w:val="28"/>
          <w:szCs w:val="28"/>
        </w:rPr>
        <w:t>officers</w:t>
      </w:r>
      <w:proofErr w:type="gramEnd"/>
      <w:r w:rsidRPr="003A31A4">
        <w:rPr>
          <w:rFonts w:ascii="Arial" w:eastAsiaTheme="minorHAnsi" w:hAnsi="Arial" w:cs="Arial"/>
          <w:i/>
          <w:color w:val="000000"/>
          <w:sz w:val="28"/>
          <w:szCs w:val="28"/>
        </w:rPr>
        <w:t>;</w:t>
      </w:r>
    </w:p>
    <w:p w:rsidR="003A31A4" w:rsidRPr="003A31A4" w:rsidRDefault="003A31A4" w:rsidP="003A31A4">
      <w:pPr>
        <w:autoSpaceDE w:val="0"/>
        <w:autoSpaceDN w:val="0"/>
        <w:adjustRightInd w:val="0"/>
        <w:jc w:val="both"/>
        <w:rPr>
          <w:rFonts w:ascii="Arial" w:eastAsiaTheme="minorHAnsi" w:hAnsi="Arial" w:cs="Arial"/>
          <w:i/>
          <w:color w:val="000000"/>
          <w:sz w:val="28"/>
          <w:szCs w:val="28"/>
        </w:rPr>
      </w:pPr>
      <w:r w:rsidRPr="003A31A4">
        <w:rPr>
          <w:rFonts w:ascii="Arial" w:eastAsiaTheme="minorHAnsi" w:hAnsi="Arial" w:cs="Arial"/>
          <w:i/>
          <w:color w:val="000000"/>
          <w:sz w:val="28"/>
          <w:szCs w:val="28"/>
        </w:rPr>
        <w:t xml:space="preserve">(d) </w:t>
      </w:r>
      <w:proofErr w:type="gramStart"/>
      <w:r w:rsidRPr="003A31A4">
        <w:rPr>
          <w:rFonts w:ascii="Arial" w:eastAsiaTheme="minorHAnsi" w:hAnsi="Arial" w:cs="Arial"/>
          <w:i/>
          <w:color w:val="000000"/>
          <w:sz w:val="28"/>
          <w:szCs w:val="28"/>
        </w:rPr>
        <w:t>to</w:t>
      </w:r>
      <w:proofErr w:type="gramEnd"/>
      <w:r w:rsidRPr="003A31A4">
        <w:rPr>
          <w:rFonts w:ascii="Arial" w:eastAsiaTheme="minorHAnsi" w:hAnsi="Arial" w:cs="Arial"/>
          <w:i/>
          <w:color w:val="000000"/>
          <w:sz w:val="28"/>
          <w:szCs w:val="28"/>
        </w:rPr>
        <w:t xml:space="preserve"> select candidates from among local government officers for the</w:t>
      </w:r>
    </w:p>
    <w:p w:rsidR="003A31A4" w:rsidRPr="003A31A4" w:rsidRDefault="003A31A4" w:rsidP="003A31A4">
      <w:pPr>
        <w:autoSpaceDE w:val="0"/>
        <w:autoSpaceDN w:val="0"/>
        <w:adjustRightInd w:val="0"/>
        <w:jc w:val="both"/>
        <w:rPr>
          <w:rFonts w:ascii="Arial" w:eastAsiaTheme="minorHAnsi" w:hAnsi="Arial" w:cs="Arial"/>
          <w:i/>
          <w:color w:val="000000"/>
          <w:sz w:val="28"/>
          <w:szCs w:val="28"/>
        </w:rPr>
      </w:pPr>
      <w:proofErr w:type="gramStart"/>
      <w:r w:rsidRPr="003A31A4">
        <w:rPr>
          <w:rFonts w:ascii="Arial" w:eastAsiaTheme="minorHAnsi" w:hAnsi="Arial" w:cs="Arial"/>
          <w:i/>
          <w:color w:val="000000"/>
          <w:sz w:val="28"/>
          <w:szCs w:val="28"/>
        </w:rPr>
        <w:t>award</w:t>
      </w:r>
      <w:proofErr w:type="gramEnd"/>
      <w:r w:rsidRPr="003A31A4">
        <w:rPr>
          <w:rFonts w:ascii="Arial" w:eastAsiaTheme="minorHAnsi" w:hAnsi="Arial" w:cs="Arial"/>
          <w:i/>
          <w:color w:val="000000"/>
          <w:sz w:val="28"/>
          <w:szCs w:val="28"/>
        </w:rPr>
        <w:t xml:space="preserve"> of scholarships or other similar privileges,</w:t>
      </w:r>
    </w:p>
    <w:p w:rsidR="003A31A4" w:rsidRPr="003A31A4" w:rsidRDefault="003A31A4" w:rsidP="003A31A4">
      <w:pPr>
        <w:autoSpaceDE w:val="0"/>
        <w:autoSpaceDN w:val="0"/>
        <w:adjustRightInd w:val="0"/>
        <w:jc w:val="both"/>
        <w:rPr>
          <w:rFonts w:ascii="Arial" w:eastAsiaTheme="minorHAnsi" w:hAnsi="Arial" w:cs="Arial"/>
          <w:i/>
          <w:color w:val="000000"/>
          <w:sz w:val="28"/>
          <w:szCs w:val="28"/>
        </w:rPr>
      </w:pPr>
      <w:proofErr w:type="gramStart"/>
      <w:r w:rsidRPr="003A31A4">
        <w:rPr>
          <w:rFonts w:ascii="Arial" w:eastAsiaTheme="minorHAnsi" w:hAnsi="Arial" w:cs="Arial"/>
          <w:i/>
          <w:color w:val="000000"/>
          <w:sz w:val="28"/>
          <w:szCs w:val="28"/>
        </w:rPr>
        <w:t>shall</w:t>
      </w:r>
      <w:proofErr w:type="gramEnd"/>
      <w:r w:rsidRPr="003A31A4">
        <w:rPr>
          <w:rFonts w:ascii="Arial" w:eastAsiaTheme="minorHAnsi" w:hAnsi="Arial" w:cs="Arial"/>
          <w:i/>
          <w:color w:val="000000"/>
          <w:sz w:val="28"/>
          <w:szCs w:val="28"/>
        </w:rPr>
        <w:t xml:space="preserve"> vest exclusively in the Commission.</w:t>
      </w:r>
    </w:p>
    <w:p w:rsidR="003A31A4" w:rsidRPr="003A31A4" w:rsidRDefault="003A31A4" w:rsidP="00933B24">
      <w:pPr>
        <w:autoSpaceDE w:val="0"/>
        <w:autoSpaceDN w:val="0"/>
        <w:adjustRightInd w:val="0"/>
        <w:jc w:val="both"/>
        <w:rPr>
          <w:rFonts w:ascii="Arial" w:eastAsiaTheme="minorHAnsi" w:hAnsi="Arial" w:cs="Arial"/>
          <w:i/>
          <w:color w:val="000000"/>
          <w:sz w:val="28"/>
          <w:szCs w:val="28"/>
        </w:rPr>
      </w:pPr>
      <w:r w:rsidRPr="003A31A4">
        <w:rPr>
          <w:rFonts w:ascii="Arial" w:eastAsiaTheme="minorHAnsi" w:hAnsi="Arial" w:cs="Arial"/>
          <w:i/>
          <w:color w:val="000000"/>
          <w:sz w:val="28"/>
          <w:szCs w:val="28"/>
        </w:rPr>
        <w:t>(2) Subject to subsection (3), the Commission shall not, in the exercise of its</w:t>
      </w:r>
      <w:r w:rsidR="00C33767">
        <w:rPr>
          <w:rFonts w:ascii="Arial" w:eastAsiaTheme="minorHAnsi" w:hAnsi="Arial" w:cs="Arial"/>
          <w:i/>
          <w:color w:val="000000"/>
          <w:sz w:val="28"/>
          <w:szCs w:val="28"/>
        </w:rPr>
        <w:t xml:space="preserve"> </w:t>
      </w:r>
      <w:r w:rsidRPr="003A31A4">
        <w:rPr>
          <w:rFonts w:ascii="Arial" w:eastAsiaTheme="minorHAnsi" w:hAnsi="Arial" w:cs="Arial"/>
          <w:i/>
          <w:color w:val="000000"/>
          <w:sz w:val="28"/>
          <w:szCs w:val="28"/>
        </w:rPr>
        <w:t>functions, be subject to the direction or control of any other person or</w:t>
      </w:r>
      <w:r w:rsidR="00933B24">
        <w:rPr>
          <w:rFonts w:ascii="Arial" w:eastAsiaTheme="minorHAnsi" w:hAnsi="Arial" w:cs="Arial"/>
          <w:i/>
          <w:color w:val="000000"/>
          <w:sz w:val="28"/>
          <w:szCs w:val="28"/>
        </w:rPr>
        <w:t xml:space="preserve"> </w:t>
      </w:r>
      <w:r w:rsidRPr="003A31A4">
        <w:rPr>
          <w:rFonts w:ascii="Arial" w:eastAsiaTheme="minorHAnsi" w:hAnsi="Arial" w:cs="Arial"/>
          <w:i/>
          <w:color w:val="000000"/>
          <w:sz w:val="28"/>
          <w:szCs w:val="28"/>
        </w:rPr>
        <w:t>authority.</w:t>
      </w:r>
    </w:p>
    <w:p w:rsidR="003A31A4" w:rsidRPr="003A31A4" w:rsidRDefault="003A31A4" w:rsidP="00C33767">
      <w:pPr>
        <w:autoSpaceDE w:val="0"/>
        <w:autoSpaceDN w:val="0"/>
        <w:adjustRightInd w:val="0"/>
        <w:jc w:val="both"/>
        <w:rPr>
          <w:rFonts w:ascii="Arial" w:eastAsiaTheme="minorHAnsi" w:hAnsi="Arial" w:cs="Arial"/>
          <w:i/>
          <w:color w:val="000000"/>
          <w:sz w:val="28"/>
          <w:szCs w:val="28"/>
        </w:rPr>
      </w:pPr>
      <w:r w:rsidRPr="003A31A4">
        <w:rPr>
          <w:rFonts w:ascii="Arial" w:eastAsiaTheme="minorHAnsi" w:hAnsi="Arial" w:cs="Arial"/>
          <w:i/>
          <w:color w:val="000000"/>
          <w:sz w:val="28"/>
          <w:szCs w:val="28"/>
        </w:rPr>
        <w:t>(3) Nothing in this Act shall preclude the Supreme Court from exercising</w:t>
      </w:r>
    </w:p>
    <w:p w:rsidR="003A31A4" w:rsidRPr="003A31A4" w:rsidRDefault="003A31A4" w:rsidP="00C33767">
      <w:pPr>
        <w:autoSpaceDE w:val="0"/>
        <w:autoSpaceDN w:val="0"/>
        <w:adjustRightInd w:val="0"/>
        <w:jc w:val="both"/>
        <w:rPr>
          <w:rFonts w:ascii="Arial" w:eastAsiaTheme="minorHAnsi" w:hAnsi="Arial" w:cs="Arial"/>
          <w:i/>
          <w:color w:val="000000"/>
          <w:sz w:val="28"/>
          <w:szCs w:val="28"/>
        </w:rPr>
      </w:pPr>
      <w:proofErr w:type="gramStart"/>
      <w:r w:rsidRPr="003A31A4">
        <w:rPr>
          <w:rFonts w:ascii="Arial" w:eastAsiaTheme="minorHAnsi" w:hAnsi="Arial" w:cs="Arial"/>
          <w:i/>
          <w:color w:val="000000"/>
          <w:sz w:val="28"/>
          <w:szCs w:val="28"/>
        </w:rPr>
        <w:t>jurisdiction</w:t>
      </w:r>
      <w:proofErr w:type="gramEnd"/>
      <w:r w:rsidRPr="003A31A4">
        <w:rPr>
          <w:rFonts w:ascii="Arial" w:eastAsiaTheme="minorHAnsi" w:hAnsi="Arial" w:cs="Arial"/>
          <w:i/>
          <w:color w:val="000000"/>
          <w:sz w:val="28"/>
          <w:szCs w:val="28"/>
        </w:rPr>
        <w:t xml:space="preserve"> in relation to any question whether the Commission has</w:t>
      </w:r>
    </w:p>
    <w:p w:rsidR="003A31A4" w:rsidRPr="003A31A4" w:rsidRDefault="003A31A4" w:rsidP="00C33767">
      <w:pPr>
        <w:autoSpaceDE w:val="0"/>
        <w:autoSpaceDN w:val="0"/>
        <w:adjustRightInd w:val="0"/>
        <w:jc w:val="both"/>
        <w:rPr>
          <w:rFonts w:ascii="Arial" w:eastAsiaTheme="minorHAnsi" w:hAnsi="Arial" w:cs="Arial"/>
          <w:i/>
          <w:color w:val="000000"/>
          <w:sz w:val="28"/>
          <w:szCs w:val="28"/>
        </w:rPr>
      </w:pPr>
      <w:proofErr w:type="gramStart"/>
      <w:r w:rsidRPr="003A31A4">
        <w:rPr>
          <w:rFonts w:ascii="Arial" w:eastAsiaTheme="minorHAnsi" w:hAnsi="Arial" w:cs="Arial"/>
          <w:i/>
          <w:color w:val="000000"/>
          <w:sz w:val="28"/>
          <w:szCs w:val="28"/>
        </w:rPr>
        <w:t>performed</w:t>
      </w:r>
      <w:proofErr w:type="gramEnd"/>
      <w:r w:rsidRPr="003A31A4">
        <w:rPr>
          <w:rFonts w:ascii="Arial" w:eastAsiaTheme="minorHAnsi" w:hAnsi="Arial" w:cs="Arial"/>
          <w:i/>
          <w:color w:val="000000"/>
          <w:sz w:val="28"/>
          <w:szCs w:val="28"/>
        </w:rPr>
        <w:t xml:space="preserve"> its functions in accordance with any law in force or should not</w:t>
      </w:r>
    </w:p>
    <w:p w:rsidR="003A31A4" w:rsidRPr="003A31A4" w:rsidRDefault="003A31A4" w:rsidP="00C33767">
      <w:pPr>
        <w:autoSpaceDE w:val="0"/>
        <w:autoSpaceDN w:val="0"/>
        <w:adjustRightInd w:val="0"/>
        <w:jc w:val="both"/>
        <w:rPr>
          <w:rFonts w:ascii="Arial" w:eastAsiaTheme="minorHAnsi" w:hAnsi="Arial" w:cs="Arial"/>
          <w:i/>
          <w:color w:val="000000"/>
          <w:sz w:val="28"/>
          <w:szCs w:val="28"/>
        </w:rPr>
      </w:pPr>
      <w:proofErr w:type="gramStart"/>
      <w:r w:rsidRPr="003A31A4">
        <w:rPr>
          <w:rFonts w:ascii="Arial" w:eastAsiaTheme="minorHAnsi" w:hAnsi="Arial" w:cs="Arial"/>
          <w:i/>
          <w:color w:val="000000"/>
          <w:sz w:val="28"/>
          <w:szCs w:val="28"/>
        </w:rPr>
        <w:t>perform</w:t>
      </w:r>
      <w:proofErr w:type="gramEnd"/>
      <w:r w:rsidRPr="003A31A4">
        <w:rPr>
          <w:rFonts w:ascii="Arial" w:eastAsiaTheme="minorHAnsi" w:hAnsi="Arial" w:cs="Arial"/>
          <w:i/>
          <w:color w:val="000000"/>
          <w:sz w:val="28"/>
          <w:szCs w:val="28"/>
        </w:rPr>
        <w:t xml:space="preserve"> any function.</w:t>
      </w:r>
    </w:p>
    <w:p w:rsidR="00DC2341" w:rsidRPr="003A31A4" w:rsidRDefault="003A31A4" w:rsidP="00933B24">
      <w:pPr>
        <w:autoSpaceDE w:val="0"/>
        <w:autoSpaceDN w:val="0"/>
        <w:adjustRightInd w:val="0"/>
        <w:jc w:val="both"/>
        <w:rPr>
          <w:rFonts w:ascii="Arial" w:hAnsi="Arial" w:cs="Arial"/>
          <w:i/>
          <w:sz w:val="28"/>
          <w:szCs w:val="28"/>
        </w:rPr>
      </w:pPr>
      <w:r w:rsidRPr="003A31A4">
        <w:rPr>
          <w:rFonts w:ascii="Arial" w:eastAsiaTheme="minorHAnsi" w:hAnsi="Arial" w:cs="Arial"/>
          <w:i/>
          <w:color w:val="000000"/>
          <w:sz w:val="28"/>
          <w:szCs w:val="28"/>
        </w:rPr>
        <w:t>(4) The Commission may, subject to such conditions as may be</w:t>
      </w:r>
      <w:r w:rsidR="00933B24">
        <w:rPr>
          <w:rFonts w:ascii="Arial" w:eastAsiaTheme="minorHAnsi" w:hAnsi="Arial" w:cs="Arial"/>
          <w:i/>
          <w:color w:val="000000"/>
          <w:sz w:val="28"/>
          <w:szCs w:val="28"/>
        </w:rPr>
        <w:t xml:space="preserve"> </w:t>
      </w:r>
      <w:r w:rsidRPr="003A31A4">
        <w:rPr>
          <w:rFonts w:ascii="Arial" w:eastAsiaTheme="minorHAnsi" w:hAnsi="Arial" w:cs="Arial"/>
          <w:i/>
          <w:color w:val="000000"/>
          <w:sz w:val="28"/>
          <w:szCs w:val="28"/>
        </w:rPr>
        <w:t>prescribed,</w:t>
      </w:r>
      <w:r w:rsidR="00933B24">
        <w:rPr>
          <w:rFonts w:ascii="Arial" w:eastAsiaTheme="minorHAnsi" w:hAnsi="Arial" w:cs="Arial"/>
          <w:i/>
          <w:color w:val="000000"/>
          <w:sz w:val="28"/>
          <w:szCs w:val="28"/>
        </w:rPr>
        <w:t xml:space="preserve"> </w:t>
      </w:r>
      <w:r w:rsidRPr="003A31A4">
        <w:rPr>
          <w:rFonts w:ascii="Arial" w:eastAsiaTheme="minorHAnsi" w:hAnsi="Arial" w:cs="Arial"/>
          <w:i/>
          <w:color w:val="000000"/>
          <w:sz w:val="28"/>
          <w:szCs w:val="28"/>
        </w:rPr>
        <w:t>delegate any of</w:t>
      </w:r>
      <w:r w:rsidR="00933B24">
        <w:rPr>
          <w:rFonts w:ascii="Arial" w:eastAsiaTheme="minorHAnsi" w:hAnsi="Arial" w:cs="Arial"/>
          <w:i/>
          <w:color w:val="000000"/>
          <w:sz w:val="28"/>
          <w:szCs w:val="28"/>
        </w:rPr>
        <w:t xml:space="preserve"> </w:t>
      </w:r>
      <w:r w:rsidRPr="003A31A4">
        <w:rPr>
          <w:rFonts w:ascii="Arial" w:eastAsiaTheme="minorHAnsi" w:hAnsi="Arial" w:cs="Arial"/>
          <w:i/>
          <w:color w:val="000000"/>
          <w:sz w:val="28"/>
          <w:szCs w:val="28"/>
        </w:rPr>
        <w:t>its powers under subsection (1) to the Chief</w:t>
      </w:r>
      <w:r w:rsidR="00933B24">
        <w:rPr>
          <w:rFonts w:ascii="Arial" w:eastAsiaTheme="minorHAnsi" w:hAnsi="Arial" w:cs="Arial"/>
          <w:i/>
          <w:color w:val="000000"/>
          <w:sz w:val="28"/>
          <w:szCs w:val="28"/>
        </w:rPr>
        <w:t xml:space="preserve"> </w:t>
      </w:r>
      <w:r w:rsidRPr="003A31A4">
        <w:rPr>
          <w:rFonts w:ascii="Arial" w:eastAsiaTheme="minorHAnsi" w:hAnsi="Arial" w:cs="Arial"/>
          <w:i/>
          <w:color w:val="000000"/>
          <w:sz w:val="28"/>
          <w:szCs w:val="28"/>
        </w:rPr>
        <w:t>Executive of</w:t>
      </w:r>
      <w:r w:rsidR="00933B24">
        <w:rPr>
          <w:rFonts w:ascii="Arial" w:eastAsiaTheme="minorHAnsi" w:hAnsi="Arial" w:cs="Arial"/>
          <w:i/>
          <w:color w:val="000000"/>
          <w:sz w:val="28"/>
          <w:szCs w:val="28"/>
        </w:rPr>
        <w:t xml:space="preserve"> </w:t>
      </w:r>
      <w:r w:rsidRPr="003A31A4">
        <w:rPr>
          <w:rFonts w:ascii="Arial" w:eastAsiaTheme="minorHAnsi" w:hAnsi="Arial" w:cs="Arial"/>
          <w:i/>
          <w:color w:val="000000"/>
          <w:sz w:val="28"/>
          <w:szCs w:val="28"/>
        </w:rPr>
        <w:t xml:space="preserve">any </w:t>
      </w:r>
      <w:r w:rsidRPr="003A31A4">
        <w:rPr>
          <w:rFonts w:ascii="Arial" w:eastAsiaTheme="minorHAnsi" w:hAnsi="Arial" w:cs="Arial"/>
          <w:i/>
          <w:color w:val="191919"/>
          <w:sz w:val="28"/>
          <w:szCs w:val="28"/>
        </w:rPr>
        <w:t>Municipal City Council, Municipal Town Council or District Council</w:t>
      </w:r>
      <w:r w:rsidRPr="003A31A4">
        <w:rPr>
          <w:rFonts w:ascii="Arial" w:eastAsiaTheme="minorHAnsi" w:hAnsi="Arial" w:cs="Arial"/>
          <w:i/>
          <w:color w:val="000000"/>
          <w:sz w:val="28"/>
          <w:szCs w:val="28"/>
        </w:rPr>
        <w:t>.</w:t>
      </w:r>
    </w:p>
    <w:p w:rsidR="003C243A" w:rsidRPr="003A31A4" w:rsidRDefault="003C243A" w:rsidP="00F119AD">
      <w:pPr>
        <w:jc w:val="both"/>
        <w:rPr>
          <w:rFonts w:ascii="Arial" w:hAnsi="Arial" w:cs="Arial"/>
          <w:i/>
          <w:sz w:val="28"/>
          <w:szCs w:val="28"/>
        </w:rPr>
      </w:pPr>
    </w:p>
    <w:p w:rsidR="00F65939" w:rsidRDefault="00CB0437" w:rsidP="00F119AD">
      <w:pPr>
        <w:jc w:val="both"/>
        <w:rPr>
          <w:rFonts w:ascii="Arial" w:hAnsi="Arial" w:cs="Arial"/>
          <w:sz w:val="28"/>
          <w:szCs w:val="28"/>
        </w:rPr>
      </w:pPr>
      <w:r w:rsidRPr="00CB0437">
        <w:rPr>
          <w:rFonts w:ascii="Arial" w:hAnsi="Arial" w:cs="Arial"/>
          <w:sz w:val="28"/>
          <w:szCs w:val="28"/>
        </w:rPr>
        <w:t xml:space="preserve">It is apposite to note that </w:t>
      </w:r>
      <w:r w:rsidRPr="003E02C5">
        <w:rPr>
          <w:rFonts w:ascii="Arial" w:hAnsi="Arial" w:cs="Arial"/>
          <w:b/>
          <w:sz w:val="28"/>
          <w:szCs w:val="28"/>
        </w:rPr>
        <w:t>section 3</w:t>
      </w:r>
      <w:r>
        <w:rPr>
          <w:rFonts w:ascii="Arial" w:hAnsi="Arial" w:cs="Arial"/>
          <w:sz w:val="28"/>
          <w:szCs w:val="28"/>
        </w:rPr>
        <w:t xml:space="preserve"> of the </w:t>
      </w:r>
      <w:r w:rsidRPr="003E02C5">
        <w:rPr>
          <w:rFonts w:ascii="Arial" w:hAnsi="Arial" w:cs="Arial"/>
          <w:b/>
          <w:sz w:val="28"/>
          <w:szCs w:val="28"/>
        </w:rPr>
        <w:t>Public Bodies Appeal Tribunal Act 2008</w:t>
      </w:r>
      <w:r>
        <w:rPr>
          <w:rFonts w:ascii="Arial" w:hAnsi="Arial" w:cs="Arial"/>
          <w:sz w:val="28"/>
          <w:szCs w:val="28"/>
        </w:rPr>
        <w:t xml:space="preserve"> provides as follows:</w:t>
      </w:r>
    </w:p>
    <w:p w:rsidR="00CB0437" w:rsidRPr="00FD2024" w:rsidRDefault="00CB0437" w:rsidP="00CB0437">
      <w:pPr>
        <w:autoSpaceDE w:val="0"/>
        <w:autoSpaceDN w:val="0"/>
        <w:adjustRightInd w:val="0"/>
        <w:rPr>
          <w:rFonts w:ascii="Arial" w:eastAsiaTheme="minorHAnsi" w:hAnsi="Arial" w:cs="Arial"/>
          <w:b/>
          <w:bCs/>
          <w:i/>
          <w:sz w:val="28"/>
          <w:szCs w:val="28"/>
        </w:rPr>
      </w:pPr>
      <w:r w:rsidRPr="00FD2024">
        <w:rPr>
          <w:rFonts w:ascii="Arial" w:eastAsiaTheme="minorHAnsi" w:hAnsi="Arial" w:cs="Arial"/>
          <w:b/>
          <w:bCs/>
          <w:i/>
          <w:sz w:val="28"/>
          <w:szCs w:val="28"/>
        </w:rPr>
        <w:t>3. Jurisdiction of Tribunal</w:t>
      </w:r>
    </w:p>
    <w:p w:rsidR="00CB0437" w:rsidRPr="00FD2024" w:rsidRDefault="00CB0437" w:rsidP="00CB0437">
      <w:pPr>
        <w:autoSpaceDE w:val="0"/>
        <w:autoSpaceDN w:val="0"/>
        <w:adjustRightInd w:val="0"/>
        <w:jc w:val="both"/>
        <w:rPr>
          <w:rFonts w:ascii="Arial" w:eastAsiaTheme="minorHAnsi" w:hAnsi="Arial" w:cs="Arial"/>
          <w:i/>
          <w:sz w:val="28"/>
          <w:szCs w:val="28"/>
        </w:rPr>
      </w:pPr>
      <w:r w:rsidRPr="00FD2024">
        <w:rPr>
          <w:rFonts w:ascii="Arial" w:eastAsiaTheme="minorHAnsi" w:hAnsi="Arial" w:cs="Arial"/>
          <w:i/>
          <w:sz w:val="28"/>
          <w:szCs w:val="28"/>
        </w:rPr>
        <w:t>(1) Subject to subsections (2) and (3), the Tribunal shall hear and determine an appeal made by any public officer, or any local government officer, against any decision of the Public Service Commission or the Local Government Service Commission, as the case may be, pertaining to an appointment exercise or to a disciplinary action taken against that officer.</w:t>
      </w:r>
    </w:p>
    <w:p w:rsidR="00CB0437" w:rsidRPr="00FD2024" w:rsidRDefault="00CB0437" w:rsidP="00CB0437">
      <w:pPr>
        <w:autoSpaceDE w:val="0"/>
        <w:autoSpaceDN w:val="0"/>
        <w:adjustRightInd w:val="0"/>
        <w:jc w:val="both"/>
        <w:rPr>
          <w:rFonts w:ascii="Arial" w:eastAsiaTheme="minorHAnsi" w:hAnsi="Arial" w:cs="Arial"/>
          <w:i/>
          <w:sz w:val="28"/>
          <w:szCs w:val="28"/>
        </w:rPr>
      </w:pPr>
      <w:r w:rsidRPr="00FD2024">
        <w:rPr>
          <w:rFonts w:ascii="Arial" w:eastAsiaTheme="minorHAnsi" w:hAnsi="Arial" w:cs="Arial"/>
          <w:i/>
          <w:sz w:val="28"/>
          <w:szCs w:val="28"/>
        </w:rPr>
        <w:t>(2) An appeal shall be made –</w:t>
      </w:r>
    </w:p>
    <w:p w:rsidR="00CB0437" w:rsidRPr="00FD2024" w:rsidRDefault="00CB0437" w:rsidP="00CB0437">
      <w:pPr>
        <w:autoSpaceDE w:val="0"/>
        <w:autoSpaceDN w:val="0"/>
        <w:adjustRightInd w:val="0"/>
        <w:jc w:val="both"/>
        <w:rPr>
          <w:rFonts w:ascii="Arial" w:eastAsiaTheme="minorHAnsi" w:hAnsi="Arial" w:cs="Arial"/>
          <w:i/>
          <w:sz w:val="28"/>
          <w:szCs w:val="28"/>
        </w:rPr>
      </w:pPr>
      <w:r w:rsidRPr="00FD2024">
        <w:rPr>
          <w:rFonts w:ascii="Arial" w:eastAsiaTheme="minorHAnsi" w:hAnsi="Arial" w:cs="Arial"/>
          <w:i/>
          <w:sz w:val="28"/>
          <w:szCs w:val="28"/>
        </w:rPr>
        <w:t>(a) within 21 days of the notification to the officer of the decision referred to in subsection (1), or</w:t>
      </w:r>
      <w:r w:rsidR="00933B24">
        <w:rPr>
          <w:rFonts w:ascii="Arial" w:eastAsiaTheme="minorHAnsi" w:hAnsi="Arial" w:cs="Arial"/>
          <w:i/>
          <w:sz w:val="28"/>
          <w:szCs w:val="28"/>
        </w:rPr>
        <w:t xml:space="preserve"> </w:t>
      </w:r>
      <w:r w:rsidRPr="00FD2024">
        <w:rPr>
          <w:rFonts w:ascii="Arial" w:eastAsiaTheme="minorHAnsi" w:hAnsi="Arial" w:cs="Arial"/>
          <w:i/>
          <w:sz w:val="28"/>
          <w:szCs w:val="28"/>
        </w:rPr>
        <w:t>within 21 days of such public notification of the decision as may have been made, whichever is the earlier; and</w:t>
      </w:r>
    </w:p>
    <w:p w:rsidR="00CB0437" w:rsidRPr="00FD2024" w:rsidRDefault="00CB0437" w:rsidP="00CB0437">
      <w:pPr>
        <w:autoSpaceDE w:val="0"/>
        <w:autoSpaceDN w:val="0"/>
        <w:adjustRightInd w:val="0"/>
        <w:jc w:val="both"/>
        <w:rPr>
          <w:rFonts w:ascii="Arial" w:eastAsiaTheme="minorHAnsi" w:hAnsi="Arial" w:cs="Arial"/>
          <w:i/>
          <w:sz w:val="28"/>
          <w:szCs w:val="28"/>
        </w:rPr>
      </w:pPr>
      <w:r w:rsidRPr="00FD2024">
        <w:rPr>
          <w:rFonts w:ascii="Arial" w:eastAsiaTheme="minorHAnsi" w:hAnsi="Arial" w:cs="Arial"/>
          <w:i/>
          <w:sz w:val="28"/>
          <w:szCs w:val="28"/>
        </w:rPr>
        <w:t xml:space="preserve">(b) </w:t>
      </w:r>
      <w:proofErr w:type="gramStart"/>
      <w:r w:rsidRPr="00FD2024">
        <w:rPr>
          <w:rFonts w:ascii="Arial" w:eastAsiaTheme="minorHAnsi" w:hAnsi="Arial" w:cs="Arial"/>
          <w:i/>
          <w:sz w:val="28"/>
          <w:szCs w:val="28"/>
        </w:rPr>
        <w:t>in</w:t>
      </w:r>
      <w:proofErr w:type="gramEnd"/>
      <w:r w:rsidRPr="00FD2024">
        <w:rPr>
          <w:rFonts w:ascii="Arial" w:eastAsiaTheme="minorHAnsi" w:hAnsi="Arial" w:cs="Arial"/>
          <w:i/>
          <w:sz w:val="28"/>
          <w:szCs w:val="28"/>
        </w:rPr>
        <w:t xml:space="preserve"> such form and manner as may be prescribed by the Tribunal.</w:t>
      </w:r>
    </w:p>
    <w:p w:rsidR="00CB0437" w:rsidRPr="00FD2024" w:rsidRDefault="00CB0437" w:rsidP="00CB0437">
      <w:pPr>
        <w:autoSpaceDE w:val="0"/>
        <w:autoSpaceDN w:val="0"/>
        <w:adjustRightInd w:val="0"/>
        <w:jc w:val="both"/>
        <w:rPr>
          <w:rFonts w:ascii="Arial" w:eastAsiaTheme="minorHAnsi" w:hAnsi="Arial" w:cs="Arial"/>
          <w:i/>
          <w:sz w:val="28"/>
          <w:szCs w:val="28"/>
        </w:rPr>
      </w:pPr>
      <w:r w:rsidRPr="00FD2024">
        <w:rPr>
          <w:rFonts w:ascii="Arial" w:eastAsiaTheme="minorHAnsi" w:hAnsi="Arial" w:cs="Arial"/>
          <w:i/>
          <w:sz w:val="28"/>
          <w:szCs w:val="28"/>
        </w:rPr>
        <w:t>(3) No appeal shall lie to the Public Bodies Appeal Tribunal where the appeal relates to an appointment made following a call for application for an office by public advertisement.</w:t>
      </w:r>
    </w:p>
    <w:p w:rsidR="00CB0437" w:rsidRPr="00FD2024" w:rsidRDefault="00CB0437" w:rsidP="00CB0437">
      <w:pPr>
        <w:autoSpaceDE w:val="0"/>
        <w:autoSpaceDN w:val="0"/>
        <w:adjustRightInd w:val="0"/>
        <w:jc w:val="both"/>
        <w:rPr>
          <w:rFonts w:ascii="Arial" w:hAnsi="Arial" w:cs="Arial"/>
          <w:i/>
          <w:sz w:val="28"/>
          <w:szCs w:val="28"/>
        </w:rPr>
      </w:pPr>
      <w:r w:rsidRPr="00FD2024">
        <w:rPr>
          <w:rFonts w:ascii="Arial" w:eastAsiaTheme="minorHAnsi" w:hAnsi="Arial" w:cs="Arial"/>
          <w:i/>
          <w:sz w:val="28"/>
          <w:szCs w:val="28"/>
        </w:rPr>
        <w:t>(4) An officer shall have the right to appeal under subsection (1), notwithstanding the Public Service Commission Regulations, the Local Government Service Commission Act and the Local Government Service Commission Regulations</w:t>
      </w:r>
    </w:p>
    <w:p w:rsidR="00CB0437" w:rsidRDefault="00CB0437" w:rsidP="00F119AD">
      <w:pPr>
        <w:jc w:val="both"/>
        <w:rPr>
          <w:rFonts w:ascii="Arial" w:hAnsi="Arial" w:cs="Arial"/>
          <w:sz w:val="28"/>
          <w:szCs w:val="28"/>
        </w:rPr>
      </w:pPr>
    </w:p>
    <w:p w:rsidR="009763D5" w:rsidRDefault="00CB0437" w:rsidP="00F119AD">
      <w:pPr>
        <w:jc w:val="both"/>
        <w:rPr>
          <w:rFonts w:ascii="Arial" w:hAnsi="Arial" w:cs="Arial"/>
          <w:sz w:val="28"/>
          <w:szCs w:val="28"/>
        </w:rPr>
      </w:pPr>
      <w:r>
        <w:rPr>
          <w:rFonts w:ascii="Arial" w:hAnsi="Arial" w:cs="Arial"/>
          <w:sz w:val="28"/>
          <w:szCs w:val="28"/>
        </w:rPr>
        <w:t xml:space="preserve">Despite section </w:t>
      </w:r>
      <w:r w:rsidRPr="003E02C5">
        <w:rPr>
          <w:rFonts w:ascii="Arial" w:hAnsi="Arial" w:cs="Arial"/>
          <w:b/>
          <w:sz w:val="28"/>
          <w:szCs w:val="28"/>
        </w:rPr>
        <w:t>4(2)</w:t>
      </w:r>
      <w:r>
        <w:rPr>
          <w:rFonts w:ascii="Arial" w:hAnsi="Arial" w:cs="Arial"/>
          <w:sz w:val="28"/>
          <w:szCs w:val="28"/>
        </w:rPr>
        <w:t xml:space="preserve"> of the </w:t>
      </w:r>
      <w:r w:rsidRPr="003E02C5">
        <w:rPr>
          <w:rFonts w:ascii="Arial" w:hAnsi="Arial" w:cs="Arial"/>
          <w:b/>
          <w:sz w:val="28"/>
          <w:szCs w:val="28"/>
        </w:rPr>
        <w:t>LGSCA</w:t>
      </w:r>
      <w:r>
        <w:rPr>
          <w:rFonts w:ascii="Arial" w:hAnsi="Arial" w:cs="Arial"/>
          <w:sz w:val="28"/>
          <w:szCs w:val="28"/>
        </w:rPr>
        <w:t xml:space="preserve">, section </w:t>
      </w:r>
      <w:r w:rsidRPr="003E02C5">
        <w:rPr>
          <w:rFonts w:ascii="Arial" w:hAnsi="Arial" w:cs="Arial"/>
          <w:b/>
          <w:sz w:val="28"/>
          <w:szCs w:val="28"/>
        </w:rPr>
        <w:t>3(4)</w:t>
      </w:r>
      <w:r>
        <w:rPr>
          <w:rFonts w:ascii="Arial" w:hAnsi="Arial" w:cs="Arial"/>
          <w:sz w:val="28"/>
          <w:szCs w:val="28"/>
        </w:rPr>
        <w:t xml:space="preserve"> of the </w:t>
      </w:r>
      <w:r w:rsidRPr="003E02C5">
        <w:rPr>
          <w:rFonts w:ascii="Arial" w:hAnsi="Arial" w:cs="Arial"/>
          <w:b/>
          <w:sz w:val="28"/>
          <w:szCs w:val="28"/>
        </w:rPr>
        <w:t xml:space="preserve">Public Bodies Appeal Tribunal Act </w:t>
      </w:r>
      <w:r>
        <w:rPr>
          <w:rFonts w:ascii="Arial" w:hAnsi="Arial" w:cs="Arial"/>
          <w:sz w:val="28"/>
          <w:szCs w:val="28"/>
        </w:rPr>
        <w:t xml:space="preserve">specifically provides that an officer shall have the right to appeal to the Public Bodies Appeal Tribunal against any decision </w:t>
      </w:r>
      <w:r w:rsidR="0005624E">
        <w:rPr>
          <w:rFonts w:ascii="Arial" w:hAnsi="Arial" w:cs="Arial"/>
          <w:sz w:val="28"/>
          <w:szCs w:val="28"/>
        </w:rPr>
        <w:t xml:space="preserve">of Co-Respondent No. 1 </w:t>
      </w:r>
      <w:r>
        <w:rPr>
          <w:rFonts w:ascii="Arial" w:hAnsi="Arial" w:cs="Arial"/>
          <w:sz w:val="28"/>
          <w:szCs w:val="28"/>
        </w:rPr>
        <w:t xml:space="preserve">pertaining to an appointment exercise as per </w:t>
      </w:r>
      <w:r w:rsidR="0005624E" w:rsidRPr="003E02C5">
        <w:rPr>
          <w:rFonts w:ascii="Arial" w:hAnsi="Arial" w:cs="Arial"/>
          <w:b/>
          <w:sz w:val="28"/>
          <w:szCs w:val="28"/>
        </w:rPr>
        <w:t>sub</w:t>
      </w:r>
      <w:r w:rsidRPr="003E02C5">
        <w:rPr>
          <w:rFonts w:ascii="Arial" w:hAnsi="Arial" w:cs="Arial"/>
          <w:b/>
          <w:sz w:val="28"/>
          <w:szCs w:val="28"/>
        </w:rPr>
        <w:t>section</w:t>
      </w:r>
      <w:r w:rsidR="0005624E" w:rsidRPr="003E02C5">
        <w:rPr>
          <w:rFonts w:ascii="Arial" w:hAnsi="Arial" w:cs="Arial"/>
          <w:b/>
          <w:sz w:val="28"/>
          <w:szCs w:val="28"/>
        </w:rPr>
        <w:t>s</w:t>
      </w:r>
      <w:r w:rsidRPr="003E02C5">
        <w:rPr>
          <w:rFonts w:ascii="Arial" w:hAnsi="Arial" w:cs="Arial"/>
          <w:b/>
          <w:sz w:val="28"/>
          <w:szCs w:val="28"/>
        </w:rPr>
        <w:t xml:space="preserve"> 3(1) and </w:t>
      </w:r>
      <w:r w:rsidR="0005624E" w:rsidRPr="003E02C5">
        <w:rPr>
          <w:rFonts w:ascii="Arial" w:hAnsi="Arial" w:cs="Arial"/>
          <w:b/>
          <w:sz w:val="28"/>
          <w:szCs w:val="28"/>
        </w:rPr>
        <w:t>3(2)</w:t>
      </w:r>
      <w:r w:rsidR="00C33767">
        <w:rPr>
          <w:rFonts w:ascii="Arial" w:hAnsi="Arial" w:cs="Arial"/>
          <w:b/>
          <w:sz w:val="28"/>
          <w:szCs w:val="28"/>
        </w:rPr>
        <w:t xml:space="preserve"> </w:t>
      </w:r>
      <w:r w:rsidR="0005624E" w:rsidRPr="003E02C5">
        <w:rPr>
          <w:rFonts w:ascii="Arial" w:hAnsi="Arial" w:cs="Arial"/>
          <w:sz w:val="28"/>
          <w:szCs w:val="28"/>
        </w:rPr>
        <w:t>of the</w:t>
      </w:r>
      <w:r w:rsidR="0005624E" w:rsidRPr="003E02C5">
        <w:rPr>
          <w:rFonts w:ascii="Arial" w:hAnsi="Arial" w:cs="Arial"/>
          <w:b/>
          <w:sz w:val="28"/>
          <w:szCs w:val="28"/>
        </w:rPr>
        <w:t xml:space="preserve"> Public Bodies Appeal Tribunal Act</w:t>
      </w:r>
      <w:r w:rsidR="0005624E">
        <w:rPr>
          <w:rFonts w:ascii="Arial" w:hAnsi="Arial" w:cs="Arial"/>
          <w:sz w:val="28"/>
          <w:szCs w:val="28"/>
        </w:rPr>
        <w:t xml:space="preserve">.  </w:t>
      </w:r>
      <w:r w:rsidR="00A34904">
        <w:rPr>
          <w:rFonts w:ascii="Arial" w:hAnsi="Arial" w:cs="Arial"/>
          <w:sz w:val="28"/>
          <w:szCs w:val="28"/>
        </w:rPr>
        <w:t>“</w:t>
      </w:r>
      <w:r w:rsidR="009763D5">
        <w:rPr>
          <w:rFonts w:ascii="Arial" w:hAnsi="Arial" w:cs="Arial"/>
          <w:sz w:val="28"/>
          <w:szCs w:val="28"/>
        </w:rPr>
        <w:t>Appointment</w:t>
      </w:r>
      <w:r w:rsidR="00A34904">
        <w:rPr>
          <w:rFonts w:ascii="Arial" w:hAnsi="Arial" w:cs="Arial"/>
          <w:sz w:val="28"/>
          <w:szCs w:val="28"/>
        </w:rPr>
        <w:t>”</w:t>
      </w:r>
      <w:r w:rsidR="00933B24">
        <w:rPr>
          <w:rFonts w:ascii="Arial" w:hAnsi="Arial" w:cs="Arial"/>
          <w:sz w:val="28"/>
          <w:szCs w:val="28"/>
        </w:rPr>
        <w:t xml:space="preserve"> </w:t>
      </w:r>
      <w:r w:rsidR="00AB0C29">
        <w:rPr>
          <w:rFonts w:ascii="Arial" w:hAnsi="Arial" w:cs="Arial"/>
          <w:sz w:val="28"/>
          <w:szCs w:val="28"/>
        </w:rPr>
        <w:t xml:space="preserve">was </w:t>
      </w:r>
      <w:r w:rsidR="009763D5">
        <w:rPr>
          <w:rFonts w:ascii="Arial" w:hAnsi="Arial" w:cs="Arial"/>
          <w:sz w:val="28"/>
          <w:szCs w:val="28"/>
        </w:rPr>
        <w:t xml:space="preserve">defined in </w:t>
      </w:r>
      <w:r w:rsidR="009763D5" w:rsidRPr="003E02C5">
        <w:rPr>
          <w:rFonts w:ascii="Arial" w:hAnsi="Arial" w:cs="Arial"/>
          <w:b/>
          <w:sz w:val="28"/>
          <w:szCs w:val="28"/>
        </w:rPr>
        <w:t>section 2</w:t>
      </w:r>
      <w:r w:rsidR="009763D5">
        <w:rPr>
          <w:rFonts w:ascii="Arial" w:hAnsi="Arial" w:cs="Arial"/>
          <w:sz w:val="28"/>
          <w:szCs w:val="28"/>
        </w:rPr>
        <w:t xml:space="preserve"> of the </w:t>
      </w:r>
      <w:r w:rsidR="009763D5" w:rsidRPr="003E02C5">
        <w:rPr>
          <w:rFonts w:ascii="Arial" w:hAnsi="Arial" w:cs="Arial"/>
          <w:b/>
          <w:sz w:val="28"/>
          <w:szCs w:val="28"/>
        </w:rPr>
        <w:t>LGSCA</w:t>
      </w:r>
      <w:r w:rsidR="00C33767">
        <w:rPr>
          <w:rFonts w:ascii="Arial" w:hAnsi="Arial" w:cs="Arial"/>
          <w:b/>
          <w:sz w:val="28"/>
          <w:szCs w:val="28"/>
        </w:rPr>
        <w:t xml:space="preserve"> </w:t>
      </w:r>
      <w:r w:rsidR="00AB0C29">
        <w:rPr>
          <w:rFonts w:ascii="Arial" w:hAnsi="Arial" w:cs="Arial"/>
          <w:sz w:val="28"/>
          <w:szCs w:val="28"/>
        </w:rPr>
        <w:t xml:space="preserve">(at the time of </w:t>
      </w:r>
      <w:r w:rsidR="006D4B44">
        <w:rPr>
          <w:rFonts w:ascii="Arial" w:hAnsi="Arial" w:cs="Arial"/>
          <w:sz w:val="28"/>
          <w:szCs w:val="28"/>
        </w:rPr>
        <w:t xml:space="preserve">Disputant’s </w:t>
      </w:r>
      <w:r w:rsidR="00AB0C29">
        <w:rPr>
          <w:rFonts w:ascii="Arial" w:hAnsi="Arial" w:cs="Arial"/>
          <w:sz w:val="28"/>
          <w:szCs w:val="28"/>
        </w:rPr>
        <w:t xml:space="preserve">appointment </w:t>
      </w:r>
      <w:r w:rsidR="006D4B44">
        <w:rPr>
          <w:rFonts w:ascii="Arial" w:hAnsi="Arial" w:cs="Arial"/>
          <w:sz w:val="28"/>
          <w:szCs w:val="28"/>
        </w:rPr>
        <w:t xml:space="preserve">as Handy Worker (Special Class) </w:t>
      </w:r>
      <w:r w:rsidR="00AB0C29">
        <w:rPr>
          <w:rFonts w:ascii="Arial" w:hAnsi="Arial" w:cs="Arial"/>
          <w:sz w:val="28"/>
          <w:szCs w:val="28"/>
        </w:rPr>
        <w:t xml:space="preserve">and prior to the amendment brought by </w:t>
      </w:r>
      <w:r w:rsidR="00AB0C29" w:rsidRPr="00946ECD">
        <w:rPr>
          <w:rFonts w:ascii="Arial" w:hAnsi="Arial" w:cs="Arial"/>
          <w:b/>
          <w:sz w:val="28"/>
          <w:szCs w:val="28"/>
        </w:rPr>
        <w:t xml:space="preserve">Act </w:t>
      </w:r>
      <w:r w:rsidR="00946ECD">
        <w:rPr>
          <w:rFonts w:ascii="Arial" w:hAnsi="Arial" w:cs="Arial"/>
          <w:b/>
          <w:sz w:val="28"/>
          <w:szCs w:val="28"/>
        </w:rPr>
        <w:t>N</w:t>
      </w:r>
      <w:r w:rsidR="00AB0C29" w:rsidRPr="00946ECD">
        <w:rPr>
          <w:rFonts w:ascii="Arial" w:hAnsi="Arial" w:cs="Arial"/>
          <w:b/>
          <w:sz w:val="28"/>
          <w:szCs w:val="28"/>
        </w:rPr>
        <w:t>o. 36 of 2011</w:t>
      </w:r>
      <w:r w:rsidR="00AB0C29">
        <w:rPr>
          <w:rFonts w:ascii="Arial" w:hAnsi="Arial" w:cs="Arial"/>
          <w:sz w:val="28"/>
          <w:szCs w:val="28"/>
        </w:rPr>
        <w:t>)</w:t>
      </w:r>
      <w:r w:rsidR="003E02C5">
        <w:rPr>
          <w:rFonts w:ascii="Arial" w:hAnsi="Arial" w:cs="Arial"/>
          <w:sz w:val="28"/>
          <w:szCs w:val="28"/>
        </w:rPr>
        <w:t xml:space="preserve"> as follows</w:t>
      </w:r>
      <w:r w:rsidR="009763D5">
        <w:rPr>
          <w:rFonts w:ascii="Arial" w:hAnsi="Arial" w:cs="Arial"/>
          <w:sz w:val="28"/>
          <w:szCs w:val="28"/>
        </w:rPr>
        <w:t>:</w:t>
      </w:r>
    </w:p>
    <w:p w:rsidR="009763D5" w:rsidRDefault="009763D5" w:rsidP="00F119AD">
      <w:pPr>
        <w:jc w:val="both"/>
        <w:rPr>
          <w:rFonts w:ascii="Arial" w:hAnsi="Arial" w:cs="Arial"/>
          <w:sz w:val="28"/>
          <w:szCs w:val="28"/>
        </w:rPr>
      </w:pPr>
    </w:p>
    <w:p w:rsidR="00AB0C29" w:rsidRPr="00AB0C29" w:rsidRDefault="00AB0C29" w:rsidP="00AB0C29">
      <w:pPr>
        <w:autoSpaceDE w:val="0"/>
        <w:autoSpaceDN w:val="0"/>
        <w:adjustRightInd w:val="0"/>
        <w:rPr>
          <w:rFonts w:ascii="Arial" w:eastAsiaTheme="minorHAnsi" w:hAnsi="Arial" w:cs="Arial"/>
          <w:i/>
          <w:sz w:val="28"/>
          <w:szCs w:val="28"/>
        </w:rPr>
      </w:pPr>
      <w:r w:rsidRPr="00AB0C29">
        <w:rPr>
          <w:rFonts w:ascii="Arial" w:eastAsiaTheme="minorHAnsi" w:hAnsi="Arial" w:cs="Arial"/>
          <w:i/>
          <w:sz w:val="28"/>
          <w:szCs w:val="28"/>
        </w:rPr>
        <w:t>“</w:t>
      </w:r>
      <w:proofErr w:type="gramStart"/>
      <w:r w:rsidRPr="00AB0C29">
        <w:rPr>
          <w:rFonts w:ascii="Arial" w:eastAsiaTheme="minorHAnsi" w:hAnsi="Arial" w:cs="Arial"/>
          <w:i/>
          <w:sz w:val="28"/>
          <w:szCs w:val="28"/>
        </w:rPr>
        <w:t>appointment</w:t>
      </w:r>
      <w:proofErr w:type="gramEnd"/>
      <w:r w:rsidRPr="00AB0C29">
        <w:rPr>
          <w:rFonts w:ascii="Arial" w:eastAsiaTheme="minorHAnsi" w:hAnsi="Arial" w:cs="Arial"/>
          <w:i/>
          <w:sz w:val="28"/>
          <w:szCs w:val="28"/>
        </w:rPr>
        <w:t>" means-</w:t>
      </w:r>
    </w:p>
    <w:p w:rsidR="00AB0C29" w:rsidRPr="00AB0C29" w:rsidRDefault="00AB0C29" w:rsidP="00933B24">
      <w:pPr>
        <w:autoSpaceDE w:val="0"/>
        <w:autoSpaceDN w:val="0"/>
        <w:adjustRightInd w:val="0"/>
        <w:jc w:val="both"/>
        <w:rPr>
          <w:rFonts w:ascii="Arial" w:eastAsiaTheme="minorHAnsi" w:hAnsi="Arial" w:cs="Arial"/>
          <w:i/>
          <w:sz w:val="28"/>
          <w:szCs w:val="28"/>
        </w:rPr>
      </w:pPr>
      <w:r w:rsidRPr="00AB0C29">
        <w:rPr>
          <w:rFonts w:ascii="Arial" w:eastAsiaTheme="minorHAnsi" w:hAnsi="Arial" w:cs="Arial"/>
          <w:i/>
          <w:sz w:val="28"/>
          <w:szCs w:val="28"/>
        </w:rPr>
        <w:t>(a) the designation of a person not in the service of a local authority to an office of</w:t>
      </w:r>
      <w:r w:rsidR="00933B24">
        <w:rPr>
          <w:rFonts w:ascii="Arial" w:eastAsiaTheme="minorHAnsi" w:hAnsi="Arial" w:cs="Arial"/>
          <w:i/>
          <w:sz w:val="28"/>
          <w:szCs w:val="28"/>
        </w:rPr>
        <w:t xml:space="preserve"> </w:t>
      </w:r>
      <w:r w:rsidRPr="00AB0C29">
        <w:rPr>
          <w:rFonts w:ascii="Arial" w:eastAsiaTheme="minorHAnsi" w:hAnsi="Arial" w:cs="Arial"/>
          <w:i/>
          <w:sz w:val="28"/>
          <w:szCs w:val="28"/>
        </w:rPr>
        <w:t>emolument in the service of a local authority, including a designation in a temporary or</w:t>
      </w:r>
      <w:r w:rsidR="00C33767">
        <w:rPr>
          <w:rFonts w:ascii="Arial" w:eastAsiaTheme="minorHAnsi" w:hAnsi="Arial" w:cs="Arial"/>
          <w:i/>
          <w:sz w:val="28"/>
          <w:szCs w:val="28"/>
        </w:rPr>
        <w:t xml:space="preserve"> </w:t>
      </w:r>
      <w:r w:rsidRPr="00AB0C29">
        <w:rPr>
          <w:rFonts w:ascii="Arial" w:eastAsiaTheme="minorHAnsi" w:hAnsi="Arial" w:cs="Arial"/>
          <w:i/>
          <w:sz w:val="28"/>
          <w:szCs w:val="28"/>
        </w:rPr>
        <w:t>an acting capacity or subject to</w:t>
      </w:r>
      <w:r w:rsidR="00C33767">
        <w:rPr>
          <w:rFonts w:ascii="Arial" w:eastAsiaTheme="minorHAnsi" w:hAnsi="Arial" w:cs="Arial"/>
          <w:i/>
          <w:sz w:val="28"/>
          <w:szCs w:val="28"/>
        </w:rPr>
        <w:t xml:space="preserve"> </w:t>
      </w:r>
      <w:r w:rsidRPr="00AB0C29">
        <w:rPr>
          <w:rFonts w:ascii="Arial" w:eastAsiaTheme="minorHAnsi" w:hAnsi="Arial" w:cs="Arial"/>
          <w:i/>
          <w:sz w:val="28"/>
          <w:szCs w:val="28"/>
        </w:rPr>
        <w:t>subsequent confirmation;</w:t>
      </w:r>
    </w:p>
    <w:p w:rsidR="00AB0C29" w:rsidRPr="00AB0C29" w:rsidRDefault="00AB0C29" w:rsidP="00933B24">
      <w:pPr>
        <w:autoSpaceDE w:val="0"/>
        <w:autoSpaceDN w:val="0"/>
        <w:adjustRightInd w:val="0"/>
        <w:jc w:val="both"/>
        <w:rPr>
          <w:rFonts w:ascii="Arial" w:eastAsiaTheme="minorHAnsi" w:hAnsi="Arial" w:cs="Arial"/>
          <w:i/>
          <w:sz w:val="28"/>
          <w:szCs w:val="28"/>
        </w:rPr>
      </w:pPr>
      <w:r w:rsidRPr="00AB0C29">
        <w:rPr>
          <w:rFonts w:ascii="Arial" w:eastAsiaTheme="minorHAnsi" w:hAnsi="Arial" w:cs="Arial"/>
          <w:i/>
          <w:sz w:val="28"/>
          <w:szCs w:val="28"/>
        </w:rPr>
        <w:t xml:space="preserve">(b) </w:t>
      </w:r>
      <w:proofErr w:type="gramStart"/>
      <w:r w:rsidRPr="00AB0C29">
        <w:rPr>
          <w:rFonts w:ascii="Arial" w:eastAsiaTheme="minorHAnsi" w:hAnsi="Arial" w:cs="Arial"/>
          <w:i/>
          <w:sz w:val="28"/>
          <w:szCs w:val="28"/>
        </w:rPr>
        <w:t>the</w:t>
      </w:r>
      <w:proofErr w:type="gramEnd"/>
      <w:r w:rsidRPr="00AB0C29">
        <w:rPr>
          <w:rFonts w:ascii="Arial" w:eastAsiaTheme="minorHAnsi" w:hAnsi="Arial" w:cs="Arial"/>
          <w:i/>
          <w:sz w:val="28"/>
          <w:szCs w:val="28"/>
        </w:rPr>
        <w:t xml:space="preserve"> grant of permanent and pensionable terms of service in a pensionable office in the</w:t>
      </w:r>
      <w:r w:rsidR="00C33767">
        <w:rPr>
          <w:rFonts w:ascii="Arial" w:eastAsiaTheme="minorHAnsi" w:hAnsi="Arial" w:cs="Arial"/>
          <w:i/>
          <w:sz w:val="28"/>
          <w:szCs w:val="28"/>
        </w:rPr>
        <w:t xml:space="preserve"> </w:t>
      </w:r>
      <w:r w:rsidRPr="00AB0C29">
        <w:rPr>
          <w:rFonts w:ascii="Arial" w:eastAsiaTheme="minorHAnsi" w:hAnsi="Arial" w:cs="Arial"/>
          <w:i/>
          <w:sz w:val="28"/>
          <w:szCs w:val="28"/>
        </w:rPr>
        <w:t>service of a local authority to a person recruited and serving on contract terms or in</w:t>
      </w:r>
      <w:r w:rsidR="00C33767">
        <w:rPr>
          <w:rFonts w:ascii="Arial" w:eastAsiaTheme="minorHAnsi" w:hAnsi="Arial" w:cs="Arial"/>
          <w:i/>
          <w:sz w:val="28"/>
          <w:szCs w:val="28"/>
        </w:rPr>
        <w:t xml:space="preserve"> </w:t>
      </w:r>
      <w:r w:rsidRPr="00AB0C29">
        <w:rPr>
          <w:rFonts w:ascii="Arial" w:eastAsiaTheme="minorHAnsi" w:hAnsi="Arial" w:cs="Arial"/>
          <w:i/>
          <w:sz w:val="28"/>
          <w:szCs w:val="28"/>
        </w:rPr>
        <w:t>an unestablished capacity;</w:t>
      </w:r>
    </w:p>
    <w:p w:rsidR="00AB0C29" w:rsidRPr="00AB0C29" w:rsidRDefault="00AB0C29" w:rsidP="00933B24">
      <w:pPr>
        <w:autoSpaceDE w:val="0"/>
        <w:autoSpaceDN w:val="0"/>
        <w:adjustRightInd w:val="0"/>
        <w:jc w:val="both"/>
        <w:rPr>
          <w:rFonts w:ascii="Arial" w:eastAsiaTheme="minorHAnsi" w:hAnsi="Arial" w:cs="Arial"/>
          <w:i/>
          <w:sz w:val="28"/>
          <w:szCs w:val="28"/>
        </w:rPr>
      </w:pPr>
      <w:r w:rsidRPr="00AB0C29">
        <w:rPr>
          <w:rFonts w:ascii="Arial" w:eastAsiaTheme="minorHAnsi" w:hAnsi="Arial" w:cs="Arial"/>
          <w:i/>
          <w:sz w:val="28"/>
          <w:szCs w:val="28"/>
        </w:rPr>
        <w:t xml:space="preserve">(c) </w:t>
      </w:r>
      <w:proofErr w:type="gramStart"/>
      <w:r w:rsidRPr="00AB0C29">
        <w:rPr>
          <w:rFonts w:ascii="Arial" w:eastAsiaTheme="minorHAnsi" w:hAnsi="Arial" w:cs="Arial"/>
          <w:i/>
          <w:sz w:val="28"/>
          <w:szCs w:val="28"/>
        </w:rPr>
        <w:t>the</w:t>
      </w:r>
      <w:proofErr w:type="gramEnd"/>
      <w:r w:rsidRPr="00AB0C29">
        <w:rPr>
          <w:rFonts w:ascii="Arial" w:eastAsiaTheme="minorHAnsi" w:hAnsi="Arial" w:cs="Arial"/>
          <w:i/>
          <w:sz w:val="28"/>
          <w:szCs w:val="28"/>
        </w:rPr>
        <w:t xml:space="preserve"> engagement or re-engagement of a person on contract terms in the service of a</w:t>
      </w:r>
      <w:r w:rsidR="00C33767">
        <w:rPr>
          <w:rFonts w:ascii="Arial" w:eastAsiaTheme="minorHAnsi" w:hAnsi="Arial" w:cs="Arial"/>
          <w:i/>
          <w:sz w:val="28"/>
          <w:szCs w:val="28"/>
        </w:rPr>
        <w:t xml:space="preserve"> </w:t>
      </w:r>
      <w:r w:rsidRPr="00AB0C29">
        <w:rPr>
          <w:rFonts w:ascii="Arial" w:eastAsiaTheme="minorHAnsi" w:hAnsi="Arial" w:cs="Arial"/>
          <w:i/>
          <w:sz w:val="28"/>
          <w:szCs w:val="28"/>
        </w:rPr>
        <w:t>local authority;</w:t>
      </w:r>
    </w:p>
    <w:p w:rsidR="00AB0C29" w:rsidRPr="00AB0C29" w:rsidRDefault="00AB0C29" w:rsidP="00AB0C29">
      <w:pPr>
        <w:autoSpaceDE w:val="0"/>
        <w:autoSpaceDN w:val="0"/>
        <w:adjustRightInd w:val="0"/>
        <w:rPr>
          <w:rFonts w:ascii="Arial" w:eastAsiaTheme="minorHAnsi" w:hAnsi="Arial" w:cs="Arial"/>
          <w:i/>
          <w:sz w:val="28"/>
          <w:szCs w:val="28"/>
        </w:rPr>
      </w:pPr>
      <w:r w:rsidRPr="00AB0C29">
        <w:rPr>
          <w:rFonts w:ascii="Arial" w:eastAsiaTheme="minorHAnsi" w:hAnsi="Arial" w:cs="Arial"/>
          <w:i/>
          <w:sz w:val="28"/>
          <w:szCs w:val="28"/>
        </w:rPr>
        <w:t xml:space="preserve">(d) </w:t>
      </w:r>
      <w:proofErr w:type="gramStart"/>
      <w:r w:rsidRPr="00AB0C29">
        <w:rPr>
          <w:rFonts w:ascii="Arial" w:eastAsiaTheme="minorHAnsi" w:hAnsi="Arial" w:cs="Arial"/>
          <w:i/>
          <w:sz w:val="28"/>
          <w:szCs w:val="28"/>
        </w:rPr>
        <w:t>the</w:t>
      </w:r>
      <w:proofErr w:type="gramEnd"/>
      <w:r w:rsidRPr="00AB0C29">
        <w:rPr>
          <w:rFonts w:ascii="Arial" w:eastAsiaTheme="minorHAnsi" w:hAnsi="Arial" w:cs="Arial"/>
          <w:i/>
          <w:sz w:val="28"/>
          <w:szCs w:val="28"/>
        </w:rPr>
        <w:t xml:space="preserve"> transfer of a local government officer, on promotion or otherwise-</w:t>
      </w:r>
    </w:p>
    <w:p w:rsidR="00AB0C29" w:rsidRPr="00AB0C29" w:rsidRDefault="00AB0C29" w:rsidP="00AB0C29">
      <w:pPr>
        <w:autoSpaceDE w:val="0"/>
        <w:autoSpaceDN w:val="0"/>
        <w:adjustRightInd w:val="0"/>
        <w:rPr>
          <w:rFonts w:ascii="Arial" w:eastAsiaTheme="minorHAnsi" w:hAnsi="Arial" w:cs="Arial"/>
          <w:i/>
          <w:sz w:val="28"/>
          <w:szCs w:val="28"/>
        </w:rPr>
      </w:pPr>
      <w:r w:rsidRPr="00AB0C29">
        <w:rPr>
          <w:rFonts w:ascii="Arial" w:eastAsiaTheme="minorHAnsi" w:hAnsi="Arial" w:cs="Arial"/>
          <w:i/>
          <w:sz w:val="28"/>
          <w:szCs w:val="28"/>
        </w:rPr>
        <w:t xml:space="preserve">(i) </w:t>
      </w:r>
      <w:proofErr w:type="gramStart"/>
      <w:r w:rsidRPr="00AB0C29">
        <w:rPr>
          <w:rFonts w:ascii="Arial" w:eastAsiaTheme="minorHAnsi" w:hAnsi="Arial" w:cs="Arial"/>
          <w:i/>
          <w:sz w:val="28"/>
          <w:szCs w:val="28"/>
        </w:rPr>
        <w:t>from</w:t>
      </w:r>
      <w:proofErr w:type="gramEnd"/>
      <w:r w:rsidRPr="00AB0C29">
        <w:rPr>
          <w:rFonts w:ascii="Arial" w:eastAsiaTheme="minorHAnsi" w:hAnsi="Arial" w:cs="Arial"/>
          <w:i/>
          <w:sz w:val="28"/>
          <w:szCs w:val="28"/>
        </w:rPr>
        <w:t xml:space="preserve"> one office of emolument to another within the service of the</w:t>
      </w:r>
    </w:p>
    <w:p w:rsidR="00AB0C29" w:rsidRPr="00AB0C29" w:rsidRDefault="00AB0C29" w:rsidP="00AB0C29">
      <w:pPr>
        <w:autoSpaceDE w:val="0"/>
        <w:autoSpaceDN w:val="0"/>
        <w:adjustRightInd w:val="0"/>
        <w:rPr>
          <w:rFonts w:ascii="Arial" w:eastAsiaTheme="minorHAnsi" w:hAnsi="Arial" w:cs="Arial"/>
          <w:i/>
          <w:sz w:val="28"/>
          <w:szCs w:val="28"/>
        </w:rPr>
      </w:pPr>
      <w:proofErr w:type="gramStart"/>
      <w:r w:rsidRPr="00AB0C29">
        <w:rPr>
          <w:rFonts w:ascii="Arial" w:eastAsiaTheme="minorHAnsi" w:hAnsi="Arial" w:cs="Arial"/>
          <w:i/>
          <w:sz w:val="28"/>
          <w:szCs w:val="28"/>
        </w:rPr>
        <w:t>same</w:t>
      </w:r>
      <w:proofErr w:type="gramEnd"/>
      <w:r w:rsidRPr="00AB0C29">
        <w:rPr>
          <w:rFonts w:ascii="Arial" w:eastAsiaTheme="minorHAnsi" w:hAnsi="Arial" w:cs="Arial"/>
          <w:i/>
          <w:sz w:val="28"/>
          <w:szCs w:val="28"/>
        </w:rPr>
        <w:t xml:space="preserve"> local authority; or</w:t>
      </w:r>
    </w:p>
    <w:p w:rsidR="00AB0C29" w:rsidRPr="00AB0C29" w:rsidRDefault="00AB0C29" w:rsidP="00AB0C29">
      <w:pPr>
        <w:autoSpaceDE w:val="0"/>
        <w:autoSpaceDN w:val="0"/>
        <w:adjustRightInd w:val="0"/>
        <w:jc w:val="both"/>
        <w:rPr>
          <w:rFonts w:ascii="Arial" w:eastAsiaTheme="minorHAnsi" w:hAnsi="Arial" w:cs="Arial"/>
          <w:i/>
          <w:color w:val="000000"/>
          <w:sz w:val="28"/>
          <w:szCs w:val="28"/>
        </w:rPr>
      </w:pPr>
      <w:r w:rsidRPr="00AB0C29">
        <w:rPr>
          <w:rFonts w:ascii="Arial" w:eastAsiaTheme="minorHAnsi" w:hAnsi="Arial" w:cs="Arial"/>
          <w:i/>
          <w:sz w:val="28"/>
          <w:szCs w:val="28"/>
        </w:rPr>
        <w:t xml:space="preserve">(ii) </w:t>
      </w:r>
      <w:proofErr w:type="gramStart"/>
      <w:r w:rsidRPr="00AB0C29">
        <w:rPr>
          <w:rFonts w:ascii="Arial" w:eastAsiaTheme="minorHAnsi" w:hAnsi="Arial" w:cs="Arial"/>
          <w:i/>
          <w:sz w:val="28"/>
          <w:szCs w:val="28"/>
        </w:rPr>
        <w:t>from</w:t>
      </w:r>
      <w:proofErr w:type="gramEnd"/>
      <w:r w:rsidRPr="00AB0C29">
        <w:rPr>
          <w:rFonts w:ascii="Arial" w:eastAsiaTheme="minorHAnsi" w:hAnsi="Arial" w:cs="Arial"/>
          <w:i/>
          <w:sz w:val="28"/>
          <w:szCs w:val="28"/>
        </w:rPr>
        <w:t xml:space="preserve"> one local authority to anothe</w:t>
      </w:r>
      <w:r>
        <w:rPr>
          <w:rFonts w:ascii="Arial" w:eastAsiaTheme="minorHAnsi" w:hAnsi="Arial" w:cs="Arial"/>
          <w:i/>
          <w:sz w:val="28"/>
          <w:szCs w:val="28"/>
        </w:rPr>
        <w:t>r.</w:t>
      </w:r>
    </w:p>
    <w:p w:rsidR="00AD74EE" w:rsidRDefault="00AD74EE" w:rsidP="009763D5">
      <w:pPr>
        <w:jc w:val="both"/>
        <w:rPr>
          <w:rFonts w:ascii="Arial" w:eastAsiaTheme="minorHAnsi" w:hAnsi="Arial" w:cs="Arial"/>
          <w:bCs/>
          <w:sz w:val="28"/>
          <w:szCs w:val="28"/>
        </w:rPr>
      </w:pPr>
      <w:r>
        <w:rPr>
          <w:rFonts w:ascii="Arial" w:eastAsiaTheme="minorHAnsi" w:hAnsi="Arial" w:cs="Arial"/>
          <w:bCs/>
          <w:sz w:val="28"/>
          <w:szCs w:val="28"/>
        </w:rPr>
        <w:t xml:space="preserve">In the present matter, ex facie the pleadings (including paragraph 5 of Disputant’s Statement of Case) and documents annexed (including the </w:t>
      </w:r>
      <w:r w:rsidR="00AB0C29">
        <w:rPr>
          <w:rFonts w:ascii="Arial" w:eastAsiaTheme="minorHAnsi" w:hAnsi="Arial" w:cs="Arial"/>
          <w:bCs/>
          <w:sz w:val="28"/>
          <w:szCs w:val="28"/>
        </w:rPr>
        <w:t xml:space="preserve">appointment </w:t>
      </w:r>
      <w:r>
        <w:rPr>
          <w:rFonts w:ascii="Arial" w:eastAsiaTheme="minorHAnsi" w:hAnsi="Arial" w:cs="Arial"/>
          <w:bCs/>
          <w:sz w:val="28"/>
          <w:szCs w:val="28"/>
        </w:rPr>
        <w:t xml:space="preserve">letter of 29 June 2010), it is clear and undisputed that Disputant was appointed as Handy Worker (Special Class).  This </w:t>
      </w:r>
      <w:r w:rsidR="00ED6B92">
        <w:rPr>
          <w:rFonts w:ascii="Arial" w:eastAsiaTheme="minorHAnsi" w:hAnsi="Arial" w:cs="Arial"/>
          <w:bCs/>
          <w:sz w:val="28"/>
          <w:szCs w:val="28"/>
        </w:rPr>
        <w:t>also</w:t>
      </w:r>
      <w:r>
        <w:rPr>
          <w:rFonts w:ascii="Arial" w:eastAsiaTheme="minorHAnsi" w:hAnsi="Arial" w:cs="Arial"/>
          <w:bCs/>
          <w:sz w:val="28"/>
          <w:szCs w:val="28"/>
        </w:rPr>
        <w:t xml:space="preserve"> tallies with the </w:t>
      </w:r>
      <w:r w:rsidR="00AB0C29">
        <w:rPr>
          <w:rFonts w:ascii="Arial" w:eastAsiaTheme="minorHAnsi" w:hAnsi="Arial" w:cs="Arial"/>
          <w:bCs/>
          <w:sz w:val="28"/>
          <w:szCs w:val="28"/>
        </w:rPr>
        <w:t xml:space="preserve">then </w:t>
      </w:r>
      <w:r>
        <w:rPr>
          <w:rFonts w:ascii="Arial" w:eastAsiaTheme="minorHAnsi" w:hAnsi="Arial" w:cs="Arial"/>
          <w:bCs/>
          <w:sz w:val="28"/>
          <w:szCs w:val="28"/>
        </w:rPr>
        <w:t xml:space="preserve">definition of “appointment” as </w:t>
      </w:r>
      <w:r w:rsidR="00ED6B92">
        <w:rPr>
          <w:rFonts w:ascii="Arial" w:eastAsiaTheme="minorHAnsi" w:hAnsi="Arial" w:cs="Arial"/>
          <w:bCs/>
          <w:sz w:val="28"/>
          <w:szCs w:val="28"/>
        </w:rPr>
        <w:t>per</w:t>
      </w:r>
      <w:r w:rsidR="00933B24">
        <w:rPr>
          <w:rFonts w:ascii="Arial" w:eastAsiaTheme="minorHAnsi" w:hAnsi="Arial" w:cs="Arial"/>
          <w:bCs/>
          <w:sz w:val="28"/>
          <w:szCs w:val="28"/>
        </w:rPr>
        <w:t xml:space="preserve"> </w:t>
      </w:r>
      <w:r w:rsidRPr="00946ECD">
        <w:rPr>
          <w:rFonts w:ascii="Arial" w:eastAsiaTheme="minorHAnsi" w:hAnsi="Arial" w:cs="Arial"/>
          <w:b/>
          <w:bCs/>
          <w:sz w:val="28"/>
          <w:szCs w:val="28"/>
        </w:rPr>
        <w:t>section 2</w:t>
      </w:r>
      <w:r>
        <w:rPr>
          <w:rFonts w:ascii="Arial" w:eastAsiaTheme="minorHAnsi" w:hAnsi="Arial" w:cs="Arial"/>
          <w:bCs/>
          <w:sz w:val="28"/>
          <w:szCs w:val="28"/>
        </w:rPr>
        <w:t xml:space="preserve"> of the </w:t>
      </w:r>
      <w:r w:rsidRPr="00946ECD">
        <w:rPr>
          <w:rFonts w:ascii="Arial" w:eastAsiaTheme="minorHAnsi" w:hAnsi="Arial" w:cs="Arial"/>
          <w:b/>
          <w:bCs/>
          <w:sz w:val="28"/>
          <w:szCs w:val="28"/>
        </w:rPr>
        <w:t>LGSCA</w:t>
      </w:r>
      <w:r w:rsidR="00933B24">
        <w:rPr>
          <w:rFonts w:ascii="Arial" w:eastAsiaTheme="minorHAnsi" w:hAnsi="Arial" w:cs="Arial"/>
          <w:b/>
          <w:bCs/>
          <w:sz w:val="28"/>
          <w:szCs w:val="28"/>
        </w:rPr>
        <w:t xml:space="preserve"> </w:t>
      </w:r>
      <w:r w:rsidR="00AB0C29">
        <w:rPr>
          <w:rFonts w:ascii="Arial" w:eastAsiaTheme="minorHAnsi" w:hAnsi="Arial" w:cs="Arial"/>
          <w:bCs/>
          <w:sz w:val="28"/>
          <w:szCs w:val="28"/>
        </w:rPr>
        <w:t xml:space="preserve">or even the current definition of “appointment” (under the same Act) which includes the </w:t>
      </w:r>
      <w:r w:rsidR="00AB0C29" w:rsidRPr="00AB0C29">
        <w:rPr>
          <w:rFonts w:ascii="Arial" w:eastAsiaTheme="minorHAnsi" w:hAnsi="Arial" w:cs="Arial"/>
          <w:color w:val="191919"/>
          <w:sz w:val="28"/>
          <w:szCs w:val="28"/>
        </w:rPr>
        <w:t>promotion of a local government officer from one office of emolument to another within the service of the same local authority or from one local authority to another</w:t>
      </w:r>
      <w:r w:rsidR="00AB0C29">
        <w:rPr>
          <w:rFonts w:ascii="Arial" w:eastAsiaTheme="minorHAnsi" w:hAnsi="Arial" w:cs="Arial"/>
          <w:color w:val="191919"/>
          <w:sz w:val="28"/>
          <w:szCs w:val="28"/>
        </w:rPr>
        <w:t xml:space="preserve">.  Indeed, the Tribunal </w:t>
      </w:r>
      <w:r w:rsidR="00457398">
        <w:rPr>
          <w:rFonts w:ascii="Arial" w:eastAsiaTheme="minorHAnsi" w:hAnsi="Arial" w:cs="Arial"/>
          <w:bCs/>
          <w:sz w:val="28"/>
          <w:szCs w:val="28"/>
        </w:rPr>
        <w:t>take</w:t>
      </w:r>
      <w:r w:rsidR="00AB0C29">
        <w:rPr>
          <w:rFonts w:ascii="Arial" w:eastAsiaTheme="minorHAnsi" w:hAnsi="Arial" w:cs="Arial"/>
          <w:bCs/>
          <w:sz w:val="28"/>
          <w:szCs w:val="28"/>
        </w:rPr>
        <w:t>s</w:t>
      </w:r>
      <w:r w:rsidR="00457398">
        <w:rPr>
          <w:rFonts w:ascii="Arial" w:eastAsiaTheme="minorHAnsi" w:hAnsi="Arial" w:cs="Arial"/>
          <w:bCs/>
          <w:sz w:val="28"/>
          <w:szCs w:val="28"/>
        </w:rPr>
        <w:t xml:space="preserve"> notice that as per the PRB Report 2008, the salary scale for </w:t>
      </w:r>
      <w:r w:rsidR="003D2991">
        <w:rPr>
          <w:rFonts w:ascii="Arial" w:eastAsiaTheme="minorHAnsi" w:hAnsi="Arial" w:cs="Arial"/>
          <w:bCs/>
          <w:sz w:val="28"/>
          <w:szCs w:val="28"/>
        </w:rPr>
        <w:t xml:space="preserve">Handy Worker (Special Class) (QBW 5) was </w:t>
      </w:r>
      <w:r w:rsidR="00C33767">
        <w:rPr>
          <w:rFonts w:ascii="Arial" w:eastAsiaTheme="minorHAnsi" w:hAnsi="Arial" w:cs="Arial"/>
          <w:bCs/>
          <w:sz w:val="28"/>
          <w:szCs w:val="28"/>
        </w:rPr>
        <w:t xml:space="preserve">slightly </w:t>
      </w:r>
      <w:r w:rsidR="003D2991">
        <w:rPr>
          <w:rFonts w:ascii="Arial" w:eastAsiaTheme="minorHAnsi" w:hAnsi="Arial" w:cs="Arial"/>
          <w:bCs/>
          <w:sz w:val="28"/>
          <w:szCs w:val="28"/>
        </w:rPr>
        <w:t>higher than that for Attendant (Vocational Training Centre) (QBWEL 4)</w:t>
      </w:r>
      <w:r w:rsidR="00ED6B92">
        <w:rPr>
          <w:rFonts w:ascii="Arial" w:eastAsiaTheme="minorHAnsi" w:hAnsi="Arial" w:cs="Arial"/>
          <w:bCs/>
          <w:sz w:val="28"/>
          <w:szCs w:val="28"/>
        </w:rPr>
        <w:t xml:space="preserve"> (both under the heading Municipal Council of Quatre</w:t>
      </w:r>
      <w:r w:rsidR="00933B24">
        <w:rPr>
          <w:rFonts w:ascii="Arial" w:eastAsiaTheme="minorHAnsi" w:hAnsi="Arial" w:cs="Arial"/>
          <w:bCs/>
          <w:sz w:val="28"/>
          <w:szCs w:val="28"/>
        </w:rPr>
        <w:t xml:space="preserve"> </w:t>
      </w:r>
      <w:r w:rsidR="00ED6B92">
        <w:rPr>
          <w:rFonts w:ascii="Arial" w:eastAsiaTheme="minorHAnsi" w:hAnsi="Arial" w:cs="Arial"/>
          <w:bCs/>
          <w:sz w:val="28"/>
          <w:szCs w:val="28"/>
        </w:rPr>
        <w:t>Bornes)</w:t>
      </w:r>
      <w:r w:rsidR="003D2991">
        <w:rPr>
          <w:rFonts w:ascii="Arial" w:eastAsiaTheme="minorHAnsi" w:hAnsi="Arial" w:cs="Arial"/>
          <w:bCs/>
          <w:sz w:val="28"/>
          <w:szCs w:val="28"/>
        </w:rPr>
        <w:t>.</w:t>
      </w:r>
    </w:p>
    <w:p w:rsidR="009763D5" w:rsidRPr="008D3C85" w:rsidRDefault="009763D5" w:rsidP="009763D5">
      <w:pPr>
        <w:jc w:val="both"/>
        <w:rPr>
          <w:rFonts w:ascii="Arial" w:hAnsi="Arial" w:cs="Arial"/>
          <w:sz w:val="28"/>
          <w:szCs w:val="28"/>
        </w:rPr>
      </w:pPr>
    </w:p>
    <w:p w:rsidR="00CB0437" w:rsidRDefault="003D2991" w:rsidP="00F119AD">
      <w:pPr>
        <w:jc w:val="both"/>
        <w:rPr>
          <w:rFonts w:ascii="Arial" w:hAnsi="Arial" w:cs="Arial"/>
          <w:sz w:val="28"/>
          <w:szCs w:val="28"/>
        </w:rPr>
      </w:pPr>
      <w:r>
        <w:rPr>
          <w:rFonts w:ascii="Arial" w:hAnsi="Arial" w:cs="Arial"/>
          <w:sz w:val="28"/>
          <w:szCs w:val="28"/>
        </w:rPr>
        <w:t xml:space="preserve">The </w:t>
      </w:r>
      <w:r w:rsidR="00F90A46">
        <w:rPr>
          <w:rFonts w:ascii="Arial" w:hAnsi="Arial" w:cs="Arial"/>
          <w:sz w:val="28"/>
          <w:szCs w:val="28"/>
        </w:rPr>
        <w:t>main</w:t>
      </w:r>
      <w:r>
        <w:rPr>
          <w:rFonts w:ascii="Arial" w:hAnsi="Arial" w:cs="Arial"/>
          <w:sz w:val="28"/>
          <w:szCs w:val="28"/>
        </w:rPr>
        <w:t xml:space="preserve"> argument put forward by Counsel for Disputant to aver that the Tribunal has jurisdiction is that the dispute relates to the terms and conditions of employment of Disputant</w:t>
      </w:r>
      <w:r w:rsidR="00F90A46">
        <w:rPr>
          <w:rFonts w:ascii="Arial" w:hAnsi="Arial" w:cs="Arial"/>
          <w:sz w:val="28"/>
          <w:szCs w:val="28"/>
        </w:rPr>
        <w:t xml:space="preserve"> which have changed following the appointment</w:t>
      </w:r>
      <w:r>
        <w:rPr>
          <w:rFonts w:ascii="Arial" w:hAnsi="Arial" w:cs="Arial"/>
          <w:sz w:val="28"/>
          <w:szCs w:val="28"/>
        </w:rPr>
        <w:t>.</w:t>
      </w:r>
      <w:r w:rsidR="00933B24">
        <w:rPr>
          <w:rFonts w:ascii="Arial" w:hAnsi="Arial" w:cs="Arial"/>
          <w:sz w:val="28"/>
          <w:szCs w:val="28"/>
        </w:rPr>
        <w:t xml:space="preserve">  </w:t>
      </w:r>
      <w:r w:rsidR="00F90A46">
        <w:rPr>
          <w:rFonts w:ascii="Arial" w:hAnsi="Arial" w:cs="Arial"/>
          <w:sz w:val="28"/>
          <w:szCs w:val="28"/>
        </w:rPr>
        <w:t xml:space="preserve">He </w:t>
      </w:r>
      <w:r w:rsidR="001B5FCF">
        <w:rPr>
          <w:rFonts w:ascii="Arial" w:hAnsi="Arial" w:cs="Arial"/>
          <w:sz w:val="28"/>
          <w:szCs w:val="28"/>
        </w:rPr>
        <w:t xml:space="preserve">however </w:t>
      </w:r>
      <w:r w:rsidR="00D257D6">
        <w:rPr>
          <w:rFonts w:ascii="Arial" w:hAnsi="Arial" w:cs="Arial"/>
          <w:sz w:val="28"/>
          <w:szCs w:val="28"/>
        </w:rPr>
        <w:t>at the same time</w:t>
      </w:r>
      <w:r w:rsidR="00F90A46">
        <w:rPr>
          <w:rFonts w:ascii="Arial" w:hAnsi="Arial" w:cs="Arial"/>
          <w:sz w:val="28"/>
          <w:szCs w:val="28"/>
        </w:rPr>
        <w:t xml:space="preserve"> concede</w:t>
      </w:r>
      <w:r w:rsidR="00ED6B92">
        <w:rPr>
          <w:rFonts w:ascii="Arial" w:hAnsi="Arial" w:cs="Arial"/>
          <w:sz w:val="28"/>
          <w:szCs w:val="28"/>
        </w:rPr>
        <w:t>d</w:t>
      </w:r>
      <w:r w:rsidR="00F90A46">
        <w:rPr>
          <w:rFonts w:ascii="Arial" w:hAnsi="Arial" w:cs="Arial"/>
          <w:sz w:val="28"/>
          <w:szCs w:val="28"/>
        </w:rPr>
        <w:t xml:space="preserve"> that the appointment itself is being challenged.  </w:t>
      </w:r>
      <w:r w:rsidR="00516110">
        <w:rPr>
          <w:rFonts w:ascii="Arial" w:hAnsi="Arial" w:cs="Arial"/>
          <w:sz w:val="28"/>
          <w:szCs w:val="28"/>
        </w:rPr>
        <w:t xml:space="preserve">The Tribunal does not agree with his arguments </w:t>
      </w:r>
      <w:r w:rsidR="005C681F">
        <w:rPr>
          <w:rFonts w:ascii="Arial" w:hAnsi="Arial" w:cs="Arial"/>
          <w:sz w:val="28"/>
          <w:szCs w:val="28"/>
        </w:rPr>
        <w:t>since then</w:t>
      </w:r>
      <w:r w:rsidR="00516110">
        <w:rPr>
          <w:rFonts w:ascii="Arial" w:hAnsi="Arial" w:cs="Arial"/>
          <w:sz w:val="28"/>
          <w:szCs w:val="28"/>
        </w:rPr>
        <w:t xml:space="preserve"> almost every</w:t>
      </w:r>
      <w:r w:rsidR="00ED6B92">
        <w:rPr>
          <w:rFonts w:ascii="Arial" w:hAnsi="Arial" w:cs="Arial"/>
          <w:sz w:val="28"/>
          <w:szCs w:val="28"/>
        </w:rPr>
        <w:t xml:space="preserve"> item</w:t>
      </w:r>
      <w:r w:rsidR="00516110">
        <w:rPr>
          <w:rFonts w:ascii="Arial" w:hAnsi="Arial" w:cs="Arial"/>
          <w:sz w:val="28"/>
          <w:szCs w:val="28"/>
        </w:rPr>
        <w:t xml:space="preserve"> including </w:t>
      </w:r>
      <w:r w:rsidR="001B5FCF">
        <w:rPr>
          <w:rFonts w:ascii="Arial" w:hAnsi="Arial" w:cs="Arial"/>
          <w:sz w:val="28"/>
          <w:szCs w:val="28"/>
        </w:rPr>
        <w:t xml:space="preserve">wages </w:t>
      </w:r>
      <w:r w:rsidR="005C681F">
        <w:rPr>
          <w:rFonts w:ascii="Arial" w:hAnsi="Arial" w:cs="Arial"/>
          <w:sz w:val="28"/>
          <w:szCs w:val="28"/>
        </w:rPr>
        <w:t>could be extended to form part of terms and conditions of employment.  The law</w:t>
      </w:r>
      <w:r w:rsidR="00803D94">
        <w:rPr>
          <w:rFonts w:ascii="Arial" w:hAnsi="Arial" w:cs="Arial"/>
          <w:sz w:val="28"/>
          <w:szCs w:val="28"/>
        </w:rPr>
        <w:t>,</w:t>
      </w:r>
      <w:r w:rsidR="005C681F">
        <w:rPr>
          <w:rFonts w:ascii="Arial" w:hAnsi="Arial" w:cs="Arial"/>
          <w:sz w:val="28"/>
          <w:szCs w:val="28"/>
        </w:rPr>
        <w:t xml:space="preserve"> and more particularly the </w:t>
      </w:r>
      <w:r w:rsidR="005C681F" w:rsidRPr="00946ECD">
        <w:rPr>
          <w:rFonts w:ascii="Arial" w:hAnsi="Arial" w:cs="Arial"/>
          <w:b/>
          <w:sz w:val="28"/>
          <w:szCs w:val="28"/>
        </w:rPr>
        <w:t>Employment Relations Act</w:t>
      </w:r>
      <w:r w:rsidR="00803D94">
        <w:rPr>
          <w:rFonts w:ascii="Arial" w:hAnsi="Arial" w:cs="Arial"/>
          <w:sz w:val="28"/>
          <w:szCs w:val="28"/>
        </w:rPr>
        <w:t>,</w:t>
      </w:r>
      <w:r w:rsidR="005C681F">
        <w:rPr>
          <w:rFonts w:ascii="Arial" w:hAnsi="Arial" w:cs="Arial"/>
          <w:sz w:val="28"/>
          <w:szCs w:val="28"/>
        </w:rPr>
        <w:t xml:space="preserve"> makes a difference between wages, terms and conditions of employment or even promotion.  The present dispute concerns wholly or mainly the appointment</w:t>
      </w:r>
      <w:r w:rsidR="00933B24">
        <w:rPr>
          <w:rFonts w:ascii="Arial" w:hAnsi="Arial" w:cs="Arial"/>
          <w:sz w:val="28"/>
          <w:szCs w:val="28"/>
        </w:rPr>
        <w:t xml:space="preserve"> </w:t>
      </w:r>
      <w:r w:rsidR="005C681F">
        <w:rPr>
          <w:rFonts w:ascii="Arial" w:hAnsi="Arial" w:cs="Arial"/>
          <w:sz w:val="28"/>
          <w:szCs w:val="28"/>
        </w:rPr>
        <w:t xml:space="preserve">made.  The </w:t>
      </w:r>
      <w:r w:rsidR="005C681F" w:rsidRPr="00946ECD">
        <w:rPr>
          <w:rFonts w:ascii="Arial" w:hAnsi="Arial" w:cs="Arial"/>
          <w:b/>
          <w:sz w:val="28"/>
          <w:szCs w:val="28"/>
        </w:rPr>
        <w:t>Employment Relations Act</w:t>
      </w:r>
      <w:r w:rsidR="005C681F">
        <w:rPr>
          <w:rFonts w:ascii="Arial" w:hAnsi="Arial" w:cs="Arial"/>
          <w:sz w:val="28"/>
          <w:szCs w:val="28"/>
        </w:rPr>
        <w:t xml:space="preserve"> does not </w:t>
      </w:r>
      <w:r w:rsidR="00946ECD">
        <w:rPr>
          <w:rFonts w:ascii="Arial" w:hAnsi="Arial" w:cs="Arial"/>
          <w:sz w:val="28"/>
          <w:szCs w:val="28"/>
        </w:rPr>
        <w:t xml:space="preserve">contain any clause which provide </w:t>
      </w:r>
      <w:r w:rsidR="005C681F">
        <w:rPr>
          <w:rFonts w:ascii="Arial" w:hAnsi="Arial" w:cs="Arial"/>
          <w:sz w:val="28"/>
          <w:szCs w:val="28"/>
        </w:rPr>
        <w:t xml:space="preserve">specifically </w:t>
      </w:r>
      <w:r w:rsidR="00946ECD">
        <w:rPr>
          <w:rFonts w:ascii="Arial" w:hAnsi="Arial" w:cs="Arial"/>
          <w:sz w:val="28"/>
          <w:szCs w:val="28"/>
        </w:rPr>
        <w:t xml:space="preserve">for any </w:t>
      </w:r>
      <w:r w:rsidR="005C681F">
        <w:rPr>
          <w:rFonts w:ascii="Arial" w:hAnsi="Arial" w:cs="Arial"/>
          <w:sz w:val="28"/>
          <w:szCs w:val="28"/>
        </w:rPr>
        <w:t>derogation fr</w:t>
      </w:r>
      <w:r w:rsidR="00946ECD">
        <w:rPr>
          <w:rFonts w:ascii="Arial" w:hAnsi="Arial" w:cs="Arial"/>
          <w:sz w:val="28"/>
          <w:szCs w:val="28"/>
        </w:rPr>
        <w:t>om</w:t>
      </w:r>
      <w:r w:rsidR="00933B24">
        <w:rPr>
          <w:rFonts w:ascii="Arial" w:hAnsi="Arial" w:cs="Arial"/>
          <w:sz w:val="28"/>
          <w:szCs w:val="28"/>
        </w:rPr>
        <w:t xml:space="preserve"> </w:t>
      </w:r>
      <w:r w:rsidR="005C681F" w:rsidRPr="00946ECD">
        <w:rPr>
          <w:rFonts w:ascii="Arial" w:hAnsi="Arial" w:cs="Arial"/>
          <w:b/>
          <w:sz w:val="28"/>
          <w:szCs w:val="28"/>
        </w:rPr>
        <w:t xml:space="preserve">section 4(2) </w:t>
      </w:r>
      <w:r w:rsidR="005C681F" w:rsidRPr="00946ECD">
        <w:rPr>
          <w:rFonts w:ascii="Arial" w:hAnsi="Arial" w:cs="Arial"/>
          <w:sz w:val="28"/>
          <w:szCs w:val="28"/>
        </w:rPr>
        <w:t>of the</w:t>
      </w:r>
      <w:r w:rsidR="005C681F" w:rsidRPr="00946ECD">
        <w:rPr>
          <w:rFonts w:ascii="Arial" w:hAnsi="Arial" w:cs="Arial"/>
          <w:b/>
          <w:sz w:val="28"/>
          <w:szCs w:val="28"/>
        </w:rPr>
        <w:t xml:space="preserve"> LGSCA</w:t>
      </w:r>
      <w:r w:rsidR="005C681F">
        <w:rPr>
          <w:rFonts w:ascii="Arial" w:hAnsi="Arial" w:cs="Arial"/>
          <w:sz w:val="28"/>
          <w:szCs w:val="28"/>
        </w:rPr>
        <w:t xml:space="preserve"> as opposed to </w:t>
      </w:r>
      <w:r w:rsidR="005C681F" w:rsidRPr="00946ECD">
        <w:rPr>
          <w:rFonts w:ascii="Arial" w:hAnsi="Arial" w:cs="Arial"/>
          <w:b/>
          <w:sz w:val="28"/>
          <w:szCs w:val="28"/>
        </w:rPr>
        <w:t>section 3(4)</w:t>
      </w:r>
      <w:r w:rsidR="005C681F">
        <w:rPr>
          <w:rFonts w:ascii="Arial" w:hAnsi="Arial" w:cs="Arial"/>
          <w:sz w:val="28"/>
          <w:szCs w:val="28"/>
        </w:rPr>
        <w:t xml:space="preserve"> of the </w:t>
      </w:r>
      <w:r w:rsidR="005C681F" w:rsidRPr="00946ECD">
        <w:rPr>
          <w:rFonts w:ascii="Arial" w:hAnsi="Arial" w:cs="Arial"/>
          <w:b/>
          <w:sz w:val="28"/>
          <w:szCs w:val="28"/>
        </w:rPr>
        <w:t>Public Bodies Appeal Tribunal Act</w:t>
      </w:r>
      <w:r w:rsidR="005C681F" w:rsidRPr="005C681F">
        <w:rPr>
          <w:rFonts w:ascii="Arial" w:hAnsi="Arial" w:cs="Arial"/>
          <w:sz w:val="28"/>
          <w:szCs w:val="28"/>
        </w:rPr>
        <w:t xml:space="preserve">.  </w:t>
      </w:r>
      <w:r w:rsidR="00C33767">
        <w:rPr>
          <w:rFonts w:ascii="Arial" w:hAnsi="Arial" w:cs="Arial"/>
          <w:sz w:val="28"/>
          <w:szCs w:val="28"/>
        </w:rPr>
        <w:t xml:space="preserve">Thus, even though the Tribunal generally has jurisdiction in a dispute relating, for example, to promotion, a specific piece of legislation such as </w:t>
      </w:r>
      <w:r w:rsidR="00C33767" w:rsidRPr="00C33767">
        <w:rPr>
          <w:rFonts w:ascii="Arial" w:hAnsi="Arial" w:cs="Arial"/>
          <w:b/>
          <w:sz w:val="28"/>
          <w:szCs w:val="28"/>
        </w:rPr>
        <w:t>sections 4(1)</w:t>
      </w:r>
      <w:r w:rsidR="00C33767">
        <w:rPr>
          <w:rFonts w:ascii="Arial" w:hAnsi="Arial" w:cs="Arial"/>
          <w:sz w:val="28"/>
          <w:szCs w:val="28"/>
        </w:rPr>
        <w:t xml:space="preserve"> and </w:t>
      </w:r>
      <w:r w:rsidR="00C33767" w:rsidRPr="00C33767">
        <w:rPr>
          <w:rFonts w:ascii="Arial" w:hAnsi="Arial" w:cs="Arial"/>
          <w:b/>
          <w:sz w:val="28"/>
          <w:szCs w:val="28"/>
        </w:rPr>
        <w:t>4(2)</w:t>
      </w:r>
      <w:r w:rsidR="00C33767">
        <w:rPr>
          <w:rFonts w:ascii="Arial" w:hAnsi="Arial" w:cs="Arial"/>
          <w:sz w:val="28"/>
          <w:szCs w:val="28"/>
        </w:rPr>
        <w:t xml:space="preserve"> of the </w:t>
      </w:r>
      <w:r w:rsidR="00C33767" w:rsidRPr="00C33767">
        <w:rPr>
          <w:rFonts w:ascii="Arial" w:hAnsi="Arial" w:cs="Arial"/>
          <w:b/>
          <w:sz w:val="28"/>
          <w:szCs w:val="28"/>
        </w:rPr>
        <w:t>LGSCA</w:t>
      </w:r>
      <w:r w:rsidR="00C33767">
        <w:rPr>
          <w:rFonts w:ascii="Arial" w:hAnsi="Arial" w:cs="Arial"/>
          <w:sz w:val="28"/>
          <w:szCs w:val="28"/>
        </w:rPr>
        <w:t xml:space="preserve"> shall prevail over the general definition of “labour dispute” in the Act</w:t>
      </w:r>
      <w:r w:rsidR="00D84FC9">
        <w:rPr>
          <w:rFonts w:ascii="Arial" w:hAnsi="Arial" w:cs="Arial"/>
          <w:sz w:val="28"/>
          <w:szCs w:val="28"/>
        </w:rPr>
        <w:t xml:space="preserve"> (</w:t>
      </w:r>
      <w:r w:rsidR="00D2508B">
        <w:rPr>
          <w:rFonts w:ascii="Arial" w:hAnsi="Arial" w:cs="Arial"/>
          <w:sz w:val="28"/>
          <w:szCs w:val="28"/>
        </w:rPr>
        <w:t>applying the maxim “</w:t>
      </w:r>
      <w:proofErr w:type="spellStart"/>
      <w:r w:rsidR="00D84FC9" w:rsidRPr="00D84FC9">
        <w:rPr>
          <w:rFonts w:ascii="Arial" w:hAnsi="Arial" w:cs="Arial"/>
          <w:bCs/>
          <w:iCs/>
          <w:sz w:val="28"/>
          <w:szCs w:val="28"/>
        </w:rPr>
        <w:t>Generalia</w:t>
      </w:r>
      <w:proofErr w:type="spellEnd"/>
      <w:r w:rsidR="00D84FC9" w:rsidRPr="00D84FC9">
        <w:rPr>
          <w:rFonts w:ascii="Arial" w:hAnsi="Arial" w:cs="Arial"/>
          <w:bCs/>
          <w:iCs/>
          <w:sz w:val="28"/>
          <w:szCs w:val="28"/>
        </w:rPr>
        <w:t xml:space="preserve"> </w:t>
      </w:r>
      <w:proofErr w:type="spellStart"/>
      <w:r w:rsidR="00D84FC9" w:rsidRPr="00D84FC9">
        <w:rPr>
          <w:rFonts w:ascii="Arial" w:hAnsi="Arial" w:cs="Arial"/>
          <w:bCs/>
          <w:iCs/>
          <w:sz w:val="28"/>
          <w:szCs w:val="28"/>
        </w:rPr>
        <w:t>Specialibus</w:t>
      </w:r>
      <w:proofErr w:type="spellEnd"/>
      <w:r w:rsidR="00D84FC9" w:rsidRPr="00D84FC9">
        <w:rPr>
          <w:rFonts w:ascii="Arial" w:hAnsi="Arial" w:cs="Arial"/>
          <w:bCs/>
          <w:iCs/>
          <w:sz w:val="28"/>
          <w:szCs w:val="28"/>
        </w:rPr>
        <w:t xml:space="preserve"> Non </w:t>
      </w:r>
      <w:proofErr w:type="spellStart"/>
      <w:r w:rsidR="00D84FC9" w:rsidRPr="00D84FC9">
        <w:rPr>
          <w:rFonts w:ascii="Arial" w:hAnsi="Arial" w:cs="Arial"/>
          <w:bCs/>
          <w:iCs/>
          <w:sz w:val="28"/>
          <w:szCs w:val="28"/>
        </w:rPr>
        <w:t>Derogant</w:t>
      </w:r>
      <w:proofErr w:type="spellEnd"/>
      <w:r w:rsidR="00D2508B">
        <w:rPr>
          <w:rFonts w:ascii="Arial" w:hAnsi="Arial" w:cs="Arial"/>
          <w:bCs/>
          <w:iCs/>
          <w:sz w:val="28"/>
          <w:szCs w:val="28"/>
        </w:rPr>
        <w:t>”</w:t>
      </w:r>
      <w:r w:rsidR="00D84FC9">
        <w:rPr>
          <w:rFonts w:ascii="Arial" w:hAnsi="Arial" w:cs="Arial"/>
          <w:b/>
          <w:bCs/>
          <w:i/>
          <w:iCs/>
          <w:sz w:val="28"/>
          <w:szCs w:val="28"/>
        </w:rPr>
        <w:t>)</w:t>
      </w:r>
      <w:r w:rsidR="00C33767">
        <w:rPr>
          <w:rFonts w:ascii="Arial" w:hAnsi="Arial" w:cs="Arial"/>
          <w:sz w:val="28"/>
          <w:szCs w:val="28"/>
        </w:rPr>
        <w:t xml:space="preserve">.  </w:t>
      </w:r>
      <w:r w:rsidR="00ED6B92">
        <w:rPr>
          <w:rFonts w:ascii="Arial" w:hAnsi="Arial" w:cs="Arial"/>
          <w:sz w:val="28"/>
          <w:szCs w:val="28"/>
        </w:rPr>
        <w:t xml:space="preserve">The Tribunal cannot be required to sit on appeal against </w:t>
      </w:r>
      <w:r w:rsidR="00FF1782">
        <w:rPr>
          <w:rFonts w:ascii="Arial" w:hAnsi="Arial" w:cs="Arial"/>
          <w:sz w:val="28"/>
          <w:szCs w:val="28"/>
        </w:rPr>
        <w:t>a</w:t>
      </w:r>
      <w:r w:rsidR="00ED6B92">
        <w:rPr>
          <w:rFonts w:ascii="Arial" w:hAnsi="Arial" w:cs="Arial"/>
          <w:sz w:val="28"/>
          <w:szCs w:val="28"/>
        </w:rPr>
        <w:t xml:space="preserve"> decision of Co-Respondent No. 1</w:t>
      </w:r>
      <w:r w:rsidR="00FF1782">
        <w:rPr>
          <w:rFonts w:ascii="Arial" w:hAnsi="Arial" w:cs="Arial"/>
          <w:sz w:val="28"/>
          <w:szCs w:val="28"/>
        </w:rPr>
        <w:t xml:space="preserve"> pertaining to an appointment</w:t>
      </w:r>
      <w:r w:rsidR="00ED6B92">
        <w:rPr>
          <w:rFonts w:ascii="Arial" w:hAnsi="Arial" w:cs="Arial"/>
          <w:sz w:val="28"/>
          <w:szCs w:val="28"/>
        </w:rPr>
        <w:t xml:space="preserve">.  </w:t>
      </w:r>
      <w:r w:rsidR="005C681F" w:rsidRPr="005C681F">
        <w:rPr>
          <w:rFonts w:ascii="Arial" w:hAnsi="Arial" w:cs="Arial"/>
          <w:sz w:val="28"/>
          <w:szCs w:val="28"/>
        </w:rPr>
        <w:t xml:space="preserve">An award in relation to the appointment exercise </w:t>
      </w:r>
      <w:r w:rsidR="00ED6B92">
        <w:rPr>
          <w:rFonts w:ascii="Arial" w:hAnsi="Arial" w:cs="Arial"/>
          <w:sz w:val="28"/>
          <w:szCs w:val="28"/>
        </w:rPr>
        <w:t>may</w:t>
      </w:r>
      <w:r w:rsidR="005C681F" w:rsidRPr="005C681F">
        <w:rPr>
          <w:rFonts w:ascii="Arial" w:hAnsi="Arial" w:cs="Arial"/>
          <w:sz w:val="28"/>
          <w:szCs w:val="28"/>
        </w:rPr>
        <w:t xml:space="preserve"> go against </w:t>
      </w:r>
      <w:r w:rsidR="005C681F" w:rsidRPr="009D3F5C">
        <w:rPr>
          <w:rFonts w:ascii="Arial" w:hAnsi="Arial" w:cs="Arial"/>
          <w:b/>
          <w:sz w:val="28"/>
          <w:szCs w:val="28"/>
        </w:rPr>
        <w:t xml:space="preserve">section </w:t>
      </w:r>
      <w:r w:rsidR="00D257D6" w:rsidRPr="009D3F5C">
        <w:rPr>
          <w:rFonts w:ascii="Arial" w:hAnsi="Arial" w:cs="Arial"/>
          <w:b/>
          <w:sz w:val="28"/>
          <w:szCs w:val="28"/>
        </w:rPr>
        <w:t>4</w:t>
      </w:r>
      <w:r w:rsidR="005C681F" w:rsidRPr="009D3F5C">
        <w:rPr>
          <w:rFonts w:ascii="Arial" w:hAnsi="Arial" w:cs="Arial"/>
          <w:b/>
          <w:sz w:val="28"/>
          <w:szCs w:val="28"/>
        </w:rPr>
        <w:t>(</w:t>
      </w:r>
      <w:r w:rsidR="00D257D6" w:rsidRPr="009D3F5C">
        <w:rPr>
          <w:rFonts w:ascii="Arial" w:hAnsi="Arial" w:cs="Arial"/>
          <w:b/>
          <w:sz w:val="28"/>
          <w:szCs w:val="28"/>
        </w:rPr>
        <w:t>2</w:t>
      </w:r>
      <w:r w:rsidR="005C681F" w:rsidRPr="009D3F5C">
        <w:rPr>
          <w:rFonts w:ascii="Arial" w:hAnsi="Arial" w:cs="Arial"/>
          <w:b/>
          <w:sz w:val="28"/>
          <w:szCs w:val="28"/>
        </w:rPr>
        <w:t xml:space="preserve">) </w:t>
      </w:r>
      <w:r w:rsidR="005C681F" w:rsidRPr="009D3F5C">
        <w:rPr>
          <w:rFonts w:ascii="Arial" w:hAnsi="Arial" w:cs="Arial"/>
          <w:sz w:val="28"/>
          <w:szCs w:val="28"/>
        </w:rPr>
        <w:t>of the</w:t>
      </w:r>
      <w:r w:rsidR="00933B24">
        <w:rPr>
          <w:rFonts w:ascii="Arial" w:hAnsi="Arial" w:cs="Arial"/>
          <w:sz w:val="28"/>
          <w:szCs w:val="28"/>
        </w:rPr>
        <w:t xml:space="preserve"> </w:t>
      </w:r>
      <w:r w:rsidR="00D257D6" w:rsidRPr="009D3F5C">
        <w:rPr>
          <w:rFonts w:ascii="Arial" w:hAnsi="Arial" w:cs="Arial"/>
          <w:b/>
          <w:sz w:val="28"/>
          <w:szCs w:val="28"/>
        </w:rPr>
        <w:t>LGSCA</w:t>
      </w:r>
      <w:r w:rsidR="00933B24">
        <w:rPr>
          <w:rFonts w:ascii="Arial" w:hAnsi="Arial" w:cs="Arial"/>
          <w:b/>
          <w:sz w:val="28"/>
          <w:szCs w:val="28"/>
        </w:rPr>
        <w:t xml:space="preserve"> </w:t>
      </w:r>
      <w:r w:rsidR="005C681F" w:rsidRPr="005C681F">
        <w:rPr>
          <w:rFonts w:ascii="Arial" w:hAnsi="Arial" w:cs="Arial"/>
          <w:sz w:val="28"/>
          <w:szCs w:val="28"/>
        </w:rPr>
        <w:t xml:space="preserve">and </w:t>
      </w:r>
      <w:r w:rsidR="00ED6B92">
        <w:rPr>
          <w:rFonts w:ascii="Arial" w:hAnsi="Arial" w:cs="Arial"/>
          <w:sz w:val="28"/>
          <w:szCs w:val="28"/>
        </w:rPr>
        <w:t>thus</w:t>
      </w:r>
      <w:r w:rsidR="005C681F" w:rsidRPr="005C681F">
        <w:rPr>
          <w:rFonts w:ascii="Arial" w:hAnsi="Arial" w:cs="Arial"/>
          <w:sz w:val="28"/>
          <w:szCs w:val="28"/>
        </w:rPr>
        <w:t xml:space="preserve"> be void under </w:t>
      </w:r>
      <w:r w:rsidR="005C681F" w:rsidRPr="009D3F5C">
        <w:rPr>
          <w:rFonts w:ascii="Arial" w:hAnsi="Arial" w:cs="Arial"/>
          <w:b/>
          <w:sz w:val="28"/>
          <w:szCs w:val="28"/>
        </w:rPr>
        <w:t xml:space="preserve">section </w:t>
      </w:r>
      <w:r w:rsidR="00D07F12" w:rsidRPr="009D3F5C">
        <w:rPr>
          <w:rFonts w:ascii="Arial" w:hAnsi="Arial" w:cs="Arial"/>
          <w:b/>
          <w:sz w:val="28"/>
          <w:szCs w:val="28"/>
        </w:rPr>
        <w:t xml:space="preserve">72(5) </w:t>
      </w:r>
      <w:r w:rsidR="005C681F" w:rsidRPr="009D3F5C">
        <w:rPr>
          <w:rFonts w:ascii="Arial" w:hAnsi="Arial" w:cs="Arial"/>
          <w:sz w:val="28"/>
          <w:szCs w:val="28"/>
        </w:rPr>
        <w:t>of the</w:t>
      </w:r>
      <w:r w:rsidR="005C681F" w:rsidRPr="009D3F5C">
        <w:rPr>
          <w:rFonts w:ascii="Arial" w:hAnsi="Arial" w:cs="Arial"/>
          <w:b/>
          <w:sz w:val="28"/>
          <w:szCs w:val="28"/>
        </w:rPr>
        <w:t xml:space="preserve"> Employment Relations Act</w:t>
      </w:r>
      <w:r w:rsidR="00623C37">
        <w:rPr>
          <w:rFonts w:ascii="Arial" w:hAnsi="Arial" w:cs="Arial"/>
          <w:sz w:val="28"/>
          <w:szCs w:val="28"/>
        </w:rPr>
        <w:t xml:space="preserve"> which reads as follows:</w:t>
      </w:r>
    </w:p>
    <w:p w:rsidR="002C1DCF" w:rsidRDefault="002C1DCF" w:rsidP="002C1DCF">
      <w:pPr>
        <w:jc w:val="both"/>
        <w:rPr>
          <w:rFonts w:ascii="Arial" w:hAnsi="Arial" w:cs="Arial"/>
          <w:sz w:val="24"/>
          <w:szCs w:val="24"/>
        </w:rPr>
      </w:pPr>
    </w:p>
    <w:p w:rsidR="002C1DCF" w:rsidRPr="002C1DCF" w:rsidRDefault="002C1DCF" w:rsidP="002C1DCF">
      <w:pPr>
        <w:autoSpaceDE w:val="0"/>
        <w:autoSpaceDN w:val="0"/>
        <w:adjustRightInd w:val="0"/>
        <w:jc w:val="both"/>
        <w:rPr>
          <w:rFonts w:ascii="Arial" w:hAnsi="Arial" w:cs="Arial"/>
          <w:i/>
          <w:sz w:val="28"/>
          <w:szCs w:val="28"/>
        </w:rPr>
      </w:pPr>
      <w:r w:rsidRPr="002C1DCF">
        <w:rPr>
          <w:rFonts w:ascii="Arial" w:eastAsiaTheme="minorHAnsi" w:hAnsi="Arial" w:cs="Arial"/>
          <w:i/>
          <w:sz w:val="28"/>
          <w:szCs w:val="28"/>
        </w:rPr>
        <w:t>(5) An award under sections 56(5) and 70(1) shall not contain any provision inconsistent with any enactment, other than a Remuneration Regulations, relating to the terms or conditions of, or affecting, employment, and any such provision shall, to the extent of the inconsistency, be void.</w:t>
      </w:r>
    </w:p>
    <w:p w:rsidR="00F65939" w:rsidRDefault="00F65939" w:rsidP="00F119AD">
      <w:pPr>
        <w:jc w:val="both"/>
        <w:rPr>
          <w:rFonts w:ascii="Arial" w:hAnsi="Arial" w:cs="Arial"/>
          <w:sz w:val="24"/>
          <w:szCs w:val="24"/>
        </w:rPr>
      </w:pPr>
    </w:p>
    <w:p w:rsidR="002C1DCF" w:rsidRDefault="002C1DCF" w:rsidP="00F119AD">
      <w:pPr>
        <w:jc w:val="both"/>
        <w:rPr>
          <w:rFonts w:ascii="Arial" w:hAnsi="Arial" w:cs="Arial"/>
          <w:sz w:val="24"/>
          <w:szCs w:val="24"/>
        </w:rPr>
      </w:pPr>
    </w:p>
    <w:p w:rsidR="00395F9D" w:rsidRDefault="00395F9D" w:rsidP="00F119AD">
      <w:pPr>
        <w:jc w:val="both"/>
        <w:rPr>
          <w:rFonts w:ascii="Arial" w:hAnsi="Arial" w:cs="Arial"/>
          <w:sz w:val="28"/>
          <w:szCs w:val="28"/>
        </w:rPr>
      </w:pPr>
      <w:r>
        <w:rPr>
          <w:rFonts w:ascii="Arial" w:hAnsi="Arial" w:cs="Arial"/>
          <w:sz w:val="28"/>
          <w:szCs w:val="28"/>
        </w:rPr>
        <w:t xml:space="preserve">In the case of </w:t>
      </w:r>
      <w:r w:rsidRPr="00395F9D">
        <w:rPr>
          <w:rFonts w:ascii="Arial" w:hAnsi="Arial" w:cs="Arial"/>
          <w:b/>
          <w:sz w:val="28"/>
          <w:szCs w:val="28"/>
        </w:rPr>
        <w:t xml:space="preserve">N. </w:t>
      </w:r>
      <w:proofErr w:type="spellStart"/>
      <w:r w:rsidRPr="00395F9D">
        <w:rPr>
          <w:rFonts w:ascii="Arial" w:hAnsi="Arial" w:cs="Arial"/>
          <w:b/>
          <w:sz w:val="28"/>
          <w:szCs w:val="28"/>
        </w:rPr>
        <w:t>Needhoo</w:t>
      </w:r>
      <w:proofErr w:type="spellEnd"/>
      <w:r w:rsidR="00933B24">
        <w:rPr>
          <w:rFonts w:ascii="Arial" w:hAnsi="Arial" w:cs="Arial"/>
          <w:b/>
          <w:sz w:val="28"/>
          <w:szCs w:val="28"/>
        </w:rPr>
        <w:t xml:space="preserve"> </w:t>
      </w:r>
      <w:r w:rsidRPr="00395F9D">
        <w:rPr>
          <w:rFonts w:ascii="Arial" w:hAnsi="Arial" w:cs="Arial"/>
          <w:b/>
          <w:sz w:val="28"/>
          <w:szCs w:val="28"/>
        </w:rPr>
        <w:t>&amp;</w:t>
      </w:r>
      <w:r w:rsidR="00933B24">
        <w:rPr>
          <w:rFonts w:ascii="Arial" w:hAnsi="Arial" w:cs="Arial"/>
          <w:b/>
          <w:sz w:val="28"/>
          <w:szCs w:val="28"/>
        </w:rPr>
        <w:t xml:space="preserve"> </w:t>
      </w:r>
      <w:proofErr w:type="spellStart"/>
      <w:r w:rsidRPr="00395F9D">
        <w:rPr>
          <w:rFonts w:ascii="Arial" w:hAnsi="Arial" w:cs="Arial"/>
          <w:b/>
          <w:sz w:val="28"/>
          <w:szCs w:val="28"/>
        </w:rPr>
        <w:t>Ors</w:t>
      </w:r>
      <w:proofErr w:type="spellEnd"/>
      <w:r w:rsidRPr="00395F9D">
        <w:rPr>
          <w:rFonts w:ascii="Arial" w:hAnsi="Arial" w:cs="Arial"/>
          <w:b/>
          <w:sz w:val="28"/>
          <w:szCs w:val="28"/>
        </w:rPr>
        <w:t xml:space="preserve"> and Grand Port/</w:t>
      </w:r>
      <w:proofErr w:type="spellStart"/>
      <w:r w:rsidRPr="00395F9D">
        <w:rPr>
          <w:rFonts w:ascii="Arial" w:hAnsi="Arial" w:cs="Arial"/>
          <w:b/>
          <w:sz w:val="28"/>
          <w:szCs w:val="28"/>
        </w:rPr>
        <w:t>Savanne</w:t>
      </w:r>
      <w:proofErr w:type="spellEnd"/>
      <w:r w:rsidRPr="00395F9D">
        <w:rPr>
          <w:rFonts w:ascii="Arial" w:hAnsi="Arial" w:cs="Arial"/>
          <w:b/>
          <w:sz w:val="28"/>
          <w:szCs w:val="28"/>
        </w:rPr>
        <w:t xml:space="preserve"> District Council, </w:t>
      </w:r>
      <w:r w:rsidRPr="007342B0">
        <w:rPr>
          <w:rFonts w:ascii="Arial" w:hAnsi="Arial" w:cs="Arial"/>
          <w:b/>
          <w:i/>
          <w:sz w:val="28"/>
          <w:szCs w:val="28"/>
        </w:rPr>
        <w:t>i</w:t>
      </w:r>
      <w:r w:rsidR="007342B0" w:rsidRPr="007342B0">
        <w:rPr>
          <w:rFonts w:ascii="Arial" w:hAnsi="Arial" w:cs="Arial"/>
          <w:b/>
          <w:i/>
          <w:sz w:val="28"/>
          <w:szCs w:val="28"/>
        </w:rPr>
        <w:t xml:space="preserve">n </w:t>
      </w:r>
      <w:r w:rsidRPr="007342B0">
        <w:rPr>
          <w:rFonts w:ascii="Arial" w:hAnsi="Arial" w:cs="Arial"/>
          <w:b/>
          <w:i/>
          <w:sz w:val="28"/>
          <w:szCs w:val="28"/>
        </w:rPr>
        <w:t>p</w:t>
      </w:r>
      <w:r w:rsidR="007342B0" w:rsidRPr="007342B0">
        <w:rPr>
          <w:rFonts w:ascii="Arial" w:hAnsi="Arial" w:cs="Arial"/>
          <w:b/>
          <w:i/>
          <w:sz w:val="28"/>
          <w:szCs w:val="28"/>
        </w:rPr>
        <w:t xml:space="preserve">resence </w:t>
      </w:r>
      <w:proofErr w:type="gramStart"/>
      <w:r w:rsidRPr="007342B0">
        <w:rPr>
          <w:rFonts w:ascii="Arial" w:hAnsi="Arial" w:cs="Arial"/>
          <w:b/>
          <w:i/>
          <w:sz w:val="28"/>
          <w:szCs w:val="28"/>
        </w:rPr>
        <w:t>o</w:t>
      </w:r>
      <w:r w:rsidR="007342B0" w:rsidRPr="007342B0">
        <w:rPr>
          <w:rFonts w:ascii="Arial" w:hAnsi="Arial" w:cs="Arial"/>
          <w:b/>
          <w:i/>
          <w:sz w:val="28"/>
          <w:szCs w:val="28"/>
        </w:rPr>
        <w:t>f</w:t>
      </w:r>
      <w:r w:rsidR="007342B0">
        <w:rPr>
          <w:rFonts w:ascii="Arial" w:hAnsi="Arial" w:cs="Arial"/>
          <w:b/>
          <w:sz w:val="28"/>
          <w:szCs w:val="28"/>
        </w:rPr>
        <w:t xml:space="preserve"> </w:t>
      </w:r>
      <w:r w:rsidRPr="00395F9D">
        <w:rPr>
          <w:rFonts w:ascii="Arial" w:hAnsi="Arial" w:cs="Arial"/>
          <w:b/>
          <w:sz w:val="28"/>
          <w:szCs w:val="28"/>
        </w:rPr>
        <w:t xml:space="preserve"> 1</w:t>
      </w:r>
      <w:proofErr w:type="gramEnd"/>
      <w:r w:rsidRPr="00395F9D">
        <w:rPr>
          <w:rFonts w:ascii="Arial" w:hAnsi="Arial" w:cs="Arial"/>
          <w:b/>
          <w:sz w:val="28"/>
          <w:szCs w:val="28"/>
        </w:rPr>
        <w:t>.</w:t>
      </w:r>
      <w:r w:rsidR="00933B24">
        <w:rPr>
          <w:rFonts w:ascii="Arial" w:hAnsi="Arial" w:cs="Arial"/>
          <w:b/>
          <w:sz w:val="28"/>
          <w:szCs w:val="28"/>
        </w:rPr>
        <w:t xml:space="preserve"> </w:t>
      </w:r>
      <w:proofErr w:type="gramStart"/>
      <w:r w:rsidRPr="00395F9D">
        <w:rPr>
          <w:rFonts w:ascii="Arial" w:hAnsi="Arial" w:cs="Arial"/>
          <w:b/>
          <w:sz w:val="28"/>
          <w:szCs w:val="28"/>
        </w:rPr>
        <w:t>Local Government Service Commission 2.</w:t>
      </w:r>
      <w:proofErr w:type="gramEnd"/>
      <w:r w:rsidRPr="00395F9D">
        <w:rPr>
          <w:rFonts w:ascii="Arial" w:hAnsi="Arial" w:cs="Arial"/>
          <w:b/>
          <w:sz w:val="28"/>
          <w:szCs w:val="28"/>
        </w:rPr>
        <w:t xml:space="preserve"> Ministry of Labour, RN 746</w:t>
      </w:r>
      <w:r>
        <w:rPr>
          <w:rFonts w:ascii="Arial" w:hAnsi="Arial" w:cs="Arial"/>
          <w:sz w:val="28"/>
          <w:szCs w:val="28"/>
        </w:rPr>
        <w:t>, the Tribunal stated the following:</w:t>
      </w:r>
    </w:p>
    <w:p w:rsidR="00395F9D" w:rsidRDefault="00395F9D" w:rsidP="00F119AD">
      <w:pPr>
        <w:jc w:val="both"/>
        <w:rPr>
          <w:rFonts w:ascii="Arial" w:hAnsi="Arial" w:cs="Arial"/>
          <w:sz w:val="28"/>
          <w:szCs w:val="28"/>
        </w:rPr>
      </w:pPr>
    </w:p>
    <w:p w:rsidR="00395F9D" w:rsidRDefault="00395F9D" w:rsidP="00F119AD">
      <w:pPr>
        <w:jc w:val="both"/>
        <w:rPr>
          <w:rFonts w:ascii="Arial" w:hAnsi="Arial" w:cs="Arial"/>
          <w:sz w:val="28"/>
          <w:szCs w:val="28"/>
        </w:rPr>
      </w:pPr>
      <w:r>
        <w:rPr>
          <w:rFonts w:ascii="Arial" w:hAnsi="Arial" w:cs="Arial"/>
          <w:sz w:val="28"/>
          <w:szCs w:val="28"/>
        </w:rPr>
        <w:t>“</w:t>
      </w:r>
      <w:r w:rsidRPr="00395F9D">
        <w:rPr>
          <w:rFonts w:ascii="Arial" w:hAnsi="Arial" w:cs="Arial"/>
          <w:b/>
          <w:i/>
          <w:sz w:val="28"/>
          <w:szCs w:val="28"/>
        </w:rPr>
        <w:t xml:space="preserve">Section 4(1) of the Local Government Service Commission Act </w:t>
      </w:r>
      <w:r w:rsidRPr="00395F9D">
        <w:rPr>
          <w:rFonts w:ascii="Arial" w:hAnsi="Arial" w:cs="Arial"/>
          <w:i/>
          <w:sz w:val="28"/>
          <w:szCs w:val="28"/>
        </w:rPr>
        <w:t xml:space="preserve">clearly and explicitly states that the said powers of the Local Government Service Commission “shall in relation to local government officers </w:t>
      </w:r>
      <w:r w:rsidRPr="00395F9D">
        <w:rPr>
          <w:rFonts w:ascii="Arial" w:hAnsi="Arial" w:cs="Arial"/>
          <w:i/>
          <w:sz w:val="28"/>
          <w:szCs w:val="28"/>
          <w:u w:val="single"/>
        </w:rPr>
        <w:t>vest exclusively</w:t>
      </w:r>
      <w:r w:rsidRPr="00395F9D">
        <w:rPr>
          <w:rFonts w:ascii="Arial" w:hAnsi="Arial" w:cs="Arial"/>
          <w:i/>
          <w:sz w:val="28"/>
          <w:szCs w:val="28"/>
        </w:rPr>
        <w:t xml:space="preserve"> in the Commission” (the underlining is ours).  The intention of the Legislator</w:t>
      </w:r>
      <w:r w:rsidR="00933B24">
        <w:rPr>
          <w:rFonts w:ascii="Arial" w:hAnsi="Arial" w:cs="Arial"/>
          <w:i/>
          <w:sz w:val="28"/>
          <w:szCs w:val="28"/>
        </w:rPr>
        <w:t xml:space="preserve"> </w:t>
      </w:r>
      <w:r w:rsidR="00AA5F07" w:rsidRPr="00AA5F07">
        <w:rPr>
          <w:rFonts w:ascii="Arial" w:hAnsi="Arial" w:cs="Arial"/>
          <w:i/>
          <w:sz w:val="28"/>
          <w:szCs w:val="28"/>
        </w:rPr>
        <w:t>is expressed in no uncertain terms the exclusivity of the powers conferred upon the Local Government Service Commission, in other words restricted only to the Local Government Service Commission.</w:t>
      </w:r>
    </w:p>
    <w:p w:rsidR="00395F9D" w:rsidRDefault="00395F9D" w:rsidP="00F119AD">
      <w:pPr>
        <w:jc w:val="both"/>
        <w:rPr>
          <w:rFonts w:ascii="Arial" w:hAnsi="Arial" w:cs="Arial"/>
          <w:sz w:val="28"/>
          <w:szCs w:val="28"/>
        </w:rPr>
      </w:pPr>
    </w:p>
    <w:p w:rsidR="00A4764E" w:rsidRDefault="00A4764E" w:rsidP="00F119AD">
      <w:pPr>
        <w:jc w:val="both"/>
        <w:rPr>
          <w:rFonts w:ascii="Arial" w:hAnsi="Arial" w:cs="Arial"/>
          <w:sz w:val="28"/>
          <w:szCs w:val="28"/>
        </w:rPr>
      </w:pPr>
      <w:r w:rsidRPr="00A4764E">
        <w:rPr>
          <w:rFonts w:ascii="Arial" w:hAnsi="Arial" w:cs="Arial"/>
          <w:i/>
          <w:sz w:val="28"/>
          <w:szCs w:val="28"/>
        </w:rPr>
        <w:t>The terms of reference in the present case go clearly against the exclusive powers given by the Local Government Service Commission Act</w:t>
      </w:r>
      <w:r>
        <w:rPr>
          <w:rFonts w:ascii="Arial" w:hAnsi="Arial" w:cs="Arial"/>
          <w:sz w:val="28"/>
          <w:szCs w:val="28"/>
        </w:rPr>
        <w:t>.”</w:t>
      </w:r>
    </w:p>
    <w:p w:rsidR="00A4764E" w:rsidRDefault="00A4764E" w:rsidP="00F119AD">
      <w:pPr>
        <w:jc w:val="both"/>
        <w:rPr>
          <w:rFonts w:ascii="Arial" w:hAnsi="Arial" w:cs="Arial"/>
          <w:sz w:val="28"/>
          <w:szCs w:val="28"/>
        </w:rPr>
      </w:pPr>
    </w:p>
    <w:p w:rsidR="00623C37" w:rsidRDefault="00A4764E" w:rsidP="00F119AD">
      <w:pPr>
        <w:jc w:val="both"/>
        <w:rPr>
          <w:rFonts w:ascii="Arial" w:hAnsi="Arial" w:cs="Arial"/>
          <w:sz w:val="28"/>
          <w:szCs w:val="28"/>
        </w:rPr>
      </w:pPr>
      <w:r>
        <w:rPr>
          <w:rFonts w:ascii="Arial" w:hAnsi="Arial" w:cs="Arial"/>
          <w:sz w:val="28"/>
          <w:szCs w:val="28"/>
        </w:rPr>
        <w:t xml:space="preserve">The Tribunal </w:t>
      </w:r>
      <w:r w:rsidR="00D07F12">
        <w:rPr>
          <w:rFonts w:ascii="Arial" w:hAnsi="Arial" w:cs="Arial"/>
          <w:sz w:val="28"/>
          <w:szCs w:val="28"/>
        </w:rPr>
        <w:t>does not have</w:t>
      </w:r>
      <w:r w:rsidR="00933B24">
        <w:rPr>
          <w:rFonts w:ascii="Arial" w:hAnsi="Arial" w:cs="Arial"/>
          <w:sz w:val="28"/>
          <w:szCs w:val="28"/>
        </w:rPr>
        <w:t xml:space="preserve"> </w:t>
      </w:r>
      <w:r>
        <w:rPr>
          <w:rFonts w:ascii="Arial" w:hAnsi="Arial" w:cs="Arial"/>
          <w:sz w:val="28"/>
          <w:szCs w:val="28"/>
        </w:rPr>
        <w:t xml:space="preserve">jurisdiction or </w:t>
      </w:r>
      <w:r w:rsidR="008F7286">
        <w:rPr>
          <w:rFonts w:ascii="Arial" w:hAnsi="Arial" w:cs="Arial"/>
          <w:sz w:val="28"/>
          <w:szCs w:val="28"/>
        </w:rPr>
        <w:t xml:space="preserve">power </w:t>
      </w:r>
      <w:r w:rsidR="009121AF">
        <w:rPr>
          <w:rFonts w:ascii="Arial" w:hAnsi="Arial" w:cs="Arial"/>
          <w:sz w:val="28"/>
          <w:szCs w:val="28"/>
        </w:rPr>
        <w:t>“</w:t>
      </w:r>
      <w:r w:rsidR="008F7286">
        <w:rPr>
          <w:rFonts w:ascii="Arial" w:hAnsi="Arial" w:cs="Arial"/>
          <w:sz w:val="28"/>
          <w:szCs w:val="28"/>
        </w:rPr>
        <w:t xml:space="preserve">to </w:t>
      </w:r>
      <w:r w:rsidR="009121AF">
        <w:rPr>
          <w:rFonts w:ascii="Arial" w:hAnsi="Arial" w:cs="Arial"/>
          <w:sz w:val="28"/>
          <w:szCs w:val="28"/>
        </w:rPr>
        <w:t xml:space="preserve">quash the decision” of </w:t>
      </w:r>
      <w:r w:rsidR="008F7286">
        <w:rPr>
          <w:rFonts w:ascii="Arial" w:hAnsi="Arial" w:cs="Arial"/>
          <w:sz w:val="28"/>
          <w:szCs w:val="28"/>
        </w:rPr>
        <w:t xml:space="preserve">Co-Respondent No. 1 </w:t>
      </w:r>
      <w:r w:rsidR="009121AF">
        <w:rPr>
          <w:rFonts w:ascii="Arial" w:hAnsi="Arial" w:cs="Arial"/>
          <w:sz w:val="28"/>
          <w:szCs w:val="28"/>
        </w:rPr>
        <w:t xml:space="preserve">(and not that of Respondent as wrongly prayed for in paragraph 7 of </w:t>
      </w:r>
      <w:r w:rsidR="006D4B44">
        <w:rPr>
          <w:rFonts w:ascii="Arial" w:hAnsi="Arial" w:cs="Arial"/>
          <w:sz w:val="28"/>
          <w:szCs w:val="28"/>
        </w:rPr>
        <w:t xml:space="preserve">Disputant’s </w:t>
      </w:r>
      <w:r w:rsidR="009121AF">
        <w:rPr>
          <w:rFonts w:ascii="Arial" w:hAnsi="Arial" w:cs="Arial"/>
          <w:sz w:val="28"/>
          <w:szCs w:val="28"/>
        </w:rPr>
        <w:t xml:space="preserve">statement of case even though he averred at the same time at paragraph 5 that the decision was that of Co-Respondent No. 1) and </w:t>
      </w:r>
      <w:r w:rsidR="006D4B44">
        <w:rPr>
          <w:rFonts w:ascii="Arial" w:hAnsi="Arial" w:cs="Arial"/>
          <w:sz w:val="28"/>
          <w:szCs w:val="28"/>
        </w:rPr>
        <w:t>“</w:t>
      </w:r>
      <w:r w:rsidR="009121AF">
        <w:rPr>
          <w:rFonts w:ascii="Arial" w:hAnsi="Arial" w:cs="Arial"/>
          <w:sz w:val="28"/>
          <w:szCs w:val="28"/>
        </w:rPr>
        <w:t>revert the Disputant back to his previous post of Attendant (Vocational Training Centre)</w:t>
      </w:r>
      <w:r w:rsidR="006D4B44">
        <w:rPr>
          <w:rFonts w:ascii="Arial" w:hAnsi="Arial" w:cs="Arial"/>
          <w:sz w:val="28"/>
          <w:szCs w:val="28"/>
        </w:rPr>
        <w:t>”</w:t>
      </w:r>
      <w:r w:rsidR="00D2508B">
        <w:rPr>
          <w:rFonts w:ascii="Arial" w:hAnsi="Arial" w:cs="Arial"/>
          <w:sz w:val="28"/>
          <w:szCs w:val="28"/>
        </w:rPr>
        <w:t xml:space="preserve"> or to control or </w:t>
      </w:r>
      <w:r w:rsidR="005071FE">
        <w:rPr>
          <w:rFonts w:ascii="Arial" w:hAnsi="Arial" w:cs="Arial"/>
          <w:sz w:val="28"/>
          <w:szCs w:val="28"/>
        </w:rPr>
        <w:t xml:space="preserve">in any manner </w:t>
      </w:r>
      <w:r w:rsidR="00D2508B">
        <w:rPr>
          <w:rFonts w:ascii="Arial" w:hAnsi="Arial" w:cs="Arial"/>
          <w:sz w:val="28"/>
          <w:szCs w:val="28"/>
        </w:rPr>
        <w:t>direct Co-</w:t>
      </w:r>
      <w:r w:rsidR="005071FE">
        <w:rPr>
          <w:rFonts w:ascii="Arial" w:hAnsi="Arial" w:cs="Arial"/>
          <w:sz w:val="28"/>
          <w:szCs w:val="28"/>
        </w:rPr>
        <w:t>R</w:t>
      </w:r>
      <w:r w:rsidR="00D2508B">
        <w:rPr>
          <w:rFonts w:ascii="Arial" w:hAnsi="Arial" w:cs="Arial"/>
          <w:sz w:val="28"/>
          <w:szCs w:val="28"/>
        </w:rPr>
        <w:t xml:space="preserve">espondent No. 1 </w:t>
      </w:r>
      <w:r w:rsidR="005071FE">
        <w:rPr>
          <w:rFonts w:ascii="Arial" w:hAnsi="Arial" w:cs="Arial"/>
          <w:sz w:val="28"/>
          <w:szCs w:val="28"/>
        </w:rPr>
        <w:t xml:space="preserve">in relation to </w:t>
      </w:r>
      <w:r w:rsidR="00A56DE4">
        <w:rPr>
          <w:rFonts w:ascii="Arial" w:hAnsi="Arial" w:cs="Arial"/>
          <w:sz w:val="28"/>
          <w:szCs w:val="28"/>
        </w:rPr>
        <w:t>Disputant’s</w:t>
      </w:r>
      <w:r w:rsidR="008F7286">
        <w:rPr>
          <w:rFonts w:ascii="Arial" w:hAnsi="Arial" w:cs="Arial"/>
          <w:sz w:val="28"/>
          <w:szCs w:val="28"/>
        </w:rPr>
        <w:t xml:space="preserve"> </w:t>
      </w:r>
      <w:r w:rsidR="005071FE">
        <w:rPr>
          <w:rFonts w:ascii="Arial" w:hAnsi="Arial" w:cs="Arial"/>
          <w:sz w:val="28"/>
          <w:szCs w:val="28"/>
        </w:rPr>
        <w:t>appointment.</w:t>
      </w:r>
      <w:r w:rsidR="008F7286">
        <w:rPr>
          <w:rFonts w:ascii="Arial" w:hAnsi="Arial" w:cs="Arial"/>
          <w:sz w:val="28"/>
          <w:szCs w:val="28"/>
        </w:rPr>
        <w:t xml:space="preserve"> </w:t>
      </w:r>
      <w:r w:rsidR="005071FE">
        <w:rPr>
          <w:rFonts w:ascii="Arial" w:hAnsi="Arial" w:cs="Arial"/>
          <w:sz w:val="28"/>
          <w:szCs w:val="28"/>
        </w:rPr>
        <w:t xml:space="preserve"> </w:t>
      </w:r>
      <w:r w:rsidR="008F7286">
        <w:rPr>
          <w:rFonts w:ascii="Arial" w:hAnsi="Arial" w:cs="Arial"/>
          <w:sz w:val="28"/>
          <w:szCs w:val="28"/>
        </w:rPr>
        <w:t>The present dispute is clearly misconceived</w:t>
      </w:r>
      <w:r w:rsidR="009121AF">
        <w:rPr>
          <w:rFonts w:ascii="Arial" w:hAnsi="Arial" w:cs="Arial"/>
          <w:sz w:val="28"/>
          <w:szCs w:val="28"/>
        </w:rPr>
        <w:t xml:space="preserve">.  </w:t>
      </w:r>
    </w:p>
    <w:p w:rsidR="00933B24" w:rsidRDefault="00933B24" w:rsidP="00F119AD">
      <w:pPr>
        <w:jc w:val="both"/>
        <w:rPr>
          <w:rFonts w:ascii="Arial" w:hAnsi="Arial" w:cs="Arial"/>
          <w:sz w:val="28"/>
          <w:szCs w:val="28"/>
        </w:rPr>
      </w:pPr>
    </w:p>
    <w:p w:rsidR="00F65939" w:rsidRPr="00C26FAD" w:rsidRDefault="00623C37" w:rsidP="00F119AD">
      <w:pPr>
        <w:jc w:val="both"/>
        <w:rPr>
          <w:rFonts w:ascii="Arial" w:hAnsi="Arial" w:cs="Arial"/>
          <w:sz w:val="28"/>
          <w:szCs w:val="28"/>
        </w:rPr>
      </w:pPr>
      <w:r>
        <w:rPr>
          <w:rFonts w:ascii="Arial" w:hAnsi="Arial" w:cs="Arial"/>
          <w:sz w:val="28"/>
          <w:szCs w:val="28"/>
        </w:rPr>
        <w:t>The dispute is thus set aside.</w:t>
      </w:r>
    </w:p>
    <w:p w:rsidR="005071FE" w:rsidRDefault="005071FE" w:rsidP="00F119AD">
      <w:pPr>
        <w:jc w:val="both"/>
        <w:rPr>
          <w:rFonts w:ascii="Arial" w:hAnsi="Arial" w:cs="Arial"/>
          <w:sz w:val="24"/>
          <w:szCs w:val="24"/>
        </w:rPr>
      </w:pPr>
    </w:p>
    <w:p w:rsidR="00E9293E" w:rsidRDefault="00E9293E" w:rsidP="002A6DEB">
      <w:pPr>
        <w:jc w:val="both"/>
        <w:rPr>
          <w:rFonts w:ascii="Arial" w:hAnsi="Arial" w:cs="Arial"/>
          <w:b/>
          <w:sz w:val="28"/>
          <w:szCs w:val="28"/>
        </w:rPr>
      </w:pPr>
    </w:p>
    <w:p w:rsidR="00056093" w:rsidRDefault="00661EA9" w:rsidP="002A6DEB">
      <w:pPr>
        <w:jc w:val="both"/>
        <w:rPr>
          <w:rFonts w:ascii="Arial" w:hAnsi="Arial" w:cs="Arial"/>
          <w:b/>
          <w:sz w:val="28"/>
          <w:szCs w:val="28"/>
        </w:rPr>
      </w:pPr>
      <w:r>
        <w:rPr>
          <w:rFonts w:ascii="Arial" w:hAnsi="Arial" w:cs="Arial"/>
          <w:b/>
          <w:sz w:val="28"/>
          <w:szCs w:val="28"/>
        </w:rPr>
        <w:t>(</w:t>
      </w:r>
      <w:proofErr w:type="spellStart"/>
      <w:proofErr w:type="gramStart"/>
      <w:r>
        <w:rPr>
          <w:rFonts w:ascii="Arial" w:hAnsi="Arial" w:cs="Arial"/>
          <w:b/>
          <w:sz w:val="28"/>
          <w:szCs w:val="28"/>
        </w:rPr>
        <w:t>Sd</w:t>
      </w:r>
      <w:proofErr w:type="spellEnd"/>
      <w:proofErr w:type="gramEnd"/>
      <w:r>
        <w:rPr>
          <w:rFonts w:ascii="Arial" w:hAnsi="Arial" w:cs="Arial"/>
          <w:b/>
          <w:sz w:val="28"/>
          <w:szCs w:val="28"/>
        </w:rPr>
        <w:t xml:space="preserve">) </w:t>
      </w:r>
      <w:proofErr w:type="spellStart"/>
      <w:r w:rsidR="00F119AD" w:rsidRPr="00056093">
        <w:rPr>
          <w:rFonts w:ascii="Arial" w:hAnsi="Arial" w:cs="Arial"/>
          <w:b/>
          <w:sz w:val="28"/>
          <w:szCs w:val="28"/>
        </w:rPr>
        <w:t>Indiren</w:t>
      </w:r>
      <w:proofErr w:type="spellEnd"/>
      <w:r w:rsidR="00F119AD" w:rsidRPr="00056093">
        <w:rPr>
          <w:rFonts w:ascii="Arial" w:hAnsi="Arial" w:cs="Arial"/>
          <w:b/>
          <w:sz w:val="28"/>
          <w:szCs w:val="28"/>
        </w:rPr>
        <w:t xml:space="preserve"> </w:t>
      </w:r>
      <w:proofErr w:type="spellStart"/>
      <w:r w:rsidR="00F119AD" w:rsidRPr="00056093">
        <w:rPr>
          <w:rFonts w:ascii="Arial" w:hAnsi="Arial" w:cs="Arial"/>
          <w:b/>
          <w:sz w:val="28"/>
          <w:szCs w:val="28"/>
        </w:rPr>
        <w:t>Sivaramen</w:t>
      </w:r>
      <w:proofErr w:type="spellEnd"/>
      <w:r w:rsidR="00F119AD" w:rsidRPr="00056093">
        <w:rPr>
          <w:rFonts w:ascii="Arial" w:hAnsi="Arial" w:cs="Arial"/>
          <w:b/>
          <w:sz w:val="28"/>
          <w:szCs w:val="28"/>
        </w:rPr>
        <w:t xml:space="preserve">   </w:t>
      </w:r>
      <w:r w:rsidR="002A6DEB" w:rsidRPr="00056093">
        <w:rPr>
          <w:rFonts w:ascii="Arial" w:hAnsi="Arial" w:cs="Arial"/>
          <w:b/>
          <w:sz w:val="28"/>
          <w:szCs w:val="28"/>
        </w:rPr>
        <w:tab/>
      </w:r>
      <w:r w:rsidR="002A6DEB" w:rsidRPr="00056093">
        <w:rPr>
          <w:rFonts w:ascii="Arial" w:hAnsi="Arial" w:cs="Arial"/>
          <w:b/>
          <w:sz w:val="28"/>
          <w:szCs w:val="28"/>
        </w:rPr>
        <w:tab/>
      </w:r>
      <w:r w:rsidR="002A6DEB" w:rsidRPr="00056093">
        <w:rPr>
          <w:rFonts w:ascii="Arial" w:hAnsi="Arial" w:cs="Arial"/>
          <w:b/>
          <w:sz w:val="28"/>
          <w:szCs w:val="28"/>
        </w:rPr>
        <w:tab/>
      </w:r>
    </w:p>
    <w:p w:rsidR="00056093" w:rsidRDefault="00056093" w:rsidP="002A6DEB">
      <w:pPr>
        <w:jc w:val="both"/>
        <w:rPr>
          <w:rFonts w:ascii="Arial" w:hAnsi="Arial" w:cs="Arial"/>
          <w:b/>
          <w:sz w:val="28"/>
          <w:szCs w:val="28"/>
        </w:rPr>
      </w:pPr>
      <w:r w:rsidRPr="00056093">
        <w:rPr>
          <w:rFonts w:ascii="Arial" w:hAnsi="Arial" w:cs="Arial"/>
          <w:b/>
          <w:sz w:val="28"/>
          <w:szCs w:val="28"/>
        </w:rPr>
        <w:t>Vice-President</w:t>
      </w:r>
    </w:p>
    <w:p w:rsidR="00E9293E" w:rsidRDefault="00E9293E" w:rsidP="00F119AD">
      <w:pPr>
        <w:jc w:val="both"/>
        <w:rPr>
          <w:rFonts w:ascii="Arial" w:hAnsi="Arial" w:cs="Arial"/>
          <w:b/>
          <w:sz w:val="28"/>
          <w:szCs w:val="28"/>
        </w:rPr>
      </w:pPr>
    </w:p>
    <w:p w:rsidR="00056093" w:rsidRDefault="00661EA9" w:rsidP="00F119AD">
      <w:pPr>
        <w:jc w:val="both"/>
        <w:rPr>
          <w:rFonts w:ascii="Arial" w:hAnsi="Arial" w:cs="Arial"/>
          <w:b/>
          <w:sz w:val="28"/>
          <w:szCs w:val="28"/>
        </w:rPr>
      </w:pPr>
      <w:r>
        <w:rPr>
          <w:rFonts w:ascii="Arial" w:hAnsi="Arial" w:cs="Arial"/>
          <w:b/>
          <w:sz w:val="28"/>
          <w:szCs w:val="28"/>
        </w:rPr>
        <w:t>(</w:t>
      </w:r>
      <w:proofErr w:type="spellStart"/>
      <w:proofErr w:type="gramStart"/>
      <w:r>
        <w:rPr>
          <w:rFonts w:ascii="Arial" w:hAnsi="Arial" w:cs="Arial"/>
          <w:b/>
          <w:sz w:val="28"/>
          <w:szCs w:val="28"/>
        </w:rPr>
        <w:t>Sd</w:t>
      </w:r>
      <w:proofErr w:type="spellEnd"/>
      <w:proofErr w:type="gramEnd"/>
      <w:r>
        <w:rPr>
          <w:rFonts w:ascii="Arial" w:hAnsi="Arial" w:cs="Arial"/>
          <w:b/>
          <w:sz w:val="28"/>
          <w:szCs w:val="28"/>
        </w:rPr>
        <w:t xml:space="preserve">) </w:t>
      </w:r>
      <w:proofErr w:type="spellStart"/>
      <w:r w:rsidR="002A6055" w:rsidRPr="005B3CE8">
        <w:rPr>
          <w:rFonts w:ascii="Arial" w:hAnsi="Arial" w:cs="Arial"/>
          <w:b/>
          <w:sz w:val="28"/>
          <w:szCs w:val="28"/>
        </w:rPr>
        <w:t>Ra</w:t>
      </w:r>
      <w:r w:rsidR="002A6055">
        <w:rPr>
          <w:rFonts w:ascii="Arial" w:hAnsi="Arial" w:cs="Arial"/>
          <w:b/>
          <w:sz w:val="28"/>
          <w:szCs w:val="28"/>
        </w:rPr>
        <w:t>mprakash</w:t>
      </w:r>
      <w:proofErr w:type="spellEnd"/>
      <w:r w:rsidR="00933B24">
        <w:rPr>
          <w:rFonts w:ascii="Arial" w:hAnsi="Arial" w:cs="Arial"/>
          <w:b/>
          <w:sz w:val="28"/>
          <w:szCs w:val="28"/>
        </w:rPr>
        <w:t xml:space="preserve"> </w:t>
      </w:r>
      <w:proofErr w:type="spellStart"/>
      <w:r w:rsidR="002A6055">
        <w:rPr>
          <w:rFonts w:ascii="Arial" w:hAnsi="Arial" w:cs="Arial"/>
          <w:b/>
          <w:sz w:val="28"/>
          <w:szCs w:val="28"/>
        </w:rPr>
        <w:t>Ramkissen</w:t>
      </w:r>
      <w:proofErr w:type="spellEnd"/>
      <w:r w:rsidR="00E96EFA" w:rsidRPr="00056093">
        <w:rPr>
          <w:rFonts w:ascii="Arial" w:hAnsi="Arial" w:cs="Arial"/>
          <w:b/>
          <w:sz w:val="28"/>
          <w:szCs w:val="28"/>
        </w:rPr>
        <w:tab/>
      </w:r>
      <w:r w:rsidR="00E96EFA" w:rsidRPr="00056093">
        <w:rPr>
          <w:rFonts w:ascii="Arial" w:hAnsi="Arial" w:cs="Arial"/>
          <w:b/>
          <w:sz w:val="28"/>
          <w:szCs w:val="28"/>
        </w:rPr>
        <w:tab/>
      </w:r>
    </w:p>
    <w:p w:rsidR="00056093" w:rsidRDefault="00056093" w:rsidP="00F119AD">
      <w:pPr>
        <w:jc w:val="both"/>
        <w:rPr>
          <w:rFonts w:ascii="Arial" w:hAnsi="Arial" w:cs="Arial"/>
          <w:b/>
          <w:sz w:val="28"/>
          <w:szCs w:val="28"/>
        </w:rPr>
      </w:pPr>
      <w:r w:rsidRPr="00056093">
        <w:rPr>
          <w:rFonts w:ascii="Arial" w:hAnsi="Arial" w:cs="Arial"/>
          <w:b/>
          <w:sz w:val="28"/>
          <w:szCs w:val="28"/>
        </w:rPr>
        <w:t>Member</w:t>
      </w:r>
    </w:p>
    <w:p w:rsidR="00E9293E" w:rsidRDefault="00E9293E" w:rsidP="00F119AD">
      <w:pPr>
        <w:jc w:val="both"/>
        <w:rPr>
          <w:rFonts w:ascii="Arial" w:hAnsi="Arial" w:cs="Arial"/>
          <w:b/>
          <w:sz w:val="28"/>
          <w:szCs w:val="28"/>
        </w:rPr>
      </w:pPr>
    </w:p>
    <w:p w:rsidR="002A6055" w:rsidRDefault="00661EA9" w:rsidP="00F119AD">
      <w:pPr>
        <w:jc w:val="both"/>
        <w:rPr>
          <w:rFonts w:ascii="Arial" w:hAnsi="Arial" w:cs="Arial"/>
          <w:b/>
          <w:sz w:val="28"/>
          <w:szCs w:val="28"/>
        </w:rPr>
      </w:pPr>
      <w:r>
        <w:rPr>
          <w:rFonts w:ascii="Arial" w:hAnsi="Arial" w:cs="Arial"/>
          <w:b/>
          <w:sz w:val="28"/>
          <w:szCs w:val="28"/>
        </w:rPr>
        <w:t>(</w:t>
      </w:r>
      <w:proofErr w:type="spellStart"/>
      <w:proofErr w:type="gramStart"/>
      <w:r>
        <w:rPr>
          <w:rFonts w:ascii="Arial" w:hAnsi="Arial" w:cs="Arial"/>
          <w:b/>
          <w:sz w:val="28"/>
          <w:szCs w:val="28"/>
        </w:rPr>
        <w:t>Sd</w:t>
      </w:r>
      <w:proofErr w:type="spellEnd"/>
      <w:proofErr w:type="gramEnd"/>
      <w:r>
        <w:rPr>
          <w:rFonts w:ascii="Arial" w:hAnsi="Arial" w:cs="Arial"/>
          <w:b/>
          <w:sz w:val="28"/>
          <w:szCs w:val="28"/>
        </w:rPr>
        <w:t xml:space="preserve">) </w:t>
      </w:r>
      <w:r w:rsidR="002A6055">
        <w:rPr>
          <w:rFonts w:ascii="Arial" w:hAnsi="Arial" w:cs="Arial"/>
          <w:b/>
          <w:sz w:val="28"/>
          <w:szCs w:val="28"/>
        </w:rPr>
        <w:t xml:space="preserve">Denis </w:t>
      </w:r>
      <w:proofErr w:type="spellStart"/>
      <w:r w:rsidR="002A6055">
        <w:rPr>
          <w:rFonts w:ascii="Arial" w:hAnsi="Arial" w:cs="Arial"/>
          <w:b/>
          <w:sz w:val="28"/>
          <w:szCs w:val="28"/>
        </w:rPr>
        <w:t>Labat</w:t>
      </w:r>
      <w:proofErr w:type="spellEnd"/>
    </w:p>
    <w:p w:rsidR="00056093" w:rsidRDefault="00056093" w:rsidP="00F119AD">
      <w:pPr>
        <w:jc w:val="both"/>
        <w:rPr>
          <w:rFonts w:ascii="Arial" w:hAnsi="Arial" w:cs="Arial"/>
          <w:b/>
          <w:sz w:val="28"/>
          <w:szCs w:val="28"/>
        </w:rPr>
      </w:pPr>
      <w:r w:rsidRPr="00056093">
        <w:rPr>
          <w:rFonts w:ascii="Arial" w:hAnsi="Arial" w:cs="Arial"/>
          <w:b/>
          <w:sz w:val="28"/>
          <w:szCs w:val="28"/>
        </w:rPr>
        <w:t>Member</w:t>
      </w:r>
    </w:p>
    <w:p w:rsidR="00D2508B" w:rsidRDefault="00D2508B" w:rsidP="00F119AD">
      <w:pPr>
        <w:jc w:val="both"/>
        <w:rPr>
          <w:rFonts w:ascii="Arial" w:hAnsi="Arial" w:cs="Arial"/>
          <w:b/>
          <w:sz w:val="28"/>
          <w:szCs w:val="28"/>
        </w:rPr>
      </w:pPr>
    </w:p>
    <w:p w:rsidR="00056093" w:rsidRDefault="00661EA9" w:rsidP="00F119AD">
      <w:pPr>
        <w:jc w:val="both"/>
        <w:rPr>
          <w:rFonts w:ascii="Arial" w:hAnsi="Arial" w:cs="Arial"/>
          <w:b/>
          <w:sz w:val="28"/>
          <w:szCs w:val="28"/>
        </w:rPr>
      </w:pPr>
      <w:r>
        <w:rPr>
          <w:rFonts w:ascii="Arial" w:hAnsi="Arial" w:cs="Arial"/>
          <w:b/>
          <w:sz w:val="28"/>
          <w:szCs w:val="28"/>
        </w:rPr>
        <w:t>(</w:t>
      </w:r>
      <w:proofErr w:type="spellStart"/>
      <w:r>
        <w:rPr>
          <w:rFonts w:ascii="Arial" w:hAnsi="Arial" w:cs="Arial"/>
          <w:b/>
          <w:sz w:val="28"/>
          <w:szCs w:val="28"/>
        </w:rPr>
        <w:t>Sd</w:t>
      </w:r>
      <w:proofErr w:type="spellEnd"/>
      <w:r>
        <w:rPr>
          <w:rFonts w:ascii="Arial" w:hAnsi="Arial" w:cs="Arial"/>
          <w:b/>
          <w:sz w:val="28"/>
          <w:szCs w:val="28"/>
        </w:rPr>
        <w:t xml:space="preserve">) </w:t>
      </w:r>
      <w:proofErr w:type="spellStart"/>
      <w:r w:rsidR="00056093">
        <w:rPr>
          <w:rFonts w:ascii="Arial" w:hAnsi="Arial" w:cs="Arial"/>
          <w:b/>
          <w:sz w:val="28"/>
          <w:szCs w:val="28"/>
        </w:rPr>
        <w:t>T</w:t>
      </w:r>
      <w:r w:rsidR="00E96EFA" w:rsidRPr="00056093">
        <w:rPr>
          <w:rFonts w:ascii="Arial" w:hAnsi="Arial" w:cs="Arial"/>
          <w:b/>
          <w:sz w:val="28"/>
          <w:szCs w:val="28"/>
        </w:rPr>
        <w:t>riboohun</w:t>
      </w:r>
      <w:proofErr w:type="spellEnd"/>
      <w:r w:rsidR="00E96EFA" w:rsidRPr="00056093">
        <w:rPr>
          <w:rFonts w:ascii="Arial" w:hAnsi="Arial" w:cs="Arial"/>
          <w:b/>
          <w:sz w:val="28"/>
          <w:szCs w:val="28"/>
        </w:rPr>
        <w:t xml:space="preserve"> Raj </w:t>
      </w:r>
      <w:proofErr w:type="spellStart"/>
      <w:r w:rsidR="00E96EFA" w:rsidRPr="00056093">
        <w:rPr>
          <w:rFonts w:ascii="Arial" w:hAnsi="Arial" w:cs="Arial"/>
          <w:b/>
          <w:sz w:val="28"/>
          <w:szCs w:val="28"/>
        </w:rPr>
        <w:t>Gunnoo</w:t>
      </w:r>
      <w:proofErr w:type="spellEnd"/>
    </w:p>
    <w:p w:rsidR="009D3F5C" w:rsidRDefault="00056093" w:rsidP="00F119AD">
      <w:pPr>
        <w:jc w:val="both"/>
        <w:rPr>
          <w:rFonts w:ascii="Arial" w:hAnsi="Arial" w:cs="Arial"/>
          <w:b/>
          <w:sz w:val="28"/>
          <w:szCs w:val="28"/>
        </w:rPr>
      </w:pPr>
      <w:r>
        <w:rPr>
          <w:rFonts w:ascii="Arial" w:hAnsi="Arial" w:cs="Arial"/>
          <w:b/>
          <w:sz w:val="28"/>
          <w:szCs w:val="28"/>
        </w:rPr>
        <w:t>M</w:t>
      </w:r>
      <w:r w:rsidR="00F119AD" w:rsidRPr="00056093">
        <w:rPr>
          <w:rFonts w:ascii="Arial" w:hAnsi="Arial" w:cs="Arial"/>
          <w:b/>
          <w:sz w:val="28"/>
          <w:szCs w:val="28"/>
        </w:rPr>
        <w:t xml:space="preserve">ember </w:t>
      </w:r>
      <w:r w:rsidR="00E96EFA" w:rsidRPr="00056093">
        <w:rPr>
          <w:rFonts w:ascii="Arial" w:hAnsi="Arial" w:cs="Arial"/>
          <w:b/>
          <w:sz w:val="28"/>
          <w:szCs w:val="28"/>
        </w:rPr>
        <w:tab/>
      </w:r>
      <w:r w:rsidR="007342B0">
        <w:rPr>
          <w:rFonts w:ascii="Arial" w:hAnsi="Arial" w:cs="Arial"/>
          <w:b/>
          <w:sz w:val="28"/>
          <w:szCs w:val="28"/>
        </w:rPr>
        <w:tab/>
      </w:r>
      <w:r w:rsidR="007342B0">
        <w:rPr>
          <w:rFonts w:ascii="Arial" w:hAnsi="Arial" w:cs="Arial"/>
          <w:b/>
          <w:sz w:val="28"/>
          <w:szCs w:val="28"/>
        </w:rPr>
        <w:tab/>
      </w:r>
      <w:r w:rsidR="007342B0">
        <w:rPr>
          <w:rFonts w:ascii="Arial" w:hAnsi="Arial" w:cs="Arial"/>
          <w:b/>
          <w:sz w:val="28"/>
          <w:szCs w:val="28"/>
        </w:rPr>
        <w:tab/>
      </w:r>
      <w:r w:rsidR="007342B0">
        <w:rPr>
          <w:rFonts w:ascii="Arial" w:hAnsi="Arial" w:cs="Arial"/>
          <w:b/>
          <w:sz w:val="28"/>
          <w:szCs w:val="28"/>
        </w:rPr>
        <w:tab/>
      </w:r>
      <w:r w:rsidR="007342B0">
        <w:rPr>
          <w:rFonts w:ascii="Arial" w:hAnsi="Arial" w:cs="Arial"/>
          <w:b/>
          <w:sz w:val="28"/>
          <w:szCs w:val="28"/>
        </w:rPr>
        <w:tab/>
      </w:r>
      <w:r w:rsidR="007342B0">
        <w:rPr>
          <w:rFonts w:ascii="Arial" w:hAnsi="Arial" w:cs="Arial"/>
          <w:b/>
          <w:sz w:val="28"/>
          <w:szCs w:val="28"/>
        </w:rPr>
        <w:tab/>
      </w:r>
      <w:r w:rsidR="007342B0">
        <w:rPr>
          <w:rFonts w:ascii="Arial" w:hAnsi="Arial" w:cs="Arial"/>
          <w:b/>
          <w:sz w:val="28"/>
          <w:szCs w:val="28"/>
        </w:rPr>
        <w:tab/>
      </w:r>
      <w:r w:rsidR="007342B0">
        <w:rPr>
          <w:rFonts w:ascii="Arial" w:hAnsi="Arial" w:cs="Arial"/>
          <w:b/>
          <w:sz w:val="28"/>
          <w:szCs w:val="28"/>
        </w:rPr>
        <w:tab/>
        <w:t>9 May</w:t>
      </w:r>
      <w:r w:rsidR="007342B0" w:rsidRPr="00056093">
        <w:rPr>
          <w:rFonts w:ascii="Arial" w:hAnsi="Arial" w:cs="Arial"/>
          <w:b/>
          <w:sz w:val="28"/>
          <w:szCs w:val="28"/>
        </w:rPr>
        <w:t xml:space="preserve"> 201</w:t>
      </w:r>
      <w:r w:rsidR="007342B0">
        <w:rPr>
          <w:rFonts w:ascii="Arial" w:hAnsi="Arial" w:cs="Arial"/>
          <w:b/>
          <w:sz w:val="28"/>
          <w:szCs w:val="28"/>
        </w:rPr>
        <w:t>4</w:t>
      </w:r>
    </w:p>
    <w:p w:rsidR="00F119AD" w:rsidRPr="00056093" w:rsidRDefault="00E96EFA" w:rsidP="00F119AD">
      <w:pPr>
        <w:jc w:val="both"/>
        <w:rPr>
          <w:rFonts w:ascii="Arial" w:hAnsi="Arial" w:cs="Arial"/>
          <w:b/>
          <w:sz w:val="28"/>
          <w:szCs w:val="28"/>
        </w:rPr>
      </w:pPr>
      <w:r w:rsidRPr="00056093">
        <w:rPr>
          <w:rFonts w:ascii="Arial" w:hAnsi="Arial" w:cs="Arial"/>
          <w:b/>
          <w:sz w:val="28"/>
          <w:szCs w:val="28"/>
        </w:rPr>
        <w:tab/>
      </w:r>
      <w:r w:rsidRPr="00056093">
        <w:rPr>
          <w:rFonts w:ascii="Arial" w:hAnsi="Arial" w:cs="Arial"/>
          <w:b/>
          <w:sz w:val="28"/>
          <w:szCs w:val="28"/>
        </w:rPr>
        <w:tab/>
      </w:r>
      <w:r w:rsidRPr="00056093">
        <w:rPr>
          <w:rFonts w:ascii="Arial" w:hAnsi="Arial" w:cs="Arial"/>
          <w:b/>
          <w:sz w:val="28"/>
          <w:szCs w:val="28"/>
        </w:rPr>
        <w:tab/>
      </w:r>
      <w:r w:rsidRPr="00056093">
        <w:rPr>
          <w:rFonts w:ascii="Arial" w:hAnsi="Arial" w:cs="Arial"/>
          <w:b/>
          <w:sz w:val="28"/>
          <w:szCs w:val="28"/>
        </w:rPr>
        <w:tab/>
      </w:r>
      <w:r w:rsidRPr="00056093">
        <w:rPr>
          <w:rFonts w:ascii="Arial" w:hAnsi="Arial" w:cs="Arial"/>
          <w:b/>
          <w:sz w:val="28"/>
          <w:szCs w:val="28"/>
        </w:rPr>
        <w:tab/>
      </w:r>
    </w:p>
    <w:sectPr w:rsidR="00F119AD" w:rsidRPr="00056093" w:rsidSect="003078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D40" w:rsidRDefault="00C75D40" w:rsidP="00866E1F">
      <w:r>
        <w:separator/>
      </w:r>
    </w:p>
  </w:endnote>
  <w:endnote w:type="continuationSeparator" w:id="0">
    <w:p w:rsidR="00C75D40" w:rsidRDefault="00C75D40" w:rsidP="0086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635082"/>
      <w:docPartObj>
        <w:docPartGallery w:val="Page Numbers (Bottom of Page)"/>
        <w:docPartUnique/>
      </w:docPartObj>
    </w:sdtPr>
    <w:sdtEndPr>
      <w:rPr>
        <w:noProof/>
      </w:rPr>
    </w:sdtEndPr>
    <w:sdtContent>
      <w:p w:rsidR="009121AF" w:rsidRDefault="00BF15A8">
        <w:pPr>
          <w:pStyle w:val="Footer"/>
          <w:jc w:val="center"/>
        </w:pPr>
        <w:r>
          <w:fldChar w:fldCharType="begin"/>
        </w:r>
        <w:r w:rsidR="00EB359E">
          <w:instrText xml:space="preserve"> PAGE   \* MERGEFORMAT </w:instrText>
        </w:r>
        <w:r>
          <w:fldChar w:fldCharType="separate"/>
        </w:r>
        <w:r w:rsidR="00A71C97">
          <w:rPr>
            <w:noProof/>
          </w:rPr>
          <w:t>1</w:t>
        </w:r>
        <w:r>
          <w:rPr>
            <w:noProof/>
          </w:rPr>
          <w:fldChar w:fldCharType="end"/>
        </w:r>
      </w:p>
    </w:sdtContent>
  </w:sdt>
  <w:p w:rsidR="009121AF" w:rsidRDefault="00912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D40" w:rsidRDefault="00C75D40" w:rsidP="00866E1F">
      <w:r>
        <w:separator/>
      </w:r>
    </w:p>
  </w:footnote>
  <w:footnote w:type="continuationSeparator" w:id="0">
    <w:p w:rsidR="00C75D40" w:rsidRDefault="00C75D40" w:rsidP="00866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1509"/>
    <w:multiLevelType w:val="hybridMultilevel"/>
    <w:tmpl w:val="3B78DAE2"/>
    <w:lvl w:ilvl="0" w:tplc="C318E3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0F74E0"/>
    <w:multiLevelType w:val="hybridMultilevel"/>
    <w:tmpl w:val="805486EE"/>
    <w:lvl w:ilvl="0" w:tplc="38045A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7D6D1111"/>
    <w:multiLevelType w:val="hybridMultilevel"/>
    <w:tmpl w:val="B030A974"/>
    <w:lvl w:ilvl="0" w:tplc="B9465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10AF2"/>
    <w:rsid w:val="00013016"/>
    <w:rsid w:val="0002352A"/>
    <w:rsid w:val="00032109"/>
    <w:rsid w:val="000344ED"/>
    <w:rsid w:val="000347BB"/>
    <w:rsid w:val="00035CA1"/>
    <w:rsid w:val="000402F8"/>
    <w:rsid w:val="00042D98"/>
    <w:rsid w:val="00056093"/>
    <w:rsid w:val="0005624E"/>
    <w:rsid w:val="00063917"/>
    <w:rsid w:val="00077F6B"/>
    <w:rsid w:val="0008359E"/>
    <w:rsid w:val="000A29EA"/>
    <w:rsid w:val="000C377D"/>
    <w:rsid w:val="000C66AD"/>
    <w:rsid w:val="000D3F08"/>
    <w:rsid w:val="000D43CE"/>
    <w:rsid w:val="000D45EB"/>
    <w:rsid w:val="000D65E0"/>
    <w:rsid w:val="000F2B90"/>
    <w:rsid w:val="00102403"/>
    <w:rsid w:val="001040BB"/>
    <w:rsid w:val="001118A5"/>
    <w:rsid w:val="001123D1"/>
    <w:rsid w:val="00112D88"/>
    <w:rsid w:val="001144E0"/>
    <w:rsid w:val="00115C3B"/>
    <w:rsid w:val="00125D8F"/>
    <w:rsid w:val="0012782D"/>
    <w:rsid w:val="00134415"/>
    <w:rsid w:val="00137177"/>
    <w:rsid w:val="00143A16"/>
    <w:rsid w:val="00146C6D"/>
    <w:rsid w:val="001505B9"/>
    <w:rsid w:val="001532C9"/>
    <w:rsid w:val="0015520E"/>
    <w:rsid w:val="00164BBA"/>
    <w:rsid w:val="0017793E"/>
    <w:rsid w:val="00181425"/>
    <w:rsid w:val="00197663"/>
    <w:rsid w:val="001A1BB5"/>
    <w:rsid w:val="001B50D7"/>
    <w:rsid w:val="001B5FCF"/>
    <w:rsid w:val="001B78F0"/>
    <w:rsid w:val="001C095D"/>
    <w:rsid w:val="001C0E21"/>
    <w:rsid w:val="001C53AC"/>
    <w:rsid w:val="001D1197"/>
    <w:rsid w:val="001D4FF2"/>
    <w:rsid w:val="001D5147"/>
    <w:rsid w:val="001D5B19"/>
    <w:rsid w:val="001D7287"/>
    <w:rsid w:val="001E4069"/>
    <w:rsid w:val="001F0982"/>
    <w:rsid w:val="00206E18"/>
    <w:rsid w:val="00233839"/>
    <w:rsid w:val="00244052"/>
    <w:rsid w:val="00245285"/>
    <w:rsid w:val="002453CD"/>
    <w:rsid w:val="00245967"/>
    <w:rsid w:val="0025529A"/>
    <w:rsid w:val="00255F35"/>
    <w:rsid w:val="00261AA0"/>
    <w:rsid w:val="00264F09"/>
    <w:rsid w:val="00267136"/>
    <w:rsid w:val="00296378"/>
    <w:rsid w:val="002A4970"/>
    <w:rsid w:val="002A6055"/>
    <w:rsid w:val="002A6DEB"/>
    <w:rsid w:val="002B081B"/>
    <w:rsid w:val="002B2989"/>
    <w:rsid w:val="002B6961"/>
    <w:rsid w:val="002B6F2F"/>
    <w:rsid w:val="002C168A"/>
    <w:rsid w:val="002C1DCF"/>
    <w:rsid w:val="002C1E93"/>
    <w:rsid w:val="002C7E4F"/>
    <w:rsid w:val="002D6D78"/>
    <w:rsid w:val="002D6DF6"/>
    <w:rsid w:val="002E7DDC"/>
    <w:rsid w:val="002F154E"/>
    <w:rsid w:val="002F3621"/>
    <w:rsid w:val="002F5C88"/>
    <w:rsid w:val="00300EFB"/>
    <w:rsid w:val="00304CC7"/>
    <w:rsid w:val="0030786F"/>
    <w:rsid w:val="00310D49"/>
    <w:rsid w:val="00310F90"/>
    <w:rsid w:val="003122D2"/>
    <w:rsid w:val="00312FA7"/>
    <w:rsid w:val="00316865"/>
    <w:rsid w:val="00336808"/>
    <w:rsid w:val="00341B58"/>
    <w:rsid w:val="003500D1"/>
    <w:rsid w:val="003513EF"/>
    <w:rsid w:val="003530AF"/>
    <w:rsid w:val="00353667"/>
    <w:rsid w:val="003606ED"/>
    <w:rsid w:val="00363A17"/>
    <w:rsid w:val="003665E6"/>
    <w:rsid w:val="00382ADD"/>
    <w:rsid w:val="00384BF9"/>
    <w:rsid w:val="00395F9D"/>
    <w:rsid w:val="003A26CB"/>
    <w:rsid w:val="003A31A4"/>
    <w:rsid w:val="003A49B5"/>
    <w:rsid w:val="003B29D3"/>
    <w:rsid w:val="003C243A"/>
    <w:rsid w:val="003C3D35"/>
    <w:rsid w:val="003D1034"/>
    <w:rsid w:val="003D1E3D"/>
    <w:rsid w:val="003D2991"/>
    <w:rsid w:val="003E02C5"/>
    <w:rsid w:val="003E455D"/>
    <w:rsid w:val="003F188E"/>
    <w:rsid w:val="003F20C7"/>
    <w:rsid w:val="003F22C8"/>
    <w:rsid w:val="003F2E0E"/>
    <w:rsid w:val="003F3A6A"/>
    <w:rsid w:val="0041169D"/>
    <w:rsid w:val="00413B88"/>
    <w:rsid w:val="00420042"/>
    <w:rsid w:val="00420BA9"/>
    <w:rsid w:val="00426A41"/>
    <w:rsid w:val="00432ACA"/>
    <w:rsid w:val="00433121"/>
    <w:rsid w:val="00433E0E"/>
    <w:rsid w:val="00434322"/>
    <w:rsid w:val="00442907"/>
    <w:rsid w:val="0044327A"/>
    <w:rsid w:val="00450B77"/>
    <w:rsid w:val="00457398"/>
    <w:rsid w:val="004624C0"/>
    <w:rsid w:val="00467E00"/>
    <w:rsid w:val="00473239"/>
    <w:rsid w:val="0047617F"/>
    <w:rsid w:val="00481BA7"/>
    <w:rsid w:val="00487CA4"/>
    <w:rsid w:val="00492943"/>
    <w:rsid w:val="00495175"/>
    <w:rsid w:val="004B2F3E"/>
    <w:rsid w:val="004B464D"/>
    <w:rsid w:val="004B77E2"/>
    <w:rsid w:val="004C638E"/>
    <w:rsid w:val="004D00AD"/>
    <w:rsid w:val="004D5F39"/>
    <w:rsid w:val="004D6FEB"/>
    <w:rsid w:val="004D75D0"/>
    <w:rsid w:val="004E25F6"/>
    <w:rsid w:val="004E589F"/>
    <w:rsid w:val="0050105F"/>
    <w:rsid w:val="005071FE"/>
    <w:rsid w:val="00514022"/>
    <w:rsid w:val="00514296"/>
    <w:rsid w:val="00515314"/>
    <w:rsid w:val="00515C3F"/>
    <w:rsid w:val="00516110"/>
    <w:rsid w:val="0051731C"/>
    <w:rsid w:val="005210FD"/>
    <w:rsid w:val="005212BB"/>
    <w:rsid w:val="00522398"/>
    <w:rsid w:val="00533041"/>
    <w:rsid w:val="0054760B"/>
    <w:rsid w:val="00550E05"/>
    <w:rsid w:val="005556A8"/>
    <w:rsid w:val="0056593F"/>
    <w:rsid w:val="00572145"/>
    <w:rsid w:val="00591346"/>
    <w:rsid w:val="005A1B20"/>
    <w:rsid w:val="005A49B6"/>
    <w:rsid w:val="005B3CE8"/>
    <w:rsid w:val="005B443B"/>
    <w:rsid w:val="005C2209"/>
    <w:rsid w:val="005C239A"/>
    <w:rsid w:val="005C28EB"/>
    <w:rsid w:val="005C681F"/>
    <w:rsid w:val="005D1A53"/>
    <w:rsid w:val="005D2484"/>
    <w:rsid w:val="005D62F5"/>
    <w:rsid w:val="005D71C5"/>
    <w:rsid w:val="005E2593"/>
    <w:rsid w:val="005E5D5A"/>
    <w:rsid w:val="005E68D0"/>
    <w:rsid w:val="005E7853"/>
    <w:rsid w:val="005F1B9A"/>
    <w:rsid w:val="005F6126"/>
    <w:rsid w:val="006014D9"/>
    <w:rsid w:val="006041EF"/>
    <w:rsid w:val="0061035F"/>
    <w:rsid w:val="0061334A"/>
    <w:rsid w:val="0061398A"/>
    <w:rsid w:val="006157DF"/>
    <w:rsid w:val="00620629"/>
    <w:rsid w:val="00623C37"/>
    <w:rsid w:val="00632915"/>
    <w:rsid w:val="006341D9"/>
    <w:rsid w:val="00642A6C"/>
    <w:rsid w:val="00646BCF"/>
    <w:rsid w:val="00650192"/>
    <w:rsid w:val="006539E9"/>
    <w:rsid w:val="00660179"/>
    <w:rsid w:val="00661EA9"/>
    <w:rsid w:val="0067149D"/>
    <w:rsid w:val="0067779B"/>
    <w:rsid w:val="006806AD"/>
    <w:rsid w:val="00691272"/>
    <w:rsid w:val="006963B5"/>
    <w:rsid w:val="006A3FC6"/>
    <w:rsid w:val="006A4071"/>
    <w:rsid w:val="006A4483"/>
    <w:rsid w:val="006A51BB"/>
    <w:rsid w:val="006B32AA"/>
    <w:rsid w:val="006B6D52"/>
    <w:rsid w:val="006C2914"/>
    <w:rsid w:val="006C3378"/>
    <w:rsid w:val="006C6E70"/>
    <w:rsid w:val="006D078E"/>
    <w:rsid w:val="006D4B44"/>
    <w:rsid w:val="006D59E1"/>
    <w:rsid w:val="006E612C"/>
    <w:rsid w:val="006F1397"/>
    <w:rsid w:val="006F58BE"/>
    <w:rsid w:val="006F619C"/>
    <w:rsid w:val="00700BBF"/>
    <w:rsid w:val="007037F5"/>
    <w:rsid w:val="007038A8"/>
    <w:rsid w:val="00704D58"/>
    <w:rsid w:val="007128FB"/>
    <w:rsid w:val="00712962"/>
    <w:rsid w:val="007154B0"/>
    <w:rsid w:val="00717E79"/>
    <w:rsid w:val="007200E0"/>
    <w:rsid w:val="007219D6"/>
    <w:rsid w:val="007241DF"/>
    <w:rsid w:val="00724E37"/>
    <w:rsid w:val="00725651"/>
    <w:rsid w:val="00727849"/>
    <w:rsid w:val="007342B0"/>
    <w:rsid w:val="00734CDB"/>
    <w:rsid w:val="007358C4"/>
    <w:rsid w:val="0075367C"/>
    <w:rsid w:val="00761734"/>
    <w:rsid w:val="00763B6C"/>
    <w:rsid w:val="00764E52"/>
    <w:rsid w:val="00776A10"/>
    <w:rsid w:val="00776CB0"/>
    <w:rsid w:val="00783946"/>
    <w:rsid w:val="00790676"/>
    <w:rsid w:val="007908EC"/>
    <w:rsid w:val="00793F06"/>
    <w:rsid w:val="007A0314"/>
    <w:rsid w:val="007B3D92"/>
    <w:rsid w:val="007B6F9C"/>
    <w:rsid w:val="007B7C43"/>
    <w:rsid w:val="007C0328"/>
    <w:rsid w:val="007C263A"/>
    <w:rsid w:val="007C5017"/>
    <w:rsid w:val="007D024C"/>
    <w:rsid w:val="007E350B"/>
    <w:rsid w:val="007F1BDC"/>
    <w:rsid w:val="007F6F4F"/>
    <w:rsid w:val="00803D94"/>
    <w:rsid w:val="00806330"/>
    <w:rsid w:val="00806E83"/>
    <w:rsid w:val="00810D33"/>
    <w:rsid w:val="008142C9"/>
    <w:rsid w:val="00816AD3"/>
    <w:rsid w:val="00822108"/>
    <w:rsid w:val="00822EAA"/>
    <w:rsid w:val="0082706B"/>
    <w:rsid w:val="008375DD"/>
    <w:rsid w:val="008377C8"/>
    <w:rsid w:val="008400A7"/>
    <w:rsid w:val="00845955"/>
    <w:rsid w:val="00845FF7"/>
    <w:rsid w:val="008513DD"/>
    <w:rsid w:val="00851D2B"/>
    <w:rsid w:val="00852F34"/>
    <w:rsid w:val="00864A12"/>
    <w:rsid w:val="00864DB1"/>
    <w:rsid w:val="00866E1F"/>
    <w:rsid w:val="00873A4A"/>
    <w:rsid w:val="00884EB9"/>
    <w:rsid w:val="00887E97"/>
    <w:rsid w:val="008A0607"/>
    <w:rsid w:val="008B04F0"/>
    <w:rsid w:val="008C3E61"/>
    <w:rsid w:val="008D1291"/>
    <w:rsid w:val="008D3C85"/>
    <w:rsid w:val="008D4AD0"/>
    <w:rsid w:val="008F321D"/>
    <w:rsid w:val="008F41C7"/>
    <w:rsid w:val="008F7286"/>
    <w:rsid w:val="0090147C"/>
    <w:rsid w:val="009047E6"/>
    <w:rsid w:val="00905409"/>
    <w:rsid w:val="00910356"/>
    <w:rsid w:val="00911D11"/>
    <w:rsid w:val="009121AF"/>
    <w:rsid w:val="0091251E"/>
    <w:rsid w:val="009154A3"/>
    <w:rsid w:val="00916B89"/>
    <w:rsid w:val="00922A97"/>
    <w:rsid w:val="009247A1"/>
    <w:rsid w:val="00925F84"/>
    <w:rsid w:val="00927934"/>
    <w:rsid w:val="00931569"/>
    <w:rsid w:val="00933B24"/>
    <w:rsid w:val="00936B18"/>
    <w:rsid w:val="00944199"/>
    <w:rsid w:val="00946ECD"/>
    <w:rsid w:val="00953104"/>
    <w:rsid w:val="00954E66"/>
    <w:rsid w:val="009562A4"/>
    <w:rsid w:val="00956DDA"/>
    <w:rsid w:val="009763D5"/>
    <w:rsid w:val="009810A0"/>
    <w:rsid w:val="0098118E"/>
    <w:rsid w:val="00992FC0"/>
    <w:rsid w:val="00994EB3"/>
    <w:rsid w:val="009A18F3"/>
    <w:rsid w:val="009A5C76"/>
    <w:rsid w:val="009A7140"/>
    <w:rsid w:val="009B5AF1"/>
    <w:rsid w:val="009C399B"/>
    <w:rsid w:val="009D3F5C"/>
    <w:rsid w:val="009D47CF"/>
    <w:rsid w:val="009D5F48"/>
    <w:rsid w:val="009E701B"/>
    <w:rsid w:val="009E71D3"/>
    <w:rsid w:val="009E7461"/>
    <w:rsid w:val="009F61C1"/>
    <w:rsid w:val="00A02247"/>
    <w:rsid w:val="00A12660"/>
    <w:rsid w:val="00A130C2"/>
    <w:rsid w:val="00A150D9"/>
    <w:rsid w:val="00A151B9"/>
    <w:rsid w:val="00A15A2F"/>
    <w:rsid w:val="00A1736D"/>
    <w:rsid w:val="00A23392"/>
    <w:rsid w:val="00A263D9"/>
    <w:rsid w:val="00A26C98"/>
    <w:rsid w:val="00A330FD"/>
    <w:rsid w:val="00A34904"/>
    <w:rsid w:val="00A43753"/>
    <w:rsid w:val="00A4764E"/>
    <w:rsid w:val="00A5109D"/>
    <w:rsid w:val="00A52BB0"/>
    <w:rsid w:val="00A56DE4"/>
    <w:rsid w:val="00A64A0B"/>
    <w:rsid w:val="00A66B18"/>
    <w:rsid w:val="00A70747"/>
    <w:rsid w:val="00A70BAE"/>
    <w:rsid w:val="00A71C97"/>
    <w:rsid w:val="00A80B1F"/>
    <w:rsid w:val="00A81745"/>
    <w:rsid w:val="00A83444"/>
    <w:rsid w:val="00A94A01"/>
    <w:rsid w:val="00A9606D"/>
    <w:rsid w:val="00AA3B87"/>
    <w:rsid w:val="00AA3D73"/>
    <w:rsid w:val="00AA3FF0"/>
    <w:rsid w:val="00AA5046"/>
    <w:rsid w:val="00AA511B"/>
    <w:rsid w:val="00AA5F07"/>
    <w:rsid w:val="00AA6229"/>
    <w:rsid w:val="00AA62AD"/>
    <w:rsid w:val="00AB0C29"/>
    <w:rsid w:val="00AB1F28"/>
    <w:rsid w:val="00AB7F8B"/>
    <w:rsid w:val="00AC41E8"/>
    <w:rsid w:val="00AD544D"/>
    <w:rsid w:val="00AD74EE"/>
    <w:rsid w:val="00AE1CC8"/>
    <w:rsid w:val="00AE27E8"/>
    <w:rsid w:val="00AE543F"/>
    <w:rsid w:val="00AF6681"/>
    <w:rsid w:val="00B001F9"/>
    <w:rsid w:val="00B04123"/>
    <w:rsid w:val="00B078AD"/>
    <w:rsid w:val="00B160BF"/>
    <w:rsid w:val="00B2006E"/>
    <w:rsid w:val="00B23D9A"/>
    <w:rsid w:val="00B33FFE"/>
    <w:rsid w:val="00B370EB"/>
    <w:rsid w:val="00B37503"/>
    <w:rsid w:val="00B4136C"/>
    <w:rsid w:val="00B4190C"/>
    <w:rsid w:val="00B52BBE"/>
    <w:rsid w:val="00B64924"/>
    <w:rsid w:val="00B66895"/>
    <w:rsid w:val="00B80425"/>
    <w:rsid w:val="00B87168"/>
    <w:rsid w:val="00B931F0"/>
    <w:rsid w:val="00B9448B"/>
    <w:rsid w:val="00B94B0F"/>
    <w:rsid w:val="00B96B6B"/>
    <w:rsid w:val="00BB0321"/>
    <w:rsid w:val="00BB0418"/>
    <w:rsid w:val="00BC44FB"/>
    <w:rsid w:val="00BD0E67"/>
    <w:rsid w:val="00BE27E2"/>
    <w:rsid w:val="00BE56B8"/>
    <w:rsid w:val="00BF11E7"/>
    <w:rsid w:val="00BF15A8"/>
    <w:rsid w:val="00BF5CD2"/>
    <w:rsid w:val="00C16D4A"/>
    <w:rsid w:val="00C26FAD"/>
    <w:rsid w:val="00C30A7F"/>
    <w:rsid w:val="00C33767"/>
    <w:rsid w:val="00C345A2"/>
    <w:rsid w:val="00C4170B"/>
    <w:rsid w:val="00C43B0B"/>
    <w:rsid w:val="00C519C5"/>
    <w:rsid w:val="00C57011"/>
    <w:rsid w:val="00C66749"/>
    <w:rsid w:val="00C74D0D"/>
    <w:rsid w:val="00C75D40"/>
    <w:rsid w:val="00C833DF"/>
    <w:rsid w:val="00C8558A"/>
    <w:rsid w:val="00C92DF2"/>
    <w:rsid w:val="00CA0D21"/>
    <w:rsid w:val="00CA6C78"/>
    <w:rsid w:val="00CB0437"/>
    <w:rsid w:val="00CB3EEB"/>
    <w:rsid w:val="00CC1D85"/>
    <w:rsid w:val="00CC237C"/>
    <w:rsid w:val="00CC42B2"/>
    <w:rsid w:val="00CD0F85"/>
    <w:rsid w:val="00CD2C51"/>
    <w:rsid w:val="00CD43B0"/>
    <w:rsid w:val="00CD48A9"/>
    <w:rsid w:val="00CE074D"/>
    <w:rsid w:val="00CE2457"/>
    <w:rsid w:val="00CE4198"/>
    <w:rsid w:val="00CE60CE"/>
    <w:rsid w:val="00CE692F"/>
    <w:rsid w:val="00CE7E2B"/>
    <w:rsid w:val="00D01633"/>
    <w:rsid w:val="00D02CA9"/>
    <w:rsid w:val="00D065AE"/>
    <w:rsid w:val="00D07F12"/>
    <w:rsid w:val="00D11CE8"/>
    <w:rsid w:val="00D11D75"/>
    <w:rsid w:val="00D12536"/>
    <w:rsid w:val="00D13418"/>
    <w:rsid w:val="00D15C9E"/>
    <w:rsid w:val="00D21CD8"/>
    <w:rsid w:val="00D2508B"/>
    <w:rsid w:val="00D257D6"/>
    <w:rsid w:val="00D31B37"/>
    <w:rsid w:val="00D32106"/>
    <w:rsid w:val="00D36356"/>
    <w:rsid w:val="00D36DA6"/>
    <w:rsid w:val="00D43C63"/>
    <w:rsid w:val="00D538B8"/>
    <w:rsid w:val="00D55C84"/>
    <w:rsid w:val="00D6330D"/>
    <w:rsid w:val="00D71906"/>
    <w:rsid w:val="00D72962"/>
    <w:rsid w:val="00D72E24"/>
    <w:rsid w:val="00D75674"/>
    <w:rsid w:val="00D76D30"/>
    <w:rsid w:val="00D80E0F"/>
    <w:rsid w:val="00D84FC9"/>
    <w:rsid w:val="00D85370"/>
    <w:rsid w:val="00D930E8"/>
    <w:rsid w:val="00DA0205"/>
    <w:rsid w:val="00DA6159"/>
    <w:rsid w:val="00DC171C"/>
    <w:rsid w:val="00DC2341"/>
    <w:rsid w:val="00DC7871"/>
    <w:rsid w:val="00DC7ABC"/>
    <w:rsid w:val="00DD3C67"/>
    <w:rsid w:val="00DD6B0A"/>
    <w:rsid w:val="00DE1169"/>
    <w:rsid w:val="00DE57E6"/>
    <w:rsid w:val="00DE5CF5"/>
    <w:rsid w:val="00DE6F64"/>
    <w:rsid w:val="00DF1B96"/>
    <w:rsid w:val="00DF630C"/>
    <w:rsid w:val="00E01F42"/>
    <w:rsid w:val="00E0478B"/>
    <w:rsid w:val="00E06F4E"/>
    <w:rsid w:val="00E10130"/>
    <w:rsid w:val="00E1396D"/>
    <w:rsid w:val="00E15C54"/>
    <w:rsid w:val="00E17474"/>
    <w:rsid w:val="00E27E65"/>
    <w:rsid w:val="00E30FDA"/>
    <w:rsid w:val="00E36AF4"/>
    <w:rsid w:val="00E41FB9"/>
    <w:rsid w:val="00E56FA4"/>
    <w:rsid w:val="00E622AD"/>
    <w:rsid w:val="00E637B1"/>
    <w:rsid w:val="00E649B5"/>
    <w:rsid w:val="00E853B7"/>
    <w:rsid w:val="00E86BD5"/>
    <w:rsid w:val="00E87C37"/>
    <w:rsid w:val="00E9293E"/>
    <w:rsid w:val="00E94314"/>
    <w:rsid w:val="00E95713"/>
    <w:rsid w:val="00E95DA7"/>
    <w:rsid w:val="00E96EFA"/>
    <w:rsid w:val="00EA087A"/>
    <w:rsid w:val="00EA6618"/>
    <w:rsid w:val="00EA77F0"/>
    <w:rsid w:val="00EB359E"/>
    <w:rsid w:val="00EB406B"/>
    <w:rsid w:val="00EB4AC8"/>
    <w:rsid w:val="00ED26D9"/>
    <w:rsid w:val="00ED6B92"/>
    <w:rsid w:val="00EE0619"/>
    <w:rsid w:val="00EE6162"/>
    <w:rsid w:val="00EF2CE5"/>
    <w:rsid w:val="00EF6A63"/>
    <w:rsid w:val="00F02016"/>
    <w:rsid w:val="00F119AD"/>
    <w:rsid w:val="00F13BF2"/>
    <w:rsid w:val="00F2420A"/>
    <w:rsid w:val="00F24CA8"/>
    <w:rsid w:val="00F2643D"/>
    <w:rsid w:val="00F269EE"/>
    <w:rsid w:val="00F334EA"/>
    <w:rsid w:val="00F437DD"/>
    <w:rsid w:val="00F43D37"/>
    <w:rsid w:val="00F5259F"/>
    <w:rsid w:val="00F527DC"/>
    <w:rsid w:val="00F5468C"/>
    <w:rsid w:val="00F562D5"/>
    <w:rsid w:val="00F60751"/>
    <w:rsid w:val="00F65939"/>
    <w:rsid w:val="00F6593B"/>
    <w:rsid w:val="00F6668F"/>
    <w:rsid w:val="00F67069"/>
    <w:rsid w:val="00F75023"/>
    <w:rsid w:val="00F75420"/>
    <w:rsid w:val="00F771D3"/>
    <w:rsid w:val="00F81FE4"/>
    <w:rsid w:val="00F8226B"/>
    <w:rsid w:val="00F900FB"/>
    <w:rsid w:val="00F90A46"/>
    <w:rsid w:val="00F966E9"/>
    <w:rsid w:val="00F96E3D"/>
    <w:rsid w:val="00F97B0B"/>
    <w:rsid w:val="00FA5BE7"/>
    <w:rsid w:val="00FA772E"/>
    <w:rsid w:val="00FB1261"/>
    <w:rsid w:val="00FB3403"/>
    <w:rsid w:val="00FB41F6"/>
    <w:rsid w:val="00FB4AE4"/>
    <w:rsid w:val="00FB501A"/>
    <w:rsid w:val="00FC23CE"/>
    <w:rsid w:val="00FC2719"/>
    <w:rsid w:val="00FC433D"/>
    <w:rsid w:val="00FD1AED"/>
    <w:rsid w:val="00FD2024"/>
    <w:rsid w:val="00FD2FFA"/>
    <w:rsid w:val="00FD307A"/>
    <w:rsid w:val="00FD3E99"/>
    <w:rsid w:val="00FE2562"/>
    <w:rsid w:val="00FE4893"/>
    <w:rsid w:val="00FF1549"/>
    <w:rsid w:val="00FF1782"/>
    <w:rsid w:val="00FF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AD"/>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AD"/>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2164021-0B81-4ED0-8757-5C6D76D40743}"/>
</file>

<file path=customXml/itemProps2.xml><?xml version="1.0" encoding="utf-8"?>
<ds:datastoreItem xmlns:ds="http://schemas.openxmlformats.org/officeDocument/2006/customXml" ds:itemID="{5BAEBF2F-E645-4FC4-AE60-995D8F5DE311}"/>
</file>

<file path=customXml/itemProps3.xml><?xml version="1.0" encoding="utf-8"?>
<ds:datastoreItem xmlns:ds="http://schemas.openxmlformats.org/officeDocument/2006/customXml" ds:itemID="{A5D855B3-F586-4C2E-ABAA-F5F582BB879F}"/>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10427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2014-05-09T06:44:00Z</cp:lastPrinted>
  <dcterms:created xsi:type="dcterms:W3CDTF">2014-05-16T08:58:00Z</dcterms:created>
  <dcterms:modified xsi:type="dcterms:W3CDTF">2014-05-16T08:58:00Z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122200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0x0101002493FC4C48176D4BA39FB2B3A58FDD54</vt:lpwstr>
  </property>
  <property fmtid="{D5CDD505-2E9C-101B-9397-08002B2CF9AE}" pid="7" name="_SourceUrl">
    <vt:lpwstr/>
  </property>
  <property fmtid="{D5CDD505-2E9C-101B-9397-08002B2CF9AE}" pid="8" name="_SharedFileIndex">
    <vt:lpwstr/>
  </property>
</Properties>
</file>