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E0A7" w14:textId="1C265589" w:rsidR="00AB3DEA" w:rsidRPr="005B080A" w:rsidRDefault="00AB3DEA" w:rsidP="00AB3DEA">
      <w:pPr>
        <w:jc w:val="center"/>
        <w:rPr>
          <w:rFonts w:ascii="Arial" w:hAnsi="Arial" w:cs="Arial"/>
          <w:b/>
          <w:sz w:val="24"/>
          <w:szCs w:val="24"/>
          <w:u w:val="single"/>
        </w:rPr>
      </w:pPr>
      <w:bookmarkStart w:id="0" w:name="_GoBack"/>
      <w:bookmarkEnd w:id="0"/>
      <w:r w:rsidRPr="005B080A">
        <w:rPr>
          <w:rFonts w:ascii="Arial" w:hAnsi="Arial" w:cs="Arial"/>
          <w:b/>
          <w:sz w:val="24"/>
          <w:szCs w:val="24"/>
          <w:u w:val="single"/>
        </w:rPr>
        <w:t>EMPLOYMENT RELATIONS TRIBUNAL</w:t>
      </w:r>
    </w:p>
    <w:p w14:paraId="68AC1AD1" w14:textId="77777777" w:rsidR="00AB3DEA" w:rsidRPr="005B080A" w:rsidRDefault="00215B54" w:rsidP="00AB3DEA">
      <w:pPr>
        <w:jc w:val="center"/>
        <w:rPr>
          <w:rFonts w:ascii="Arial" w:hAnsi="Arial" w:cs="Arial"/>
          <w:b/>
          <w:sz w:val="24"/>
          <w:szCs w:val="24"/>
        </w:rPr>
      </w:pPr>
      <w:r>
        <w:rPr>
          <w:rFonts w:ascii="Arial" w:hAnsi="Arial" w:cs="Arial"/>
          <w:b/>
          <w:sz w:val="24"/>
          <w:szCs w:val="24"/>
        </w:rPr>
        <w:t>AWARD</w:t>
      </w:r>
    </w:p>
    <w:p w14:paraId="2D8DADF3" w14:textId="5F07B99F"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2722F9">
        <w:rPr>
          <w:rFonts w:ascii="Arial" w:hAnsi="Arial" w:cs="Arial"/>
          <w:b/>
          <w:sz w:val="24"/>
          <w:szCs w:val="24"/>
        </w:rPr>
        <w:t>35</w:t>
      </w:r>
      <w:r w:rsidR="001F4404">
        <w:rPr>
          <w:rFonts w:ascii="Arial" w:hAnsi="Arial" w:cs="Arial"/>
          <w:b/>
          <w:sz w:val="24"/>
          <w:szCs w:val="24"/>
        </w:rPr>
        <w:t>/</w:t>
      </w:r>
      <w:r w:rsidR="00AA5942">
        <w:rPr>
          <w:rFonts w:ascii="Arial" w:hAnsi="Arial" w:cs="Arial"/>
          <w:b/>
          <w:sz w:val="24"/>
          <w:szCs w:val="24"/>
        </w:rPr>
        <w:t>2</w:t>
      </w:r>
      <w:r w:rsidR="002722F9">
        <w:rPr>
          <w:rFonts w:ascii="Arial" w:hAnsi="Arial" w:cs="Arial"/>
          <w:b/>
          <w:sz w:val="24"/>
          <w:szCs w:val="24"/>
        </w:rPr>
        <w:t>3</w:t>
      </w:r>
      <w:r w:rsidR="00097D74">
        <w:rPr>
          <w:rFonts w:ascii="Arial" w:hAnsi="Arial" w:cs="Arial"/>
          <w:b/>
          <w:sz w:val="24"/>
          <w:szCs w:val="24"/>
        </w:rPr>
        <w:t xml:space="preserve"> </w:t>
      </w:r>
    </w:p>
    <w:p w14:paraId="2F571DF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3C247826" w14:textId="77777777"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C4399B">
        <w:rPr>
          <w:rFonts w:ascii="Arial" w:hAnsi="Arial" w:cs="Arial"/>
          <w:b/>
          <w:sz w:val="24"/>
          <w:szCs w:val="24"/>
        </w:rPr>
        <w:t xml:space="preserve">Acting </w:t>
      </w:r>
      <w:r w:rsidRPr="005B080A">
        <w:rPr>
          <w:rFonts w:ascii="Arial" w:hAnsi="Arial" w:cs="Arial"/>
          <w:b/>
          <w:sz w:val="24"/>
          <w:szCs w:val="24"/>
        </w:rPr>
        <w:t>President</w:t>
      </w:r>
    </w:p>
    <w:p w14:paraId="5E221C39" w14:textId="252A1C56" w:rsidR="00AB3DEA" w:rsidRPr="005B080A" w:rsidRDefault="00533D4A" w:rsidP="00AB3DEA">
      <w:pPr>
        <w:ind w:left="1440" w:firstLine="720"/>
        <w:jc w:val="both"/>
        <w:rPr>
          <w:rFonts w:ascii="Arial" w:hAnsi="Arial" w:cs="Arial"/>
          <w:b/>
          <w:sz w:val="24"/>
          <w:szCs w:val="24"/>
        </w:rPr>
      </w:pPr>
      <w:r>
        <w:rPr>
          <w:rFonts w:ascii="Arial" w:hAnsi="Arial" w:cs="Arial"/>
          <w:b/>
          <w:sz w:val="24"/>
          <w:szCs w:val="24"/>
        </w:rPr>
        <w:t>Raffick Hossenbaccus</w:t>
      </w:r>
      <w:r>
        <w:rPr>
          <w:rFonts w:ascii="Arial" w:hAnsi="Arial" w:cs="Arial"/>
          <w:b/>
          <w:sz w:val="24"/>
          <w:szCs w:val="24"/>
        </w:rPr>
        <w:tab/>
      </w:r>
      <w:r w:rsidR="00B74867">
        <w:rPr>
          <w:rFonts w:ascii="Arial" w:hAnsi="Arial" w:cs="Arial"/>
          <w:b/>
          <w:sz w:val="24"/>
          <w:szCs w:val="24"/>
        </w:rPr>
        <w:tab/>
      </w:r>
      <w:r w:rsidR="00AB3DEA">
        <w:rPr>
          <w:rFonts w:ascii="Arial" w:hAnsi="Arial" w:cs="Arial"/>
          <w:b/>
          <w:sz w:val="24"/>
          <w:szCs w:val="24"/>
        </w:rPr>
        <w:t>M</w:t>
      </w:r>
      <w:r w:rsidR="00AB3DEA" w:rsidRPr="005B080A">
        <w:rPr>
          <w:rFonts w:ascii="Arial" w:hAnsi="Arial" w:cs="Arial"/>
          <w:b/>
          <w:sz w:val="24"/>
          <w:szCs w:val="24"/>
        </w:rPr>
        <w:t>ember</w:t>
      </w:r>
    </w:p>
    <w:p w14:paraId="5DA1AF6A" w14:textId="181EA169" w:rsidR="00AB3DEA" w:rsidRPr="005B080A" w:rsidRDefault="002722F9" w:rsidP="00AB3DEA">
      <w:pPr>
        <w:ind w:left="1440" w:firstLine="720"/>
        <w:jc w:val="both"/>
        <w:rPr>
          <w:rFonts w:ascii="Arial" w:hAnsi="Arial" w:cs="Arial"/>
          <w:b/>
          <w:sz w:val="24"/>
          <w:szCs w:val="24"/>
        </w:rPr>
      </w:pPr>
      <w:r>
        <w:rPr>
          <w:rFonts w:ascii="Arial" w:hAnsi="Arial" w:cs="Arial"/>
          <w:b/>
          <w:sz w:val="24"/>
          <w:szCs w:val="24"/>
        </w:rPr>
        <w:t>Rabin Gungoo</w:t>
      </w:r>
      <w:r>
        <w:rPr>
          <w:rFonts w:ascii="Arial" w:hAnsi="Arial" w:cs="Arial"/>
          <w:b/>
          <w:sz w:val="24"/>
          <w:szCs w:val="24"/>
        </w:rPr>
        <w:tab/>
      </w:r>
      <w:r w:rsidR="001F4404">
        <w:rPr>
          <w:rFonts w:ascii="Arial" w:hAnsi="Arial" w:cs="Arial"/>
          <w:b/>
          <w:sz w:val="24"/>
          <w:szCs w:val="24"/>
        </w:rPr>
        <w:tab/>
      </w:r>
      <w:r w:rsidR="00AB3DEA" w:rsidRPr="005B080A">
        <w:rPr>
          <w:rFonts w:ascii="Arial" w:hAnsi="Arial" w:cs="Arial"/>
          <w:b/>
          <w:sz w:val="24"/>
          <w:szCs w:val="24"/>
        </w:rPr>
        <w:tab/>
        <w:t>Member</w:t>
      </w:r>
    </w:p>
    <w:p w14:paraId="1ED36740" w14:textId="17E095CE"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sidR="004038E3">
        <w:rPr>
          <w:rFonts w:ascii="Arial" w:hAnsi="Arial" w:cs="Arial"/>
          <w:b/>
          <w:sz w:val="24"/>
          <w:szCs w:val="24"/>
        </w:rPr>
        <w:t xml:space="preserve"> </w:t>
      </w:r>
      <w:r w:rsidR="00303FC4">
        <w:rPr>
          <w:rFonts w:ascii="Arial" w:hAnsi="Arial" w:cs="Arial"/>
          <w:b/>
          <w:sz w:val="24"/>
          <w:szCs w:val="24"/>
        </w:rPr>
        <w:t xml:space="preserve"> </w:t>
      </w:r>
      <w:r w:rsidR="004038E3">
        <w:rPr>
          <w:rFonts w:ascii="Arial" w:hAnsi="Arial" w:cs="Arial"/>
          <w:b/>
          <w:sz w:val="24"/>
          <w:szCs w:val="24"/>
        </w:rPr>
        <w:t xml:space="preserve"> </w:t>
      </w:r>
      <w:r w:rsidR="00793FBD">
        <w:rPr>
          <w:rFonts w:ascii="Arial" w:hAnsi="Arial" w:cs="Arial"/>
          <w:b/>
          <w:sz w:val="24"/>
          <w:szCs w:val="24"/>
        </w:rPr>
        <w:t>Parmeshwar Burosee</w:t>
      </w:r>
      <w:r w:rsidR="00C31717">
        <w:rPr>
          <w:rFonts w:ascii="Arial" w:hAnsi="Arial" w:cs="Arial"/>
          <w:b/>
          <w:sz w:val="24"/>
          <w:szCs w:val="24"/>
        </w:rPr>
        <w:tab/>
      </w:r>
      <w:r>
        <w:rPr>
          <w:rFonts w:ascii="Arial" w:hAnsi="Arial" w:cs="Arial"/>
          <w:b/>
          <w:sz w:val="24"/>
          <w:szCs w:val="24"/>
        </w:rPr>
        <w:t xml:space="preserve"> </w:t>
      </w:r>
      <w:r w:rsidR="00AA1FE5">
        <w:rPr>
          <w:rFonts w:ascii="Arial" w:hAnsi="Arial" w:cs="Arial"/>
          <w:b/>
          <w:sz w:val="24"/>
          <w:szCs w:val="24"/>
        </w:rPr>
        <w:t xml:space="preserve">     </w:t>
      </w:r>
      <w:r w:rsidRPr="005B080A">
        <w:rPr>
          <w:rFonts w:ascii="Arial" w:hAnsi="Arial" w:cs="Arial"/>
          <w:b/>
          <w:sz w:val="24"/>
          <w:szCs w:val="24"/>
        </w:rPr>
        <w:t xml:space="preserve">     Member</w:t>
      </w:r>
    </w:p>
    <w:p w14:paraId="745A965A" w14:textId="77777777" w:rsidR="00033442" w:rsidRDefault="00033442" w:rsidP="00AB3DEA">
      <w:pPr>
        <w:rPr>
          <w:rFonts w:ascii="Arial" w:hAnsi="Arial" w:cs="Arial"/>
          <w:b/>
          <w:sz w:val="24"/>
          <w:szCs w:val="24"/>
        </w:rPr>
      </w:pPr>
    </w:p>
    <w:p w14:paraId="34BE4106" w14:textId="77777777"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14:paraId="01D14412" w14:textId="51DFE7DB" w:rsidR="00AB3DEA" w:rsidRPr="005B080A" w:rsidRDefault="00533D4A" w:rsidP="00AB3DEA">
      <w:pPr>
        <w:ind w:firstLine="720"/>
        <w:jc w:val="center"/>
        <w:rPr>
          <w:rFonts w:ascii="Arial" w:hAnsi="Arial" w:cs="Arial"/>
          <w:b/>
          <w:sz w:val="24"/>
          <w:szCs w:val="24"/>
        </w:rPr>
      </w:pPr>
      <w:r>
        <w:rPr>
          <w:rFonts w:ascii="Arial" w:hAnsi="Arial" w:cs="Arial"/>
          <w:b/>
          <w:sz w:val="24"/>
          <w:szCs w:val="24"/>
        </w:rPr>
        <w:t xml:space="preserve">Mr </w:t>
      </w:r>
      <w:r w:rsidR="002722F9">
        <w:rPr>
          <w:rFonts w:ascii="Arial" w:hAnsi="Arial" w:cs="Arial"/>
          <w:b/>
          <w:sz w:val="24"/>
          <w:szCs w:val="24"/>
        </w:rPr>
        <w:t>Rookam Jadoo</w:t>
      </w:r>
      <w:r w:rsidR="00AB3DEA" w:rsidRPr="005B080A">
        <w:rPr>
          <w:rFonts w:ascii="Arial" w:hAnsi="Arial" w:cs="Arial"/>
          <w:b/>
          <w:sz w:val="24"/>
          <w:szCs w:val="24"/>
        </w:rPr>
        <w:t xml:space="preserve"> (</w:t>
      </w:r>
      <w:r w:rsidR="00FB39E3">
        <w:rPr>
          <w:rFonts w:ascii="Arial" w:hAnsi="Arial" w:cs="Arial"/>
          <w:b/>
          <w:sz w:val="24"/>
          <w:szCs w:val="24"/>
        </w:rPr>
        <w:t>Disputant</w:t>
      </w:r>
      <w:r w:rsidR="00AB3DEA" w:rsidRPr="005B080A">
        <w:rPr>
          <w:rFonts w:ascii="Arial" w:hAnsi="Arial" w:cs="Arial"/>
          <w:b/>
          <w:sz w:val="24"/>
          <w:szCs w:val="24"/>
        </w:rPr>
        <w:t>)</w:t>
      </w:r>
    </w:p>
    <w:p w14:paraId="542D258E"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63068936" w14:textId="0238A34D" w:rsidR="00AB3DEA" w:rsidRDefault="002722F9" w:rsidP="00AB3DEA">
      <w:pPr>
        <w:ind w:left="1440" w:firstLine="720"/>
        <w:jc w:val="center"/>
        <w:rPr>
          <w:rFonts w:ascii="Arial" w:hAnsi="Arial" w:cs="Arial"/>
          <w:b/>
          <w:sz w:val="28"/>
          <w:szCs w:val="28"/>
        </w:rPr>
      </w:pPr>
      <w:r>
        <w:rPr>
          <w:rFonts w:ascii="Arial" w:hAnsi="Arial" w:cs="Arial"/>
          <w:b/>
          <w:sz w:val="24"/>
          <w:szCs w:val="24"/>
        </w:rPr>
        <w:t>Private Secondary Education Authority</w:t>
      </w:r>
      <w:r w:rsidR="00533D4A">
        <w:rPr>
          <w:rFonts w:ascii="Arial" w:hAnsi="Arial" w:cs="Arial"/>
          <w:b/>
          <w:sz w:val="24"/>
          <w:szCs w:val="24"/>
        </w:rPr>
        <w:t xml:space="preserve"> </w:t>
      </w:r>
      <w:r w:rsidR="00DB182F">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2505EAFF" w14:textId="77777777" w:rsidR="00793FBD" w:rsidRDefault="00793FBD" w:rsidP="005655EC">
      <w:pPr>
        <w:jc w:val="both"/>
        <w:rPr>
          <w:rFonts w:ascii="Arial" w:hAnsi="Arial" w:cs="Arial"/>
          <w:sz w:val="24"/>
          <w:szCs w:val="24"/>
        </w:rPr>
      </w:pPr>
    </w:p>
    <w:p w14:paraId="58089533" w14:textId="44484EDA" w:rsidR="005655EC" w:rsidRDefault="005655EC" w:rsidP="005655EC">
      <w:pPr>
        <w:jc w:val="both"/>
        <w:rPr>
          <w:rFonts w:ascii="Arial" w:hAnsi="Arial" w:cs="Arial"/>
          <w:sz w:val="24"/>
          <w:szCs w:val="24"/>
        </w:rPr>
      </w:pPr>
      <w:r w:rsidRPr="00FB39E3">
        <w:rPr>
          <w:rFonts w:ascii="Arial" w:hAnsi="Arial" w:cs="Arial"/>
          <w:sz w:val="24"/>
          <w:szCs w:val="24"/>
        </w:rPr>
        <w:t xml:space="preserve">The </w:t>
      </w:r>
      <w:r>
        <w:rPr>
          <w:rFonts w:ascii="Arial" w:hAnsi="Arial" w:cs="Arial"/>
          <w:sz w:val="24"/>
          <w:szCs w:val="24"/>
        </w:rPr>
        <w:t>above</w:t>
      </w:r>
      <w:r w:rsidRPr="00FB39E3">
        <w:rPr>
          <w:rFonts w:ascii="Arial" w:hAnsi="Arial" w:cs="Arial"/>
          <w:sz w:val="24"/>
          <w:szCs w:val="24"/>
        </w:rPr>
        <w:t xml:space="preserve"> </w:t>
      </w:r>
      <w:r>
        <w:rPr>
          <w:rFonts w:ascii="Arial" w:hAnsi="Arial" w:cs="Arial"/>
          <w:sz w:val="24"/>
          <w:szCs w:val="24"/>
        </w:rPr>
        <w:t>case</w:t>
      </w:r>
      <w:r w:rsidRPr="00FB39E3">
        <w:rPr>
          <w:rFonts w:ascii="Arial" w:hAnsi="Arial" w:cs="Arial"/>
          <w:sz w:val="24"/>
          <w:szCs w:val="24"/>
        </w:rPr>
        <w:t xml:space="preserve"> ha</w:t>
      </w:r>
      <w:r>
        <w:rPr>
          <w:rFonts w:ascii="Arial" w:hAnsi="Arial" w:cs="Arial"/>
          <w:sz w:val="24"/>
          <w:szCs w:val="24"/>
        </w:rPr>
        <w:t>s</w:t>
      </w:r>
      <w:r w:rsidRPr="00FB39E3">
        <w:rPr>
          <w:rFonts w:ascii="Arial" w:hAnsi="Arial" w:cs="Arial"/>
          <w:sz w:val="24"/>
          <w:szCs w:val="24"/>
        </w:rPr>
        <w:t xml:space="preserve"> been referred to the Tribunal by the Commission for Conciliation and Mediation under Section </w:t>
      </w:r>
      <w:r w:rsidR="008754D6">
        <w:rPr>
          <w:rFonts w:ascii="Arial" w:hAnsi="Arial" w:cs="Arial"/>
          <w:sz w:val="24"/>
          <w:szCs w:val="24"/>
        </w:rPr>
        <w:t>69</w:t>
      </w:r>
      <w:r w:rsidRPr="00FB39E3">
        <w:rPr>
          <w:rFonts w:ascii="Arial" w:hAnsi="Arial" w:cs="Arial"/>
          <w:sz w:val="24"/>
          <w:szCs w:val="24"/>
        </w:rPr>
        <w:t>(</w:t>
      </w:r>
      <w:r w:rsidR="008754D6">
        <w:rPr>
          <w:rFonts w:ascii="Arial" w:hAnsi="Arial" w:cs="Arial"/>
          <w:sz w:val="24"/>
          <w:szCs w:val="24"/>
        </w:rPr>
        <w:t>9</w:t>
      </w:r>
      <w:r w:rsidRPr="00FB39E3">
        <w:rPr>
          <w:rFonts w:ascii="Arial" w:hAnsi="Arial" w:cs="Arial"/>
          <w:sz w:val="24"/>
          <w:szCs w:val="24"/>
        </w:rPr>
        <w:t>)</w:t>
      </w:r>
      <w:r w:rsidR="008754D6">
        <w:rPr>
          <w:rFonts w:ascii="Arial" w:hAnsi="Arial" w:cs="Arial"/>
          <w:sz w:val="24"/>
          <w:szCs w:val="24"/>
        </w:rPr>
        <w:t>(b)</w:t>
      </w:r>
      <w:r w:rsidRPr="00FB39E3">
        <w:rPr>
          <w:rFonts w:ascii="Arial" w:hAnsi="Arial" w:cs="Arial"/>
          <w:sz w:val="24"/>
          <w:szCs w:val="24"/>
        </w:rPr>
        <w:t xml:space="preserve"> of the Employment Relations Act</w:t>
      </w:r>
      <w:r>
        <w:rPr>
          <w:rFonts w:ascii="Arial" w:hAnsi="Arial" w:cs="Arial"/>
          <w:sz w:val="24"/>
          <w:szCs w:val="24"/>
        </w:rPr>
        <w:t>, as amended</w:t>
      </w:r>
      <w:r w:rsidRPr="00FB39E3">
        <w:rPr>
          <w:rFonts w:ascii="Arial" w:hAnsi="Arial" w:cs="Arial"/>
          <w:sz w:val="24"/>
          <w:szCs w:val="24"/>
        </w:rPr>
        <w:t xml:space="preserve"> (hereinafter referred to as “the Act”). </w:t>
      </w:r>
      <w:r>
        <w:rPr>
          <w:rFonts w:ascii="Arial" w:hAnsi="Arial" w:cs="Arial"/>
          <w:sz w:val="24"/>
          <w:szCs w:val="24"/>
        </w:rPr>
        <w:t xml:space="preserve"> </w:t>
      </w:r>
      <w:r w:rsidR="00533D4A">
        <w:rPr>
          <w:rFonts w:ascii="Arial" w:hAnsi="Arial" w:cs="Arial"/>
          <w:sz w:val="24"/>
          <w:szCs w:val="24"/>
        </w:rPr>
        <w:t>Both parties were</w:t>
      </w:r>
      <w:r w:rsidR="00290BDA">
        <w:rPr>
          <w:rFonts w:ascii="Arial" w:hAnsi="Arial" w:cs="Arial"/>
          <w:sz w:val="24"/>
          <w:szCs w:val="24"/>
        </w:rPr>
        <w:t xml:space="preserve"> assisted </w:t>
      </w:r>
      <w:r w:rsidR="00625C6D">
        <w:rPr>
          <w:rFonts w:ascii="Arial" w:hAnsi="Arial" w:cs="Arial"/>
          <w:sz w:val="24"/>
          <w:szCs w:val="24"/>
        </w:rPr>
        <w:t xml:space="preserve">by </w:t>
      </w:r>
      <w:r>
        <w:rPr>
          <w:rFonts w:ascii="Arial" w:hAnsi="Arial" w:cs="Arial"/>
          <w:sz w:val="24"/>
          <w:szCs w:val="24"/>
        </w:rPr>
        <w:t>Counsel</w:t>
      </w:r>
      <w:r w:rsidR="00533D4A">
        <w:rPr>
          <w:rFonts w:ascii="Arial" w:hAnsi="Arial" w:cs="Arial"/>
          <w:sz w:val="24"/>
          <w:szCs w:val="24"/>
        </w:rPr>
        <w:t>.</w:t>
      </w:r>
      <w:r w:rsidR="00FD5EFB">
        <w:rPr>
          <w:rFonts w:ascii="Arial" w:hAnsi="Arial" w:cs="Arial"/>
          <w:sz w:val="24"/>
          <w:szCs w:val="24"/>
        </w:rPr>
        <w:t xml:space="preserve">  </w:t>
      </w:r>
      <w:r w:rsidRPr="00FB39E3">
        <w:rPr>
          <w:rFonts w:ascii="Arial" w:hAnsi="Arial" w:cs="Arial"/>
          <w:sz w:val="24"/>
          <w:szCs w:val="24"/>
        </w:rPr>
        <w:t xml:space="preserve">The terms of reference </w:t>
      </w:r>
      <w:r>
        <w:rPr>
          <w:rFonts w:ascii="Arial" w:hAnsi="Arial" w:cs="Arial"/>
          <w:sz w:val="24"/>
          <w:szCs w:val="24"/>
        </w:rPr>
        <w:t xml:space="preserve">of the point in dispute read as </w:t>
      </w:r>
      <w:r w:rsidRPr="00FB39E3">
        <w:rPr>
          <w:rFonts w:ascii="Arial" w:hAnsi="Arial" w:cs="Arial"/>
          <w:sz w:val="24"/>
          <w:szCs w:val="24"/>
        </w:rPr>
        <w:t xml:space="preserve">follows: </w:t>
      </w:r>
    </w:p>
    <w:p w14:paraId="46560D87" w14:textId="0E280551" w:rsidR="00533D4A" w:rsidRPr="0079275B" w:rsidRDefault="00533D4A" w:rsidP="0079275B">
      <w:pPr>
        <w:ind w:left="142" w:hanging="142"/>
        <w:jc w:val="both"/>
        <w:rPr>
          <w:rFonts w:ascii="Arial" w:hAnsi="Arial" w:cs="Arial"/>
          <w:i/>
          <w:sz w:val="24"/>
          <w:szCs w:val="24"/>
        </w:rPr>
      </w:pPr>
      <w:r w:rsidRPr="0079275B">
        <w:rPr>
          <w:rFonts w:ascii="Arial" w:hAnsi="Arial" w:cs="Arial"/>
          <w:i/>
          <w:sz w:val="24"/>
          <w:szCs w:val="24"/>
        </w:rPr>
        <w:t>“</w:t>
      </w:r>
      <w:r w:rsidR="00FD45FE">
        <w:rPr>
          <w:rFonts w:ascii="Arial" w:hAnsi="Arial" w:cs="Arial"/>
          <w:i/>
          <w:sz w:val="24"/>
          <w:szCs w:val="24"/>
        </w:rPr>
        <w:t>Whether I should be paid a monthly travel grant of Rs 7250 for period 15.12.17 to 14.06.19 and end-of-year bonus for period 01.01.19 to 14.06.19.</w:t>
      </w:r>
      <w:r w:rsidR="0079275B" w:rsidRPr="0079275B">
        <w:rPr>
          <w:rFonts w:ascii="Arial" w:hAnsi="Arial" w:cs="Arial"/>
          <w:i/>
          <w:sz w:val="24"/>
          <w:szCs w:val="24"/>
        </w:rPr>
        <w:t xml:space="preserve">” </w:t>
      </w:r>
    </w:p>
    <w:p w14:paraId="4F550B9E" w14:textId="77777777" w:rsidR="00FD45FE" w:rsidRDefault="00FD45FE" w:rsidP="00215B54">
      <w:pPr>
        <w:jc w:val="both"/>
        <w:rPr>
          <w:rFonts w:ascii="Arial" w:hAnsi="Arial" w:cs="Arial"/>
          <w:sz w:val="24"/>
          <w:szCs w:val="24"/>
        </w:rPr>
      </w:pPr>
      <w:r>
        <w:rPr>
          <w:rFonts w:ascii="Arial" w:hAnsi="Arial" w:cs="Arial"/>
          <w:sz w:val="24"/>
          <w:szCs w:val="24"/>
        </w:rPr>
        <w:t xml:space="preserve">The Respondent has taken a preliminary objection in law in the present matter but Counsel for Respondent has informed the Tribunal that same was going to be taken with the merits of the case.  The Tribunal has thus heard all the evidence in the present matter and the submissions of both counsel.  The Tribunal proposes to deal with the preliminary objection first and it reads as follows: </w:t>
      </w:r>
    </w:p>
    <w:p w14:paraId="2EA6BF6F" w14:textId="4CC99EFD" w:rsidR="0079275B" w:rsidRDefault="00FD45FE" w:rsidP="00215B54">
      <w:pPr>
        <w:jc w:val="both"/>
        <w:rPr>
          <w:rFonts w:ascii="Arial" w:hAnsi="Arial" w:cs="Arial"/>
          <w:sz w:val="24"/>
          <w:szCs w:val="24"/>
        </w:rPr>
      </w:pPr>
      <w:r>
        <w:rPr>
          <w:rFonts w:ascii="Arial" w:hAnsi="Arial" w:cs="Arial"/>
          <w:sz w:val="24"/>
          <w:szCs w:val="24"/>
        </w:rPr>
        <w:t>“</w:t>
      </w:r>
      <w:r w:rsidRPr="00FD45FE">
        <w:rPr>
          <w:rFonts w:ascii="Arial" w:hAnsi="Arial" w:cs="Arial"/>
          <w:i/>
          <w:sz w:val="24"/>
          <w:szCs w:val="24"/>
        </w:rPr>
        <w:t>Respondent moves that the present dispute be set aside inasmuch as it has been made outside delay</w:t>
      </w:r>
      <w:r>
        <w:rPr>
          <w:rFonts w:ascii="Arial" w:hAnsi="Arial" w:cs="Arial"/>
          <w:sz w:val="24"/>
          <w:szCs w:val="24"/>
        </w:rPr>
        <w:t xml:space="preserve">.”  </w:t>
      </w:r>
    </w:p>
    <w:p w14:paraId="65EC0740" w14:textId="77777777" w:rsidR="00AF5E71" w:rsidRDefault="00FD45FE" w:rsidP="00215B54">
      <w:pPr>
        <w:jc w:val="both"/>
        <w:rPr>
          <w:rFonts w:ascii="Arial" w:hAnsi="Arial" w:cs="Arial"/>
          <w:sz w:val="24"/>
          <w:szCs w:val="24"/>
        </w:rPr>
      </w:pPr>
      <w:r>
        <w:rPr>
          <w:rFonts w:ascii="Arial" w:hAnsi="Arial" w:cs="Arial"/>
          <w:sz w:val="24"/>
          <w:szCs w:val="24"/>
        </w:rPr>
        <w:lastRenderedPageBreak/>
        <w:t xml:space="preserve">The present dispute as per the referral letter from the Commission for Conciliation and Mediation (CCM) has been reported to the President of the CCM on 17 February 2021.  </w:t>
      </w:r>
      <w:r w:rsidR="00AF5E71">
        <w:rPr>
          <w:rFonts w:ascii="Arial" w:hAnsi="Arial" w:cs="Arial"/>
          <w:sz w:val="24"/>
          <w:szCs w:val="24"/>
        </w:rPr>
        <w:t>“Labour dispute” is defined at Section 2 of the Act as follows:</w:t>
      </w:r>
    </w:p>
    <w:p w14:paraId="2989B4D3" w14:textId="77777777" w:rsidR="00551A49" w:rsidRDefault="00551A49" w:rsidP="00551A49">
      <w:pPr>
        <w:spacing w:after="0" w:line="240" w:lineRule="auto"/>
        <w:rPr>
          <w:rFonts w:ascii="Arial" w:eastAsia="Times New Roman" w:hAnsi="Arial" w:cs="Arial"/>
          <w:i/>
          <w:color w:val="000000"/>
          <w:sz w:val="24"/>
          <w:szCs w:val="24"/>
          <w:lang w:val="en-GB" w:eastAsia="en-GB"/>
        </w:rPr>
      </w:pPr>
      <w:r w:rsidRPr="00551A49">
        <w:rPr>
          <w:rFonts w:ascii="Arial" w:eastAsia="Times New Roman" w:hAnsi="Arial" w:cs="Arial"/>
          <w:i/>
          <w:color w:val="000000"/>
          <w:sz w:val="24"/>
          <w:szCs w:val="24"/>
          <w:lang w:val="en-GB" w:eastAsia="en-GB"/>
        </w:rPr>
        <w:t>“labour dispute” –</w:t>
      </w:r>
    </w:p>
    <w:p w14:paraId="4FF0E37B" w14:textId="77777777" w:rsidR="00551A49" w:rsidRDefault="00551A49" w:rsidP="00551A49">
      <w:pPr>
        <w:spacing w:after="0" w:line="240" w:lineRule="auto"/>
        <w:rPr>
          <w:rFonts w:ascii="Arial" w:eastAsia="Times New Roman" w:hAnsi="Arial" w:cs="Arial"/>
          <w:i/>
          <w:color w:val="000000"/>
          <w:sz w:val="24"/>
          <w:szCs w:val="24"/>
          <w:lang w:val="en-GB" w:eastAsia="en-GB"/>
        </w:rPr>
      </w:pPr>
    </w:p>
    <w:p w14:paraId="6753D420" w14:textId="0C6B604C" w:rsidR="00551A49" w:rsidRPr="00551A49" w:rsidRDefault="00551A49" w:rsidP="00EB093E">
      <w:pPr>
        <w:pStyle w:val="ListParagraph"/>
        <w:numPr>
          <w:ilvl w:val="0"/>
          <w:numId w:val="25"/>
        </w:numPr>
        <w:spacing w:after="0" w:line="240" w:lineRule="auto"/>
        <w:jc w:val="both"/>
        <w:rPr>
          <w:rFonts w:ascii="Arial" w:eastAsia="Times New Roman" w:hAnsi="Arial" w:cs="Arial"/>
          <w:i/>
          <w:color w:val="000000"/>
          <w:sz w:val="24"/>
          <w:szCs w:val="24"/>
          <w:lang w:val="en-GB" w:eastAsia="en-GB"/>
        </w:rPr>
      </w:pPr>
      <w:r w:rsidRPr="00551A49">
        <w:rPr>
          <w:rFonts w:ascii="Arial" w:eastAsia="Times New Roman" w:hAnsi="Arial" w:cs="Arial"/>
          <w:i/>
          <w:color w:val="000000"/>
          <w:sz w:val="24"/>
          <w:szCs w:val="24"/>
          <w:lang w:val="en-GB" w:eastAsia="en-GB"/>
        </w:rPr>
        <w:t>means  a  dispute  between  a  worker,  a  recognised  trade  union  of workers or a joint negotiating panel, and an employer which relates wholly or mainly to –</w:t>
      </w:r>
    </w:p>
    <w:p w14:paraId="20405B83" w14:textId="77777777" w:rsidR="00551A49" w:rsidRDefault="00551A49" w:rsidP="00551A49">
      <w:pPr>
        <w:spacing w:after="0" w:line="240" w:lineRule="auto"/>
        <w:ind w:left="426" w:firstLine="294"/>
        <w:rPr>
          <w:rFonts w:ascii="Arial" w:eastAsia="Times New Roman" w:hAnsi="Arial" w:cs="Arial"/>
          <w:i/>
          <w:color w:val="000000"/>
          <w:sz w:val="24"/>
          <w:szCs w:val="24"/>
          <w:lang w:val="en-GB" w:eastAsia="en-GB"/>
        </w:rPr>
      </w:pPr>
    </w:p>
    <w:p w14:paraId="43999B04" w14:textId="3E4C8A1E" w:rsidR="00551A49" w:rsidRDefault="00551A49" w:rsidP="00EB093E">
      <w:pPr>
        <w:spacing w:after="0" w:line="240" w:lineRule="auto"/>
        <w:ind w:left="1276" w:hanging="283"/>
        <w:rPr>
          <w:rFonts w:ascii="Arial" w:eastAsia="Times New Roman" w:hAnsi="Arial" w:cs="Arial"/>
          <w:i/>
          <w:color w:val="000000"/>
          <w:sz w:val="24"/>
          <w:szCs w:val="24"/>
          <w:lang w:val="en-GB" w:eastAsia="en-GB"/>
        </w:rPr>
      </w:pPr>
      <w:r w:rsidRPr="00551A49">
        <w:rPr>
          <w:rFonts w:ascii="Arial" w:eastAsia="Times New Roman" w:hAnsi="Arial" w:cs="Arial"/>
          <w:i/>
          <w:color w:val="000000"/>
          <w:sz w:val="24"/>
          <w:szCs w:val="24"/>
          <w:lang w:val="en-GB" w:eastAsia="en-GB"/>
        </w:rPr>
        <w:t>(i)</w:t>
      </w:r>
      <w:r w:rsidR="00EB093E">
        <w:rPr>
          <w:rFonts w:ascii="Arial" w:eastAsia="Times New Roman" w:hAnsi="Arial" w:cs="Arial"/>
          <w:i/>
          <w:color w:val="000000"/>
          <w:sz w:val="24"/>
          <w:szCs w:val="24"/>
          <w:lang w:val="en-GB" w:eastAsia="en-GB"/>
        </w:rPr>
        <w:t xml:space="preserve"> </w:t>
      </w:r>
      <w:r w:rsidRPr="00551A49">
        <w:rPr>
          <w:rFonts w:ascii="Arial" w:eastAsia="Times New Roman" w:hAnsi="Arial" w:cs="Arial"/>
          <w:i/>
          <w:color w:val="000000"/>
          <w:sz w:val="24"/>
          <w:szCs w:val="24"/>
          <w:lang w:val="en-GB" w:eastAsia="en-GB"/>
        </w:rPr>
        <w:t>the  wages,  terms  and  conditions  of  employment  of,  promotion  of,  or allocation of work to, a worker or group of workers;</w:t>
      </w:r>
    </w:p>
    <w:p w14:paraId="239AB386" w14:textId="77777777" w:rsidR="00551A49" w:rsidRDefault="00551A49" w:rsidP="00551A49">
      <w:pPr>
        <w:spacing w:after="0" w:line="240" w:lineRule="auto"/>
        <w:ind w:left="993" w:firstLine="141"/>
        <w:rPr>
          <w:rFonts w:ascii="Arial" w:eastAsia="Times New Roman" w:hAnsi="Arial" w:cs="Arial"/>
          <w:i/>
          <w:color w:val="000000"/>
          <w:sz w:val="24"/>
          <w:szCs w:val="24"/>
          <w:lang w:val="en-GB" w:eastAsia="en-GB"/>
        </w:rPr>
      </w:pPr>
    </w:p>
    <w:p w14:paraId="27A9A033" w14:textId="77777777" w:rsidR="00551A49" w:rsidRDefault="00551A49" w:rsidP="00551A49">
      <w:pPr>
        <w:spacing w:after="0" w:line="240" w:lineRule="auto"/>
        <w:ind w:firstLine="993"/>
        <w:rPr>
          <w:rFonts w:ascii="Arial" w:eastAsia="Times New Roman" w:hAnsi="Arial" w:cs="Arial"/>
          <w:i/>
          <w:color w:val="000000"/>
          <w:sz w:val="24"/>
          <w:szCs w:val="24"/>
          <w:lang w:val="en-GB" w:eastAsia="en-GB"/>
        </w:rPr>
      </w:pPr>
      <w:r w:rsidRPr="00551A49">
        <w:rPr>
          <w:rFonts w:ascii="Arial" w:eastAsia="Times New Roman" w:hAnsi="Arial" w:cs="Arial"/>
          <w:i/>
          <w:color w:val="000000"/>
          <w:sz w:val="24"/>
          <w:szCs w:val="24"/>
          <w:lang w:val="en-GB" w:eastAsia="en-GB"/>
        </w:rPr>
        <w:t>(ii)</w:t>
      </w:r>
      <w:r>
        <w:rPr>
          <w:rFonts w:ascii="Arial" w:eastAsia="Times New Roman" w:hAnsi="Arial" w:cs="Arial"/>
          <w:i/>
          <w:color w:val="000000"/>
          <w:sz w:val="24"/>
          <w:szCs w:val="24"/>
          <w:lang w:val="en-GB" w:eastAsia="en-GB"/>
        </w:rPr>
        <w:t xml:space="preserve"> …</w:t>
      </w:r>
    </w:p>
    <w:p w14:paraId="522D8446" w14:textId="77777777" w:rsidR="00551A49" w:rsidRDefault="00551A49" w:rsidP="00551A49">
      <w:pPr>
        <w:spacing w:after="0" w:line="240" w:lineRule="auto"/>
        <w:ind w:firstLine="993"/>
        <w:rPr>
          <w:rFonts w:ascii="Arial" w:eastAsia="Times New Roman" w:hAnsi="Arial" w:cs="Arial"/>
          <w:i/>
          <w:color w:val="000000"/>
          <w:sz w:val="24"/>
          <w:szCs w:val="24"/>
          <w:lang w:val="en-GB" w:eastAsia="en-GB"/>
        </w:rPr>
      </w:pPr>
    </w:p>
    <w:p w14:paraId="068C9444" w14:textId="77777777" w:rsidR="00E863F7" w:rsidRDefault="00E863F7" w:rsidP="00E863F7">
      <w:pPr>
        <w:pStyle w:val="ListParagraph"/>
        <w:numPr>
          <w:ilvl w:val="0"/>
          <w:numId w:val="25"/>
        </w:numPr>
        <w:spacing w:after="0" w:line="240" w:lineRule="auto"/>
        <w:jc w:val="both"/>
        <w:rPr>
          <w:rFonts w:ascii="Arial" w:eastAsia="Times New Roman" w:hAnsi="Arial" w:cs="Arial"/>
          <w:i/>
          <w:color w:val="000000"/>
          <w:sz w:val="24"/>
          <w:szCs w:val="24"/>
          <w:lang w:val="en-GB" w:eastAsia="en-GB"/>
        </w:rPr>
      </w:pPr>
      <w:r>
        <w:rPr>
          <w:rFonts w:ascii="Arial" w:eastAsia="Times New Roman" w:hAnsi="Arial" w:cs="Arial"/>
          <w:i/>
          <w:color w:val="000000"/>
          <w:sz w:val="24"/>
          <w:szCs w:val="24"/>
          <w:lang w:val="en-GB" w:eastAsia="en-GB"/>
        </w:rPr>
        <w:t>…</w:t>
      </w:r>
    </w:p>
    <w:p w14:paraId="7B7ECBFE" w14:textId="5A20AB53" w:rsidR="00EB093E" w:rsidRPr="00E863F7" w:rsidRDefault="00E863F7" w:rsidP="00E863F7">
      <w:pPr>
        <w:spacing w:after="0" w:line="240" w:lineRule="auto"/>
        <w:ind w:left="720"/>
        <w:jc w:val="both"/>
        <w:rPr>
          <w:rFonts w:ascii="Arial" w:eastAsia="Times New Roman" w:hAnsi="Arial" w:cs="Arial"/>
          <w:i/>
          <w:color w:val="000000"/>
          <w:sz w:val="24"/>
          <w:szCs w:val="24"/>
          <w:lang w:val="en-GB" w:eastAsia="en-GB"/>
        </w:rPr>
      </w:pPr>
      <w:r w:rsidRPr="00E863F7">
        <w:rPr>
          <w:rFonts w:ascii="Arial" w:eastAsia="Times New Roman" w:hAnsi="Arial" w:cs="Arial"/>
          <w:i/>
          <w:color w:val="000000"/>
          <w:sz w:val="24"/>
          <w:szCs w:val="24"/>
          <w:lang w:val="en-GB" w:eastAsia="en-GB"/>
        </w:rPr>
        <w:t xml:space="preserve"> </w:t>
      </w:r>
    </w:p>
    <w:p w14:paraId="72F45A86" w14:textId="585266D6" w:rsidR="00551A49" w:rsidRPr="00551A49" w:rsidRDefault="00551A49" w:rsidP="00EB093E">
      <w:pPr>
        <w:spacing w:after="0" w:line="240" w:lineRule="auto"/>
        <w:ind w:left="1134" w:hanging="425"/>
        <w:rPr>
          <w:rFonts w:ascii="Arial" w:eastAsia="Times New Roman" w:hAnsi="Arial" w:cs="Arial"/>
          <w:i/>
          <w:color w:val="000000"/>
          <w:sz w:val="24"/>
          <w:szCs w:val="24"/>
          <w:lang w:val="en-GB" w:eastAsia="en-GB"/>
        </w:rPr>
      </w:pPr>
      <w:r w:rsidRPr="00551A49">
        <w:rPr>
          <w:rFonts w:ascii="Arial" w:eastAsia="Times New Roman" w:hAnsi="Arial" w:cs="Arial"/>
          <w:i/>
          <w:color w:val="000000"/>
          <w:sz w:val="24"/>
          <w:szCs w:val="24"/>
          <w:lang w:val="en-GB" w:eastAsia="en-GB"/>
        </w:rPr>
        <w:t>(c)</w:t>
      </w:r>
      <w:r w:rsidR="00EB093E">
        <w:rPr>
          <w:rFonts w:ascii="Arial" w:eastAsia="Times New Roman" w:hAnsi="Arial" w:cs="Arial"/>
          <w:i/>
          <w:color w:val="000000"/>
          <w:sz w:val="24"/>
          <w:szCs w:val="24"/>
          <w:lang w:val="en-GB" w:eastAsia="en-GB"/>
        </w:rPr>
        <w:t xml:space="preserve"> </w:t>
      </w:r>
      <w:r w:rsidRPr="00551A49">
        <w:rPr>
          <w:rFonts w:ascii="Arial" w:eastAsia="Times New Roman" w:hAnsi="Arial" w:cs="Arial"/>
          <w:i/>
          <w:color w:val="000000"/>
          <w:sz w:val="24"/>
          <w:szCs w:val="24"/>
          <w:lang w:val="en-GB" w:eastAsia="en-GB"/>
        </w:rPr>
        <w:t>does  not  include  a  dispute  that  is  reported  more  than  3  years  after  the  act  or omission that gave</w:t>
      </w:r>
      <w:r w:rsidR="00EB093E">
        <w:rPr>
          <w:rFonts w:ascii="Arial" w:eastAsia="Times New Roman" w:hAnsi="Arial" w:cs="Arial"/>
          <w:i/>
          <w:color w:val="000000"/>
          <w:sz w:val="24"/>
          <w:szCs w:val="24"/>
          <w:lang w:val="en-GB" w:eastAsia="en-GB"/>
        </w:rPr>
        <w:t xml:space="preserve"> </w:t>
      </w:r>
      <w:r w:rsidRPr="00551A49">
        <w:rPr>
          <w:rFonts w:ascii="Arial" w:eastAsia="Times New Roman" w:hAnsi="Arial" w:cs="Arial"/>
          <w:i/>
          <w:color w:val="000000"/>
          <w:sz w:val="24"/>
          <w:szCs w:val="24"/>
          <w:lang w:val="en-GB" w:eastAsia="en-GB"/>
        </w:rPr>
        <w:t>rise to the dispute</w:t>
      </w:r>
    </w:p>
    <w:p w14:paraId="4B22E5DE" w14:textId="77777777" w:rsidR="00AF5E71" w:rsidRPr="00551A49" w:rsidRDefault="00AF5E71" w:rsidP="00215B54">
      <w:pPr>
        <w:jc w:val="both"/>
        <w:rPr>
          <w:rFonts w:ascii="Arial" w:hAnsi="Arial" w:cs="Arial"/>
          <w:i/>
          <w:sz w:val="24"/>
          <w:szCs w:val="24"/>
        </w:rPr>
      </w:pPr>
    </w:p>
    <w:p w14:paraId="610448B6" w14:textId="6597849D" w:rsidR="001F69F8" w:rsidRDefault="00AF5E71" w:rsidP="00215B54">
      <w:pPr>
        <w:jc w:val="both"/>
        <w:rPr>
          <w:rFonts w:ascii="Arial" w:hAnsi="Arial" w:cs="Arial"/>
          <w:sz w:val="24"/>
          <w:szCs w:val="24"/>
        </w:rPr>
      </w:pPr>
      <w:r>
        <w:rPr>
          <w:rFonts w:ascii="Arial" w:hAnsi="Arial" w:cs="Arial"/>
          <w:sz w:val="24"/>
          <w:szCs w:val="24"/>
        </w:rPr>
        <w:t xml:space="preserve">The Tribunal has to ascertain first what is the act or omission which gave rise to the present dispute. </w:t>
      </w:r>
      <w:r w:rsidR="00E863F7">
        <w:rPr>
          <w:rFonts w:ascii="Arial" w:hAnsi="Arial" w:cs="Arial"/>
          <w:sz w:val="24"/>
          <w:szCs w:val="24"/>
        </w:rPr>
        <w:t xml:space="preserve"> There are two disputes in the present matter and these are in relation to whether: (1) a monthly travel grant should have been paid to Disputant during the period 15.12.17 to 14.06.19; and (2) an end-of-year bonus should have been paid to Disputant for the period 1.01.19 to 14.06.19.  For the end-of-year bonus, it is clear that </w:t>
      </w:r>
      <w:r w:rsidR="002B3FE1">
        <w:rPr>
          <w:rFonts w:ascii="Arial" w:hAnsi="Arial" w:cs="Arial"/>
          <w:sz w:val="24"/>
          <w:szCs w:val="24"/>
        </w:rPr>
        <w:t xml:space="preserve">the alleged omission to pay the end-of-year bonus in 2019 which gave rise to the dispute which escalated to the Tribunal.  </w:t>
      </w:r>
      <w:r w:rsidR="001F69F8">
        <w:rPr>
          <w:rFonts w:ascii="Arial" w:hAnsi="Arial" w:cs="Arial"/>
          <w:sz w:val="24"/>
          <w:szCs w:val="24"/>
        </w:rPr>
        <w:t>The present dispute was reported to the President of the Commission for Conciliation and Mediation on 17 February 2021.  This is clearly well within the delay of three years as from the alleged omission to pay the end-of-year bonus, if any.  The preliminary objection in relation to this limb of the dispute, that is, the end-of-year bonus is set aside.  The dispute is a labour dispute and the Tribunal shall have to enquire into the dispute.</w:t>
      </w:r>
    </w:p>
    <w:p w14:paraId="6D0B5366" w14:textId="1421C3FA" w:rsidR="00986E27" w:rsidRDefault="00E21AE4" w:rsidP="004045D5">
      <w:pPr>
        <w:shd w:val="clear" w:color="auto" w:fill="FFFFFF"/>
        <w:jc w:val="both"/>
        <w:rPr>
          <w:rFonts w:ascii="Arial" w:hAnsi="Arial" w:cs="Arial"/>
          <w:sz w:val="24"/>
          <w:szCs w:val="24"/>
        </w:rPr>
      </w:pPr>
      <w:r>
        <w:rPr>
          <w:rFonts w:ascii="Arial" w:hAnsi="Arial" w:cs="Arial"/>
          <w:sz w:val="24"/>
          <w:szCs w:val="24"/>
        </w:rPr>
        <w:t>With</w:t>
      </w:r>
      <w:r w:rsidR="001F69F8">
        <w:rPr>
          <w:rFonts w:ascii="Arial" w:hAnsi="Arial" w:cs="Arial"/>
          <w:sz w:val="24"/>
          <w:szCs w:val="24"/>
        </w:rPr>
        <w:t xml:space="preserve"> </w:t>
      </w:r>
      <w:r w:rsidR="001F69F8" w:rsidRPr="000C4449">
        <w:rPr>
          <w:rFonts w:ascii="Arial" w:hAnsi="Arial" w:cs="Arial"/>
          <w:sz w:val="24"/>
          <w:szCs w:val="24"/>
        </w:rPr>
        <w:t xml:space="preserve">regard </w:t>
      </w:r>
      <w:r>
        <w:rPr>
          <w:rFonts w:ascii="Arial" w:hAnsi="Arial" w:cs="Arial"/>
          <w:sz w:val="24"/>
          <w:szCs w:val="24"/>
        </w:rPr>
        <w:t xml:space="preserve">to </w:t>
      </w:r>
      <w:r w:rsidR="001F69F8" w:rsidRPr="000C4449">
        <w:rPr>
          <w:rFonts w:ascii="Arial" w:hAnsi="Arial" w:cs="Arial"/>
          <w:sz w:val="24"/>
          <w:szCs w:val="24"/>
        </w:rPr>
        <w:t xml:space="preserve">the dispute concerning the monthly travel grant, the Tribunal </w:t>
      </w:r>
      <w:r w:rsidR="000C4449">
        <w:rPr>
          <w:rFonts w:ascii="Arial" w:hAnsi="Arial" w:cs="Arial"/>
          <w:sz w:val="24"/>
          <w:szCs w:val="24"/>
        </w:rPr>
        <w:t xml:space="preserve">will refer to </w:t>
      </w:r>
      <w:r w:rsidR="001F69F8" w:rsidRPr="000C4449">
        <w:rPr>
          <w:rFonts w:ascii="Arial" w:hAnsi="Arial" w:cs="Arial"/>
          <w:sz w:val="24"/>
          <w:szCs w:val="24"/>
        </w:rPr>
        <w:t xml:space="preserve">the Supreme Court case of </w:t>
      </w:r>
      <w:r w:rsidR="000C4449" w:rsidRPr="000C4449">
        <w:rPr>
          <w:rFonts w:ascii="Arial" w:eastAsia="Times New Roman" w:hAnsi="Arial" w:cs="Arial"/>
          <w:b/>
          <w:sz w:val="24"/>
          <w:szCs w:val="24"/>
          <w:lang w:val="en-GB" w:eastAsia="en-GB"/>
        </w:rPr>
        <w:t>Dineshwaree Ramyead-Banymandhub v The Employment Relations Tribunal, in the presence of:-</w:t>
      </w:r>
      <w:r w:rsidR="003D105E">
        <w:rPr>
          <w:rFonts w:ascii="Arial" w:eastAsia="Times New Roman" w:hAnsi="Arial" w:cs="Arial"/>
          <w:b/>
          <w:sz w:val="24"/>
          <w:szCs w:val="24"/>
          <w:lang w:val="en-GB" w:eastAsia="en-GB"/>
        </w:rPr>
        <w:t xml:space="preserve"> </w:t>
      </w:r>
      <w:r w:rsidR="000C4449" w:rsidRPr="000C4449">
        <w:rPr>
          <w:rFonts w:ascii="Arial" w:eastAsia="Times New Roman" w:hAnsi="Arial" w:cs="Arial"/>
          <w:b/>
          <w:sz w:val="24"/>
          <w:szCs w:val="24"/>
          <w:lang w:val="en-GB" w:eastAsia="en-GB"/>
        </w:rPr>
        <w:t xml:space="preserve">Air Mauritius Ltd, 2018 SCJ 252, </w:t>
      </w:r>
      <w:r w:rsidR="000C4449" w:rsidRPr="000C4449">
        <w:rPr>
          <w:rFonts w:ascii="Arial" w:eastAsia="Times New Roman" w:hAnsi="Arial" w:cs="Arial"/>
          <w:sz w:val="24"/>
          <w:szCs w:val="24"/>
          <w:lang w:val="en-GB" w:eastAsia="en-GB"/>
        </w:rPr>
        <w:t>where the same</w:t>
      </w:r>
      <w:r w:rsidR="000C4449">
        <w:rPr>
          <w:rFonts w:ascii="Arial" w:eastAsia="Times New Roman" w:hAnsi="Arial" w:cs="Arial"/>
          <w:sz w:val="24"/>
          <w:szCs w:val="24"/>
          <w:lang w:val="en-GB" w:eastAsia="en-GB"/>
        </w:rPr>
        <w:t xml:space="preserve"> definition of “labour dispute” </w:t>
      </w:r>
      <w:r w:rsidR="00196787">
        <w:rPr>
          <w:rFonts w:ascii="Arial" w:eastAsia="Times New Roman" w:hAnsi="Arial" w:cs="Arial"/>
          <w:sz w:val="24"/>
          <w:szCs w:val="24"/>
          <w:lang w:val="en-GB" w:eastAsia="en-GB"/>
        </w:rPr>
        <w:t xml:space="preserve">under section 2 of the Act </w:t>
      </w:r>
      <w:r w:rsidR="000C4449">
        <w:rPr>
          <w:rFonts w:ascii="Arial" w:eastAsia="Times New Roman" w:hAnsi="Arial" w:cs="Arial"/>
          <w:sz w:val="24"/>
          <w:szCs w:val="24"/>
          <w:lang w:val="en-GB" w:eastAsia="en-GB"/>
        </w:rPr>
        <w:t>was under consideration</w:t>
      </w:r>
      <w:r w:rsidR="003D105E">
        <w:rPr>
          <w:rFonts w:ascii="Arial" w:eastAsia="Times New Roman" w:hAnsi="Arial" w:cs="Arial"/>
          <w:sz w:val="24"/>
          <w:szCs w:val="24"/>
          <w:lang w:val="en-GB" w:eastAsia="en-GB"/>
        </w:rPr>
        <w:t xml:space="preserve">.  The Supreme Court observed </w:t>
      </w:r>
      <w:r w:rsidR="00665F20" w:rsidRPr="00665F20">
        <w:rPr>
          <w:rFonts w:ascii="Arial" w:eastAsia="Times New Roman" w:hAnsi="Arial" w:cs="Arial"/>
          <w:sz w:val="24"/>
          <w:szCs w:val="24"/>
          <w:lang w:val="en-GB" w:eastAsia="en-GB"/>
        </w:rPr>
        <w:t>t</w:t>
      </w:r>
      <w:r w:rsidR="00665F20">
        <w:rPr>
          <w:rFonts w:ascii="Arial" w:eastAsia="Times New Roman" w:hAnsi="Arial" w:cs="Arial"/>
          <w:sz w:val="24"/>
          <w:szCs w:val="24"/>
          <w:lang w:val="en-GB" w:eastAsia="en-GB"/>
        </w:rPr>
        <w:t>hat</w:t>
      </w:r>
      <w:r w:rsidR="00665F20" w:rsidRPr="00665F20">
        <w:rPr>
          <w:rFonts w:ascii="Arial" w:eastAsia="Times New Roman" w:hAnsi="Arial" w:cs="Arial"/>
          <w:sz w:val="24"/>
          <w:szCs w:val="24"/>
          <w:lang w:val="en-GB" w:eastAsia="en-GB"/>
        </w:rPr>
        <w:t xml:space="preserve"> the possibility that </w:t>
      </w:r>
      <w:r w:rsidR="00665F20">
        <w:rPr>
          <w:rFonts w:ascii="Arial" w:eastAsia="Times New Roman" w:hAnsi="Arial" w:cs="Arial"/>
          <w:sz w:val="24"/>
          <w:szCs w:val="24"/>
          <w:lang w:val="en-GB" w:eastAsia="en-GB"/>
        </w:rPr>
        <w:t>an</w:t>
      </w:r>
      <w:r w:rsidR="00665F20" w:rsidRPr="00665F20">
        <w:rPr>
          <w:rFonts w:ascii="Arial" w:eastAsia="Times New Roman" w:hAnsi="Arial" w:cs="Arial"/>
          <w:sz w:val="24"/>
          <w:szCs w:val="24"/>
          <w:lang w:val="en-GB" w:eastAsia="en-GB"/>
        </w:rPr>
        <w:t xml:space="preserve"> alleged omission could have been continuous</w:t>
      </w:r>
      <w:r w:rsidR="00665F20">
        <w:rPr>
          <w:rFonts w:ascii="Arial" w:eastAsia="Times New Roman" w:hAnsi="Arial" w:cs="Arial"/>
          <w:sz w:val="24"/>
          <w:szCs w:val="24"/>
          <w:lang w:val="en-GB" w:eastAsia="en-GB"/>
        </w:rPr>
        <w:t xml:space="preserve"> must be considered before proceeding to computations in relation to </w:t>
      </w:r>
      <w:r w:rsidR="00665F20" w:rsidRPr="00665F20">
        <w:rPr>
          <w:rFonts w:ascii="Arial" w:eastAsia="Times New Roman" w:hAnsi="Arial" w:cs="Arial"/>
          <w:sz w:val="24"/>
          <w:szCs w:val="24"/>
          <w:lang w:val="en-GB" w:eastAsia="en-GB"/>
        </w:rPr>
        <w:t>time limits</w:t>
      </w:r>
      <w:r w:rsidR="000C4449">
        <w:rPr>
          <w:rFonts w:ascii="Arial" w:hAnsi="Arial" w:cs="Arial"/>
          <w:sz w:val="24"/>
          <w:szCs w:val="24"/>
        </w:rPr>
        <w:t xml:space="preserve">.  </w:t>
      </w:r>
      <w:r w:rsidR="004045D5">
        <w:rPr>
          <w:rFonts w:ascii="Arial" w:hAnsi="Arial" w:cs="Arial"/>
          <w:sz w:val="24"/>
          <w:szCs w:val="24"/>
        </w:rPr>
        <w:t>T</w:t>
      </w:r>
      <w:r w:rsidR="001F69F8">
        <w:rPr>
          <w:rFonts w:ascii="Arial" w:hAnsi="Arial" w:cs="Arial"/>
          <w:sz w:val="24"/>
          <w:szCs w:val="24"/>
        </w:rPr>
        <w:t xml:space="preserve">he </w:t>
      </w:r>
      <w:r w:rsidR="00665F20">
        <w:rPr>
          <w:rFonts w:ascii="Arial" w:hAnsi="Arial" w:cs="Arial"/>
          <w:sz w:val="24"/>
          <w:szCs w:val="24"/>
        </w:rPr>
        <w:t xml:space="preserve">present </w:t>
      </w:r>
      <w:r w:rsidR="001F69F8">
        <w:rPr>
          <w:rFonts w:ascii="Arial" w:hAnsi="Arial" w:cs="Arial"/>
          <w:sz w:val="24"/>
          <w:szCs w:val="24"/>
        </w:rPr>
        <w:t>dispute relates to monthly travel grant over a certain period of time starting from 15 December 2017 up to 14 June 2019.  Th</w:t>
      </w:r>
      <w:r w:rsidR="004045D5">
        <w:rPr>
          <w:rFonts w:ascii="Arial" w:hAnsi="Arial" w:cs="Arial"/>
          <w:sz w:val="24"/>
          <w:szCs w:val="24"/>
        </w:rPr>
        <w:t xml:space="preserve">e alleged omission which gave rise to the dispute was the non-payment of </w:t>
      </w:r>
      <w:r w:rsidR="00665F20">
        <w:rPr>
          <w:rFonts w:ascii="Arial" w:hAnsi="Arial" w:cs="Arial"/>
          <w:sz w:val="24"/>
          <w:szCs w:val="24"/>
        </w:rPr>
        <w:t xml:space="preserve">the </w:t>
      </w:r>
      <w:r w:rsidR="004045D5">
        <w:rPr>
          <w:rFonts w:ascii="Arial" w:hAnsi="Arial" w:cs="Arial"/>
          <w:sz w:val="24"/>
          <w:szCs w:val="24"/>
        </w:rPr>
        <w:t xml:space="preserve">monthly travel grant </w:t>
      </w:r>
      <w:r w:rsidR="009C18DF">
        <w:rPr>
          <w:rFonts w:ascii="Arial" w:hAnsi="Arial" w:cs="Arial"/>
          <w:sz w:val="24"/>
          <w:szCs w:val="24"/>
        </w:rPr>
        <w:t xml:space="preserve">(on the relevant pay </w:t>
      </w:r>
      <w:r w:rsidR="000F031C">
        <w:rPr>
          <w:rFonts w:ascii="Arial" w:hAnsi="Arial" w:cs="Arial"/>
          <w:sz w:val="24"/>
          <w:szCs w:val="24"/>
        </w:rPr>
        <w:t xml:space="preserve">day) </w:t>
      </w:r>
      <w:r w:rsidR="004045D5">
        <w:rPr>
          <w:rFonts w:ascii="Arial" w:hAnsi="Arial" w:cs="Arial"/>
          <w:sz w:val="24"/>
          <w:szCs w:val="24"/>
        </w:rPr>
        <w:t xml:space="preserve">and this alleged omission was a continuous one </w:t>
      </w:r>
      <w:r w:rsidR="00665F20">
        <w:rPr>
          <w:rFonts w:ascii="Arial" w:hAnsi="Arial" w:cs="Arial"/>
          <w:sz w:val="24"/>
          <w:szCs w:val="24"/>
        </w:rPr>
        <w:t xml:space="preserve">(every month) </w:t>
      </w:r>
      <w:r w:rsidR="004045D5">
        <w:rPr>
          <w:rFonts w:ascii="Arial" w:hAnsi="Arial" w:cs="Arial"/>
          <w:sz w:val="24"/>
          <w:szCs w:val="24"/>
        </w:rPr>
        <w:t xml:space="preserve">up to 14 June </w:t>
      </w:r>
      <w:r w:rsidR="004045D5">
        <w:rPr>
          <w:rFonts w:ascii="Arial" w:hAnsi="Arial" w:cs="Arial"/>
          <w:sz w:val="24"/>
          <w:szCs w:val="24"/>
        </w:rPr>
        <w:lastRenderedPageBreak/>
        <w:t xml:space="preserve">2019.  </w:t>
      </w:r>
      <w:r w:rsidR="00196787">
        <w:rPr>
          <w:rFonts w:ascii="Arial" w:hAnsi="Arial" w:cs="Arial"/>
          <w:sz w:val="24"/>
          <w:szCs w:val="24"/>
        </w:rPr>
        <w:t xml:space="preserve">The present dispute was reported to the President of the Commission for Conciliation and Mediation on 17 February 2021 (ex facie the letter of referral from the Commission for Conciliation and Mediation).  </w:t>
      </w:r>
      <w:r w:rsidR="00AA61AD">
        <w:rPr>
          <w:rFonts w:ascii="Arial" w:hAnsi="Arial" w:cs="Arial"/>
          <w:sz w:val="24"/>
          <w:szCs w:val="24"/>
        </w:rPr>
        <w:t xml:space="preserve">Thus </w:t>
      </w:r>
      <w:r w:rsidR="00665F20">
        <w:rPr>
          <w:rFonts w:ascii="Arial" w:hAnsi="Arial" w:cs="Arial"/>
          <w:sz w:val="24"/>
          <w:szCs w:val="24"/>
        </w:rPr>
        <w:t xml:space="preserve">bearing in mind the limitation period of </w:t>
      </w:r>
      <w:r w:rsidR="00AA61AD">
        <w:rPr>
          <w:rFonts w:ascii="Arial" w:hAnsi="Arial" w:cs="Arial"/>
          <w:sz w:val="24"/>
          <w:szCs w:val="24"/>
        </w:rPr>
        <w:t>three years</w:t>
      </w:r>
      <w:r w:rsidR="00665F20">
        <w:rPr>
          <w:rFonts w:ascii="Arial" w:hAnsi="Arial" w:cs="Arial"/>
          <w:sz w:val="24"/>
          <w:szCs w:val="24"/>
        </w:rPr>
        <w:t xml:space="preserve"> in the definition of “labour dispute” at section 2 of the Act</w:t>
      </w:r>
      <w:r w:rsidR="00AA61AD">
        <w:rPr>
          <w:rFonts w:ascii="Arial" w:hAnsi="Arial" w:cs="Arial"/>
          <w:sz w:val="24"/>
          <w:szCs w:val="24"/>
        </w:rPr>
        <w:t>, only the dispute concerning travel grant</w:t>
      </w:r>
      <w:r w:rsidR="000F031C">
        <w:rPr>
          <w:rFonts w:ascii="Arial" w:hAnsi="Arial" w:cs="Arial"/>
          <w:sz w:val="24"/>
          <w:szCs w:val="24"/>
        </w:rPr>
        <w:t>s</w:t>
      </w:r>
      <w:r w:rsidR="00AA61AD">
        <w:rPr>
          <w:rFonts w:ascii="Arial" w:hAnsi="Arial" w:cs="Arial"/>
          <w:sz w:val="24"/>
          <w:szCs w:val="24"/>
        </w:rPr>
        <w:t xml:space="preserve"> for </w:t>
      </w:r>
      <w:r w:rsidR="007F3BB7">
        <w:rPr>
          <w:rFonts w:ascii="Arial" w:hAnsi="Arial" w:cs="Arial"/>
          <w:sz w:val="24"/>
          <w:szCs w:val="24"/>
        </w:rPr>
        <w:t xml:space="preserve">December 2017 </w:t>
      </w:r>
      <w:r w:rsidR="000F031C">
        <w:rPr>
          <w:rFonts w:ascii="Arial" w:hAnsi="Arial" w:cs="Arial"/>
          <w:sz w:val="24"/>
          <w:szCs w:val="24"/>
        </w:rPr>
        <w:t xml:space="preserve">and January 2018 </w:t>
      </w:r>
      <w:r w:rsidR="00AA61AD">
        <w:rPr>
          <w:rFonts w:ascii="Arial" w:hAnsi="Arial" w:cs="Arial"/>
          <w:sz w:val="24"/>
          <w:szCs w:val="24"/>
        </w:rPr>
        <w:t>will be excluded from the definition of labour dispute.  The Tribunal thus can still hear the dispute</w:t>
      </w:r>
      <w:r w:rsidR="00B265A4">
        <w:rPr>
          <w:rFonts w:ascii="Arial" w:hAnsi="Arial" w:cs="Arial"/>
          <w:sz w:val="24"/>
          <w:szCs w:val="24"/>
        </w:rPr>
        <w:t xml:space="preserve"> in relation to travel grant for the period </w:t>
      </w:r>
      <w:r w:rsidR="005664AC">
        <w:rPr>
          <w:rFonts w:ascii="Arial" w:hAnsi="Arial" w:cs="Arial"/>
          <w:sz w:val="24"/>
          <w:szCs w:val="24"/>
        </w:rPr>
        <w:t>1 February</w:t>
      </w:r>
      <w:r w:rsidR="00B265A4">
        <w:rPr>
          <w:rFonts w:ascii="Arial" w:hAnsi="Arial" w:cs="Arial"/>
          <w:sz w:val="24"/>
          <w:szCs w:val="24"/>
        </w:rPr>
        <w:t xml:space="preserve"> </w:t>
      </w:r>
      <w:r w:rsidR="005664AC">
        <w:rPr>
          <w:rFonts w:ascii="Arial" w:hAnsi="Arial" w:cs="Arial"/>
          <w:sz w:val="24"/>
          <w:szCs w:val="24"/>
        </w:rPr>
        <w:t>2018</w:t>
      </w:r>
      <w:r w:rsidR="00B265A4">
        <w:rPr>
          <w:rFonts w:ascii="Arial" w:hAnsi="Arial" w:cs="Arial"/>
          <w:sz w:val="24"/>
          <w:szCs w:val="24"/>
        </w:rPr>
        <w:t xml:space="preserve"> </w:t>
      </w:r>
      <w:r w:rsidR="000F031C">
        <w:rPr>
          <w:rFonts w:ascii="Arial" w:hAnsi="Arial" w:cs="Arial"/>
          <w:sz w:val="24"/>
          <w:szCs w:val="24"/>
        </w:rPr>
        <w:t xml:space="preserve">(assuming pay day for February 2018 was on or after 18 February 2018) </w:t>
      </w:r>
      <w:r w:rsidR="00B265A4">
        <w:rPr>
          <w:rFonts w:ascii="Arial" w:hAnsi="Arial" w:cs="Arial"/>
          <w:sz w:val="24"/>
          <w:szCs w:val="24"/>
        </w:rPr>
        <w:t>to 14 June 2019.  Thus, apart f</w:t>
      </w:r>
      <w:r w:rsidR="005664AC">
        <w:rPr>
          <w:rFonts w:ascii="Arial" w:hAnsi="Arial" w:cs="Arial"/>
          <w:sz w:val="24"/>
          <w:szCs w:val="24"/>
        </w:rPr>
        <w:t>rom travel grant</w:t>
      </w:r>
      <w:r w:rsidR="000F031C">
        <w:rPr>
          <w:rFonts w:ascii="Arial" w:hAnsi="Arial" w:cs="Arial"/>
          <w:sz w:val="24"/>
          <w:szCs w:val="24"/>
        </w:rPr>
        <w:t>s</w:t>
      </w:r>
      <w:r w:rsidR="005664AC">
        <w:rPr>
          <w:rFonts w:ascii="Arial" w:hAnsi="Arial" w:cs="Arial"/>
          <w:sz w:val="24"/>
          <w:szCs w:val="24"/>
        </w:rPr>
        <w:t xml:space="preserve"> for December </w:t>
      </w:r>
      <w:r w:rsidR="000F031C">
        <w:rPr>
          <w:rFonts w:ascii="Arial" w:hAnsi="Arial" w:cs="Arial"/>
          <w:sz w:val="24"/>
          <w:szCs w:val="24"/>
        </w:rPr>
        <w:t>201</w:t>
      </w:r>
      <w:r w:rsidR="005664AC">
        <w:rPr>
          <w:rFonts w:ascii="Arial" w:hAnsi="Arial" w:cs="Arial"/>
          <w:sz w:val="24"/>
          <w:szCs w:val="24"/>
        </w:rPr>
        <w:t>7</w:t>
      </w:r>
      <w:r w:rsidR="000F031C">
        <w:rPr>
          <w:rFonts w:ascii="Arial" w:hAnsi="Arial" w:cs="Arial"/>
          <w:sz w:val="24"/>
          <w:szCs w:val="24"/>
        </w:rPr>
        <w:t xml:space="preserve"> and January 2018</w:t>
      </w:r>
      <w:r w:rsidR="00B265A4">
        <w:rPr>
          <w:rFonts w:ascii="Arial" w:hAnsi="Arial" w:cs="Arial"/>
          <w:sz w:val="24"/>
          <w:szCs w:val="24"/>
        </w:rPr>
        <w:t xml:space="preserve">, the preliminary objection in law as taken is set aside and the Tribunal will proceed to </w:t>
      </w:r>
      <w:r w:rsidR="007F3BB7">
        <w:rPr>
          <w:rFonts w:ascii="Arial" w:hAnsi="Arial" w:cs="Arial"/>
          <w:sz w:val="24"/>
          <w:szCs w:val="24"/>
        </w:rPr>
        <w:t>enquire into the merits of the dispute.</w:t>
      </w:r>
      <w:r w:rsidR="005664AC">
        <w:rPr>
          <w:rFonts w:ascii="Arial" w:hAnsi="Arial" w:cs="Arial"/>
          <w:sz w:val="24"/>
          <w:szCs w:val="24"/>
        </w:rPr>
        <w:t xml:space="preserve"> </w:t>
      </w:r>
      <w:r w:rsidR="00AA61AD">
        <w:rPr>
          <w:rFonts w:ascii="Arial" w:hAnsi="Arial" w:cs="Arial"/>
          <w:sz w:val="24"/>
          <w:szCs w:val="24"/>
        </w:rPr>
        <w:t xml:space="preserve"> </w:t>
      </w:r>
      <w:r w:rsidR="004045D5">
        <w:rPr>
          <w:rFonts w:ascii="Arial" w:hAnsi="Arial" w:cs="Arial"/>
          <w:sz w:val="24"/>
          <w:szCs w:val="24"/>
        </w:rPr>
        <w:t xml:space="preserve">  </w:t>
      </w:r>
      <w:r w:rsidR="001F69F8">
        <w:rPr>
          <w:rFonts w:ascii="Arial" w:hAnsi="Arial" w:cs="Arial"/>
          <w:sz w:val="24"/>
          <w:szCs w:val="24"/>
        </w:rPr>
        <w:t xml:space="preserve">  </w:t>
      </w:r>
    </w:p>
    <w:p w14:paraId="39A4251A" w14:textId="762868A0" w:rsidR="00125EB7" w:rsidRDefault="00986E27" w:rsidP="00986E27">
      <w:pPr>
        <w:shd w:val="clear" w:color="auto" w:fill="FFFFFF"/>
        <w:jc w:val="both"/>
        <w:rPr>
          <w:rFonts w:ascii="Arial" w:hAnsi="Arial" w:cs="Arial"/>
          <w:sz w:val="24"/>
          <w:szCs w:val="24"/>
        </w:rPr>
      </w:pPr>
      <w:r>
        <w:rPr>
          <w:rFonts w:ascii="Arial" w:hAnsi="Arial" w:cs="Arial"/>
          <w:sz w:val="24"/>
          <w:szCs w:val="24"/>
        </w:rPr>
        <w:t>As regard the end of year bonus for the period 1 January 2019 up to 14 June 2019, Counsel for Disputant re</w:t>
      </w:r>
      <w:r w:rsidR="00125EB7">
        <w:rPr>
          <w:rFonts w:ascii="Arial" w:hAnsi="Arial" w:cs="Arial"/>
          <w:sz w:val="24"/>
          <w:szCs w:val="24"/>
        </w:rPr>
        <w:t>lied on</w:t>
      </w:r>
      <w:r>
        <w:rPr>
          <w:rFonts w:ascii="Arial" w:hAnsi="Arial" w:cs="Arial"/>
          <w:sz w:val="24"/>
          <w:szCs w:val="24"/>
        </w:rPr>
        <w:t xml:space="preserve"> the End of </w:t>
      </w:r>
      <w:r w:rsidR="00125EB7">
        <w:rPr>
          <w:rFonts w:ascii="Arial" w:hAnsi="Arial" w:cs="Arial"/>
          <w:sz w:val="24"/>
          <w:szCs w:val="24"/>
        </w:rPr>
        <w:t xml:space="preserve">the </w:t>
      </w:r>
      <w:r>
        <w:rPr>
          <w:rFonts w:ascii="Arial" w:hAnsi="Arial" w:cs="Arial"/>
          <w:sz w:val="24"/>
          <w:szCs w:val="24"/>
        </w:rPr>
        <w:t xml:space="preserve">Year Gratuity Act.  </w:t>
      </w:r>
      <w:r w:rsidR="0024312A">
        <w:rPr>
          <w:rFonts w:ascii="Arial" w:hAnsi="Arial" w:cs="Arial"/>
          <w:sz w:val="24"/>
          <w:szCs w:val="24"/>
        </w:rPr>
        <w:t xml:space="preserve">Suffice it to say that the </w:t>
      </w:r>
      <w:r w:rsidR="00125EB7">
        <w:rPr>
          <w:rFonts w:ascii="Arial" w:hAnsi="Arial" w:cs="Arial"/>
          <w:sz w:val="24"/>
          <w:szCs w:val="24"/>
        </w:rPr>
        <w:t xml:space="preserve">Tribunal has no jurisdiction under the </w:t>
      </w:r>
      <w:r w:rsidR="0024312A">
        <w:rPr>
          <w:rFonts w:ascii="Arial" w:hAnsi="Arial" w:cs="Arial"/>
          <w:sz w:val="24"/>
          <w:szCs w:val="24"/>
        </w:rPr>
        <w:t xml:space="preserve">End of </w:t>
      </w:r>
      <w:r w:rsidR="00125EB7">
        <w:rPr>
          <w:rFonts w:ascii="Arial" w:hAnsi="Arial" w:cs="Arial"/>
          <w:sz w:val="24"/>
          <w:szCs w:val="24"/>
        </w:rPr>
        <w:t xml:space="preserve">the </w:t>
      </w:r>
      <w:r w:rsidR="0024312A">
        <w:rPr>
          <w:rFonts w:ascii="Arial" w:hAnsi="Arial" w:cs="Arial"/>
          <w:sz w:val="24"/>
          <w:szCs w:val="24"/>
        </w:rPr>
        <w:t>Year Gratuity</w:t>
      </w:r>
      <w:r>
        <w:rPr>
          <w:rFonts w:ascii="Arial" w:hAnsi="Arial" w:cs="Arial"/>
          <w:sz w:val="24"/>
          <w:szCs w:val="24"/>
        </w:rPr>
        <w:t xml:space="preserve"> </w:t>
      </w:r>
      <w:r w:rsidR="00125EB7">
        <w:rPr>
          <w:rFonts w:ascii="Arial" w:hAnsi="Arial" w:cs="Arial"/>
          <w:sz w:val="24"/>
          <w:szCs w:val="24"/>
        </w:rPr>
        <w:t>Act.  Indeed, section 5 of the End of the Year Gratuity Act provides as follows:</w:t>
      </w:r>
    </w:p>
    <w:p w14:paraId="69F6847D" w14:textId="77777777" w:rsidR="00811C41" w:rsidRDefault="00811C41" w:rsidP="00986E27">
      <w:pPr>
        <w:shd w:val="clear" w:color="auto" w:fill="FFFFFF"/>
        <w:jc w:val="both"/>
        <w:rPr>
          <w:rFonts w:ascii="Arial" w:hAnsi="Arial" w:cs="Arial"/>
          <w:sz w:val="24"/>
          <w:szCs w:val="24"/>
        </w:rPr>
      </w:pPr>
    </w:p>
    <w:p w14:paraId="106C1806" w14:textId="77777777" w:rsidR="00125EB7" w:rsidRPr="00125EB7" w:rsidRDefault="00125EB7" w:rsidP="00986E27">
      <w:pPr>
        <w:shd w:val="clear" w:color="auto" w:fill="FFFFFF"/>
        <w:jc w:val="both"/>
        <w:rPr>
          <w:rFonts w:ascii="Arial" w:hAnsi="Arial" w:cs="Arial"/>
          <w:b/>
          <w:i/>
          <w:sz w:val="24"/>
          <w:szCs w:val="24"/>
          <w:shd w:val="clear" w:color="auto" w:fill="FFFFFF"/>
        </w:rPr>
      </w:pPr>
      <w:r w:rsidRPr="00125EB7">
        <w:rPr>
          <w:rFonts w:ascii="Arial" w:hAnsi="Arial" w:cs="Arial"/>
          <w:b/>
          <w:i/>
          <w:sz w:val="24"/>
          <w:szCs w:val="24"/>
          <w:shd w:val="clear" w:color="auto" w:fill="FFFFFF"/>
        </w:rPr>
        <w:t xml:space="preserve">5. Jurisdiction </w:t>
      </w:r>
    </w:p>
    <w:p w14:paraId="0F18838F" w14:textId="77777777" w:rsidR="00125EB7" w:rsidRPr="00125EB7" w:rsidRDefault="00125EB7" w:rsidP="00986E27">
      <w:pPr>
        <w:shd w:val="clear" w:color="auto" w:fill="FFFFFF"/>
        <w:jc w:val="both"/>
        <w:rPr>
          <w:rFonts w:ascii="Arial" w:hAnsi="Arial" w:cs="Arial"/>
          <w:i/>
          <w:sz w:val="24"/>
          <w:szCs w:val="24"/>
          <w:shd w:val="clear" w:color="auto" w:fill="FFFFFF"/>
        </w:rPr>
      </w:pPr>
      <w:r w:rsidRPr="00125EB7">
        <w:rPr>
          <w:rFonts w:ascii="Arial" w:hAnsi="Arial" w:cs="Arial"/>
          <w:i/>
          <w:sz w:val="24"/>
          <w:szCs w:val="24"/>
          <w:shd w:val="clear" w:color="auto" w:fill="FFFFFF"/>
        </w:rPr>
        <w:t>Notwithstanding any other enactment-</w:t>
      </w:r>
    </w:p>
    <w:p w14:paraId="08B4214E" w14:textId="77777777" w:rsidR="00125EB7" w:rsidRPr="00125EB7" w:rsidRDefault="00125EB7" w:rsidP="00125EB7">
      <w:pPr>
        <w:pStyle w:val="ListParagraph"/>
        <w:numPr>
          <w:ilvl w:val="0"/>
          <w:numId w:val="26"/>
        </w:numPr>
        <w:shd w:val="clear" w:color="auto" w:fill="FFFFFF"/>
        <w:jc w:val="both"/>
        <w:rPr>
          <w:rFonts w:ascii="Arial" w:hAnsi="Arial" w:cs="Arial"/>
          <w:i/>
          <w:sz w:val="24"/>
          <w:szCs w:val="24"/>
        </w:rPr>
      </w:pPr>
      <w:r w:rsidRPr="00125EB7">
        <w:rPr>
          <w:rFonts w:ascii="Arial" w:hAnsi="Arial" w:cs="Arial"/>
          <w:i/>
          <w:sz w:val="24"/>
          <w:szCs w:val="24"/>
          <w:shd w:val="clear" w:color="auto" w:fill="FFFFFF"/>
        </w:rPr>
        <w:t xml:space="preserve">in the Island of Mauritius, the Industrial Court; </w:t>
      </w:r>
    </w:p>
    <w:p w14:paraId="640341F5" w14:textId="77777777" w:rsidR="00125EB7" w:rsidRPr="00125EB7" w:rsidRDefault="00125EB7" w:rsidP="00125EB7">
      <w:pPr>
        <w:pStyle w:val="ListParagraph"/>
        <w:numPr>
          <w:ilvl w:val="0"/>
          <w:numId w:val="26"/>
        </w:numPr>
        <w:shd w:val="clear" w:color="auto" w:fill="FFFFFF"/>
        <w:jc w:val="both"/>
        <w:rPr>
          <w:rFonts w:ascii="Arial" w:hAnsi="Arial" w:cs="Arial"/>
          <w:i/>
          <w:sz w:val="24"/>
          <w:szCs w:val="24"/>
        </w:rPr>
      </w:pPr>
      <w:r w:rsidRPr="00125EB7">
        <w:rPr>
          <w:rFonts w:ascii="Arial" w:hAnsi="Arial" w:cs="Arial"/>
          <w:i/>
          <w:sz w:val="24"/>
          <w:szCs w:val="24"/>
          <w:shd w:val="clear" w:color="auto" w:fill="FFFFFF"/>
        </w:rPr>
        <w:t xml:space="preserve">in Rodrigues, the Magistrate for Rodrigues; </w:t>
      </w:r>
    </w:p>
    <w:p w14:paraId="592454B5" w14:textId="77777777" w:rsidR="00125EB7" w:rsidRPr="00125EB7" w:rsidRDefault="00125EB7" w:rsidP="00125EB7">
      <w:pPr>
        <w:pStyle w:val="ListParagraph"/>
        <w:numPr>
          <w:ilvl w:val="0"/>
          <w:numId w:val="26"/>
        </w:numPr>
        <w:shd w:val="clear" w:color="auto" w:fill="FFFFFF"/>
        <w:jc w:val="both"/>
        <w:rPr>
          <w:rFonts w:ascii="Arial" w:hAnsi="Arial" w:cs="Arial"/>
          <w:i/>
          <w:sz w:val="24"/>
          <w:szCs w:val="24"/>
        </w:rPr>
      </w:pPr>
      <w:r w:rsidRPr="00125EB7">
        <w:rPr>
          <w:rFonts w:ascii="Arial" w:hAnsi="Arial" w:cs="Arial"/>
          <w:i/>
          <w:sz w:val="24"/>
          <w:szCs w:val="24"/>
          <w:shd w:val="clear" w:color="auto" w:fill="FFFFFF"/>
        </w:rPr>
        <w:t xml:space="preserve">in the other islands under the jurisdiction of the State of Mauritius, the Magistrate visiting those islands, </w:t>
      </w:r>
    </w:p>
    <w:p w14:paraId="6F954402" w14:textId="77777777" w:rsidR="00125EB7" w:rsidRDefault="00125EB7" w:rsidP="00125EB7">
      <w:pPr>
        <w:shd w:val="clear" w:color="auto" w:fill="FFFFFF"/>
        <w:jc w:val="both"/>
        <w:rPr>
          <w:rFonts w:ascii="Arial" w:hAnsi="Arial" w:cs="Arial"/>
          <w:sz w:val="24"/>
          <w:szCs w:val="24"/>
        </w:rPr>
      </w:pPr>
      <w:r w:rsidRPr="00125EB7">
        <w:rPr>
          <w:rFonts w:ascii="Arial" w:hAnsi="Arial" w:cs="Arial"/>
          <w:i/>
          <w:sz w:val="24"/>
          <w:szCs w:val="24"/>
          <w:shd w:val="clear" w:color="auto" w:fill="FFFFFF"/>
        </w:rPr>
        <w:t xml:space="preserve">shall have </w:t>
      </w:r>
      <w:r w:rsidRPr="00125EB7">
        <w:rPr>
          <w:rFonts w:ascii="Arial" w:hAnsi="Arial" w:cs="Arial"/>
          <w:i/>
          <w:sz w:val="24"/>
          <w:szCs w:val="24"/>
          <w:u w:val="single"/>
          <w:shd w:val="clear" w:color="auto" w:fill="FFFFFF"/>
        </w:rPr>
        <w:t>exclusive jurisdiction to hear and determine any civil or criminal proceedings under this Act</w:t>
      </w:r>
      <w:r>
        <w:rPr>
          <w:rFonts w:ascii="Arial" w:hAnsi="Arial" w:cs="Arial"/>
          <w:sz w:val="24"/>
          <w:szCs w:val="24"/>
        </w:rPr>
        <w:t xml:space="preserve">.  </w:t>
      </w:r>
      <w:r w:rsidRPr="00125EB7">
        <w:rPr>
          <w:rFonts w:ascii="Arial" w:hAnsi="Arial" w:cs="Arial"/>
          <w:sz w:val="24"/>
          <w:szCs w:val="24"/>
        </w:rPr>
        <w:t>(</w:t>
      </w:r>
      <w:r>
        <w:rPr>
          <w:rFonts w:ascii="Arial" w:hAnsi="Arial" w:cs="Arial"/>
          <w:sz w:val="24"/>
          <w:szCs w:val="24"/>
        </w:rPr>
        <w:t>underlining is ours)</w:t>
      </w:r>
    </w:p>
    <w:p w14:paraId="0C1B3CBE" w14:textId="77777777" w:rsidR="00BE47C1" w:rsidRDefault="00BE47C1" w:rsidP="00125EB7">
      <w:pPr>
        <w:shd w:val="clear" w:color="auto" w:fill="FFFFFF"/>
        <w:jc w:val="both"/>
        <w:rPr>
          <w:rFonts w:ascii="Arial" w:hAnsi="Arial" w:cs="Arial"/>
          <w:sz w:val="24"/>
          <w:szCs w:val="24"/>
        </w:rPr>
      </w:pPr>
      <w:r>
        <w:rPr>
          <w:rFonts w:ascii="Arial" w:hAnsi="Arial" w:cs="Arial"/>
          <w:sz w:val="24"/>
          <w:szCs w:val="24"/>
        </w:rPr>
        <w:t>Section 71 of the Act further states that:</w:t>
      </w:r>
    </w:p>
    <w:p w14:paraId="74268C56" w14:textId="735F5330" w:rsidR="00811C41" w:rsidRPr="00811C41" w:rsidRDefault="00811C41" w:rsidP="00125EB7">
      <w:pPr>
        <w:shd w:val="clear" w:color="auto" w:fill="FFFFFF"/>
        <w:jc w:val="both"/>
        <w:rPr>
          <w:rFonts w:ascii="Arial" w:hAnsi="Arial" w:cs="Arial"/>
          <w:b/>
          <w:i/>
          <w:sz w:val="24"/>
          <w:szCs w:val="24"/>
          <w:shd w:val="clear" w:color="auto" w:fill="FFFFFF"/>
        </w:rPr>
      </w:pPr>
      <w:r w:rsidRPr="00811C41">
        <w:rPr>
          <w:rFonts w:ascii="Arial" w:hAnsi="Arial" w:cs="Arial"/>
          <w:b/>
          <w:i/>
          <w:sz w:val="24"/>
          <w:szCs w:val="24"/>
          <w:shd w:val="clear" w:color="auto" w:fill="FFFFFF"/>
        </w:rPr>
        <w:t>71. Exclusion of jurisdiction of Tribunal</w:t>
      </w:r>
    </w:p>
    <w:p w14:paraId="5454B11F" w14:textId="77777777" w:rsidR="00811C41" w:rsidRDefault="00811C41" w:rsidP="00125EB7">
      <w:pPr>
        <w:shd w:val="clear" w:color="auto" w:fill="FFFFFF"/>
        <w:jc w:val="both"/>
        <w:rPr>
          <w:rFonts w:ascii="Arial" w:hAnsi="Arial" w:cs="Arial"/>
          <w:i/>
          <w:sz w:val="24"/>
          <w:szCs w:val="24"/>
          <w:shd w:val="clear" w:color="auto" w:fill="FFFFFF"/>
        </w:rPr>
      </w:pPr>
      <w:r w:rsidRPr="00811C41">
        <w:rPr>
          <w:rFonts w:ascii="Arial" w:hAnsi="Arial" w:cs="Arial"/>
          <w:i/>
          <w:sz w:val="24"/>
          <w:szCs w:val="24"/>
          <w:shd w:val="clear" w:color="auto" w:fill="FFFFFF"/>
        </w:rPr>
        <w:t>The Tribunal shall not</w:t>
      </w:r>
      <w:r>
        <w:rPr>
          <w:rFonts w:ascii="Arial" w:hAnsi="Arial" w:cs="Arial"/>
          <w:i/>
          <w:sz w:val="24"/>
          <w:szCs w:val="24"/>
          <w:shd w:val="clear" w:color="auto" w:fill="FFFFFF"/>
        </w:rPr>
        <w:t xml:space="preserve"> </w:t>
      </w:r>
      <w:r w:rsidRPr="00811C41">
        <w:rPr>
          <w:rFonts w:ascii="Arial" w:hAnsi="Arial" w:cs="Arial"/>
          <w:i/>
          <w:sz w:val="24"/>
          <w:szCs w:val="24"/>
          <w:shd w:val="clear" w:color="auto" w:fill="FFFFFF"/>
        </w:rPr>
        <w:t>enquire into any labour dispute where the dispute relates to any issue –</w:t>
      </w:r>
    </w:p>
    <w:p w14:paraId="5649696B" w14:textId="77777777" w:rsidR="00811C41" w:rsidRDefault="00811C41" w:rsidP="00811C41">
      <w:pPr>
        <w:shd w:val="clear" w:color="auto" w:fill="FFFFFF"/>
        <w:ind w:firstLine="720"/>
        <w:jc w:val="both"/>
        <w:rPr>
          <w:rFonts w:ascii="Arial" w:hAnsi="Arial" w:cs="Arial"/>
          <w:i/>
          <w:sz w:val="24"/>
          <w:szCs w:val="24"/>
          <w:shd w:val="clear" w:color="auto" w:fill="FFFFFF"/>
        </w:rPr>
      </w:pPr>
      <w:r w:rsidRPr="00811C41">
        <w:rPr>
          <w:rFonts w:ascii="Arial" w:hAnsi="Arial" w:cs="Arial"/>
          <w:i/>
          <w:sz w:val="24"/>
          <w:szCs w:val="24"/>
          <w:shd w:val="clear" w:color="auto" w:fill="FFFFFF"/>
        </w:rPr>
        <w:t xml:space="preserve">(a)within the exclusive jurisdiction of the Industrial Court; </w:t>
      </w:r>
    </w:p>
    <w:p w14:paraId="7039A3AC" w14:textId="1D5B2774" w:rsidR="00BE47C1" w:rsidRDefault="00811C41" w:rsidP="00811C41">
      <w:pPr>
        <w:shd w:val="clear" w:color="auto" w:fill="FFFFFF"/>
        <w:ind w:left="993" w:hanging="273"/>
        <w:jc w:val="both"/>
        <w:rPr>
          <w:rFonts w:ascii="Arial" w:hAnsi="Arial" w:cs="Arial"/>
          <w:sz w:val="24"/>
          <w:szCs w:val="24"/>
        </w:rPr>
      </w:pPr>
      <w:r w:rsidRPr="00811C41">
        <w:rPr>
          <w:rFonts w:ascii="Arial" w:hAnsi="Arial" w:cs="Arial"/>
          <w:i/>
          <w:sz w:val="24"/>
          <w:szCs w:val="24"/>
          <w:shd w:val="clear" w:color="auto" w:fill="FFFFFF"/>
        </w:rPr>
        <w:t xml:space="preserve">(b)which is the subject of pending proceedings before the Commission or any court of law. </w:t>
      </w:r>
    </w:p>
    <w:p w14:paraId="64877B6C" w14:textId="7A15C555" w:rsidR="00BE47C1" w:rsidRDefault="00BE47C1" w:rsidP="00125EB7">
      <w:pPr>
        <w:shd w:val="clear" w:color="auto" w:fill="FFFFFF"/>
        <w:jc w:val="both"/>
        <w:rPr>
          <w:rFonts w:ascii="Arial" w:hAnsi="Arial" w:cs="Arial"/>
          <w:sz w:val="24"/>
          <w:szCs w:val="24"/>
        </w:rPr>
      </w:pPr>
      <w:r>
        <w:rPr>
          <w:rFonts w:ascii="Arial" w:hAnsi="Arial" w:cs="Arial"/>
          <w:sz w:val="24"/>
          <w:szCs w:val="24"/>
        </w:rPr>
        <w:t>In the circumstances, the Tribunal can only refer to paragraph 18.1.2 (viii) of the PRB Report 2016 (Disputant has made all his claims</w:t>
      </w:r>
      <w:r w:rsidR="000C1FC9">
        <w:rPr>
          <w:rFonts w:ascii="Arial" w:hAnsi="Arial" w:cs="Arial"/>
          <w:sz w:val="24"/>
          <w:szCs w:val="24"/>
        </w:rPr>
        <w:t xml:space="preserve">, most of which have already been paid </w:t>
      </w:r>
      <w:r w:rsidR="000C1FC9">
        <w:rPr>
          <w:rFonts w:ascii="Arial" w:hAnsi="Arial" w:cs="Arial"/>
          <w:sz w:val="24"/>
          <w:szCs w:val="24"/>
        </w:rPr>
        <w:lastRenderedPageBreak/>
        <w:t>to him,</w:t>
      </w:r>
      <w:r>
        <w:rPr>
          <w:rFonts w:ascii="Arial" w:hAnsi="Arial" w:cs="Arial"/>
          <w:sz w:val="24"/>
          <w:szCs w:val="24"/>
        </w:rPr>
        <w:t xml:space="preserve"> </w:t>
      </w:r>
      <w:r w:rsidR="000C1FC9">
        <w:rPr>
          <w:rFonts w:ascii="Arial" w:hAnsi="Arial" w:cs="Arial"/>
          <w:sz w:val="24"/>
          <w:szCs w:val="24"/>
        </w:rPr>
        <w:t>under</w:t>
      </w:r>
      <w:r>
        <w:rPr>
          <w:rFonts w:ascii="Arial" w:hAnsi="Arial" w:cs="Arial"/>
          <w:sz w:val="24"/>
          <w:szCs w:val="24"/>
        </w:rPr>
        <w:t xml:space="preserve"> provisions of the PRB Report 2016 (for example, see paragraphs 3 and 5 of the Statement of Case of Disputant)</w:t>
      </w:r>
      <w:r w:rsidR="000C1FC9">
        <w:rPr>
          <w:rFonts w:ascii="Arial" w:hAnsi="Arial" w:cs="Arial"/>
          <w:sz w:val="24"/>
          <w:szCs w:val="24"/>
        </w:rPr>
        <w:t xml:space="preserve">) </w:t>
      </w:r>
      <w:r>
        <w:rPr>
          <w:rFonts w:ascii="Arial" w:hAnsi="Arial" w:cs="Arial"/>
          <w:sz w:val="24"/>
          <w:szCs w:val="24"/>
        </w:rPr>
        <w:t>which reads as follows:</w:t>
      </w:r>
    </w:p>
    <w:p w14:paraId="7DB5FBD9" w14:textId="3053838A" w:rsidR="00BE47C1" w:rsidRPr="00EC625E" w:rsidRDefault="00EC625E" w:rsidP="00125EB7">
      <w:pPr>
        <w:shd w:val="clear" w:color="auto" w:fill="FFFFFF"/>
        <w:jc w:val="both"/>
        <w:rPr>
          <w:rFonts w:ascii="Arial" w:hAnsi="Arial" w:cs="Arial"/>
          <w:b/>
          <w:i/>
          <w:sz w:val="24"/>
          <w:szCs w:val="24"/>
        </w:rPr>
      </w:pPr>
      <w:r w:rsidRPr="00EC625E">
        <w:rPr>
          <w:rFonts w:ascii="Arial" w:hAnsi="Arial" w:cs="Arial"/>
          <w:b/>
          <w:i/>
          <w:sz w:val="24"/>
          <w:szCs w:val="24"/>
        </w:rPr>
        <w:t>(viii) Advisers/Officers whose contract of employment are not renewed or who give the appropriate notice for termination of their employment are paid the end-of-year bonus provided they have served for at least six months in that calendar year in the organisation and the end-of-year bonus was not pro-rated and integrated in their emoluments. The bonus is in proportion to the period served in that organisation and is paid at the end of December of that year.</w:t>
      </w:r>
    </w:p>
    <w:p w14:paraId="4F136E41" w14:textId="09A5B4E8" w:rsidR="00E73A10" w:rsidRPr="00125EB7" w:rsidRDefault="00986E27" w:rsidP="00125EB7">
      <w:pPr>
        <w:shd w:val="clear" w:color="auto" w:fill="FFFFFF"/>
        <w:jc w:val="both"/>
        <w:rPr>
          <w:rFonts w:ascii="Arial" w:hAnsi="Arial" w:cs="Arial"/>
          <w:sz w:val="24"/>
          <w:szCs w:val="24"/>
        </w:rPr>
      </w:pPr>
      <w:r w:rsidRPr="00125EB7">
        <w:rPr>
          <w:rFonts w:ascii="Arial" w:hAnsi="Arial" w:cs="Arial"/>
          <w:sz w:val="24"/>
          <w:szCs w:val="24"/>
        </w:rPr>
        <w:t xml:space="preserve">                                 </w:t>
      </w:r>
      <w:r w:rsidR="00E863F7" w:rsidRPr="00125EB7">
        <w:rPr>
          <w:rFonts w:ascii="Arial" w:hAnsi="Arial" w:cs="Arial"/>
          <w:sz w:val="24"/>
          <w:szCs w:val="24"/>
        </w:rPr>
        <w:t xml:space="preserve">      </w:t>
      </w:r>
      <w:r w:rsidR="00AF5E71" w:rsidRPr="00125EB7">
        <w:rPr>
          <w:rFonts w:ascii="Arial" w:hAnsi="Arial" w:cs="Arial"/>
          <w:sz w:val="24"/>
          <w:szCs w:val="24"/>
        </w:rPr>
        <w:t xml:space="preserve">  </w:t>
      </w:r>
    </w:p>
    <w:p w14:paraId="1D66C087" w14:textId="55B2F926" w:rsidR="008D28F7" w:rsidRDefault="00BE47C1" w:rsidP="00215B54">
      <w:pPr>
        <w:jc w:val="both"/>
        <w:rPr>
          <w:rFonts w:ascii="Arial" w:hAnsi="Arial" w:cs="Arial"/>
          <w:sz w:val="24"/>
          <w:szCs w:val="24"/>
        </w:rPr>
      </w:pPr>
      <w:r>
        <w:rPr>
          <w:rFonts w:ascii="Arial" w:hAnsi="Arial" w:cs="Arial"/>
          <w:sz w:val="24"/>
          <w:szCs w:val="24"/>
        </w:rPr>
        <w:t xml:space="preserve">It is clear that for the period 1 January 2019 to 14 June 2019, the Disputant had not “served for at least six months” so that the end-of-year bonus mentioned under paragraph 18.1.2(viii) of the PRB Report 2016 </w:t>
      </w:r>
      <w:r w:rsidR="008524F5">
        <w:rPr>
          <w:rFonts w:ascii="Arial" w:hAnsi="Arial" w:cs="Arial"/>
          <w:sz w:val="24"/>
          <w:szCs w:val="24"/>
        </w:rPr>
        <w:t>cannot apply in the case of Disputant.</w:t>
      </w:r>
    </w:p>
    <w:p w14:paraId="655C7970" w14:textId="135378FD" w:rsidR="00BE47C1" w:rsidRDefault="008524F5" w:rsidP="00215B54">
      <w:pPr>
        <w:jc w:val="both"/>
        <w:rPr>
          <w:rFonts w:ascii="Arial" w:hAnsi="Arial" w:cs="Arial"/>
          <w:sz w:val="24"/>
          <w:szCs w:val="24"/>
        </w:rPr>
      </w:pPr>
      <w:r>
        <w:rPr>
          <w:rFonts w:ascii="Arial" w:hAnsi="Arial" w:cs="Arial"/>
          <w:sz w:val="24"/>
          <w:szCs w:val="24"/>
        </w:rPr>
        <w:t>For the reasons given above, the Disputant cannot award that an end-of-year bonus for the period 1 January 2019 to 14 June 2019 should be paid to Disputant and the case under this limb is set aside.</w:t>
      </w:r>
    </w:p>
    <w:p w14:paraId="5CC1E5F7" w14:textId="22EDF272" w:rsidR="008524F5" w:rsidRDefault="00E21AE4" w:rsidP="00215B54">
      <w:pPr>
        <w:jc w:val="both"/>
        <w:rPr>
          <w:rFonts w:ascii="Arial" w:hAnsi="Arial" w:cs="Arial"/>
          <w:sz w:val="24"/>
          <w:szCs w:val="24"/>
        </w:rPr>
      </w:pPr>
      <w:r>
        <w:rPr>
          <w:rFonts w:ascii="Arial" w:hAnsi="Arial" w:cs="Arial"/>
          <w:sz w:val="24"/>
          <w:szCs w:val="24"/>
        </w:rPr>
        <w:t>With</w:t>
      </w:r>
      <w:r w:rsidR="008524F5">
        <w:rPr>
          <w:rFonts w:ascii="Arial" w:hAnsi="Arial" w:cs="Arial"/>
          <w:sz w:val="24"/>
          <w:szCs w:val="24"/>
        </w:rPr>
        <w:t xml:space="preserve"> regard </w:t>
      </w:r>
      <w:r>
        <w:rPr>
          <w:rFonts w:ascii="Arial" w:hAnsi="Arial" w:cs="Arial"/>
          <w:sz w:val="24"/>
          <w:szCs w:val="24"/>
        </w:rPr>
        <w:t xml:space="preserve">to </w:t>
      </w:r>
      <w:r w:rsidR="008524F5">
        <w:rPr>
          <w:rFonts w:ascii="Arial" w:hAnsi="Arial" w:cs="Arial"/>
          <w:sz w:val="24"/>
          <w:szCs w:val="24"/>
        </w:rPr>
        <w:t xml:space="preserve">the </w:t>
      </w:r>
      <w:r>
        <w:rPr>
          <w:rFonts w:ascii="Arial" w:hAnsi="Arial" w:cs="Arial"/>
          <w:sz w:val="24"/>
          <w:szCs w:val="24"/>
        </w:rPr>
        <w:t xml:space="preserve">dispute concerning the travel grant, </w:t>
      </w:r>
      <w:r w:rsidR="0032014E">
        <w:rPr>
          <w:rFonts w:ascii="Arial" w:hAnsi="Arial" w:cs="Arial"/>
          <w:sz w:val="24"/>
          <w:szCs w:val="24"/>
        </w:rPr>
        <w:t>the Disputant is again relying on the PRB Report 2016 and more particularly Recommendation 51 at paragraph 18.2.145 of the said Report (Volume 1) which provides as follows:</w:t>
      </w:r>
    </w:p>
    <w:p w14:paraId="417E2EF9" w14:textId="77777777" w:rsidR="00AB103B" w:rsidRPr="00AB103B" w:rsidRDefault="00AB103B" w:rsidP="00215B54">
      <w:pPr>
        <w:jc w:val="both"/>
        <w:rPr>
          <w:rFonts w:ascii="Arial" w:hAnsi="Arial" w:cs="Arial"/>
          <w:b/>
          <w:i/>
          <w:sz w:val="24"/>
          <w:szCs w:val="24"/>
        </w:rPr>
      </w:pPr>
      <w:r w:rsidRPr="00AB103B">
        <w:rPr>
          <w:rFonts w:ascii="Arial" w:hAnsi="Arial" w:cs="Arial"/>
          <w:b/>
          <w:i/>
          <w:sz w:val="24"/>
          <w:szCs w:val="24"/>
        </w:rPr>
        <w:t xml:space="preserve">Recommendation 51 </w:t>
      </w:r>
    </w:p>
    <w:p w14:paraId="1D7AB358" w14:textId="20DCE6E4" w:rsidR="0032014E" w:rsidRDefault="00AB103B" w:rsidP="00215B54">
      <w:pPr>
        <w:jc w:val="both"/>
        <w:rPr>
          <w:rFonts w:ascii="Arial" w:hAnsi="Arial" w:cs="Arial"/>
          <w:b/>
          <w:i/>
          <w:sz w:val="24"/>
          <w:szCs w:val="24"/>
        </w:rPr>
      </w:pPr>
      <w:r w:rsidRPr="00AB103B">
        <w:rPr>
          <w:rFonts w:ascii="Arial" w:hAnsi="Arial" w:cs="Arial"/>
          <w:b/>
          <w:i/>
          <w:sz w:val="24"/>
          <w:szCs w:val="24"/>
        </w:rPr>
        <w:t>18.2.145 We recommend that Advisers/Officers on contract employment not entitled to 100% duty exemption on a car, but drawing a monthly salary in the range of Rs 42325 and up to Rs 56450 would be eligible for a monthly travel grant of Rs 7250 and should use their car for official purposes whenever required.</w:t>
      </w:r>
    </w:p>
    <w:p w14:paraId="0CC2612B" w14:textId="77777777" w:rsidR="00E03755" w:rsidRDefault="00836CCF" w:rsidP="00215B54">
      <w:pPr>
        <w:jc w:val="both"/>
        <w:rPr>
          <w:rFonts w:ascii="Arial" w:hAnsi="Arial" w:cs="Arial"/>
          <w:sz w:val="24"/>
          <w:szCs w:val="24"/>
        </w:rPr>
      </w:pPr>
      <w:r>
        <w:rPr>
          <w:rFonts w:ascii="Arial" w:hAnsi="Arial" w:cs="Arial"/>
          <w:sz w:val="24"/>
          <w:szCs w:val="24"/>
        </w:rPr>
        <w:t>The offer of employment made to Disputant as per the letter of offer dated 8 December 2017 (Doc A) was accepted by the Disputant on the terms and conditions mentioned in the said letter (as per Doc G).  The letter of offer of employment refers to “You will be paid an all-inclusive monthly salary of Rs 50,000/-.”  “</w:t>
      </w:r>
      <w:r w:rsidR="00D52A0C">
        <w:rPr>
          <w:rFonts w:ascii="Arial" w:hAnsi="Arial" w:cs="Arial"/>
          <w:sz w:val="24"/>
          <w:szCs w:val="24"/>
        </w:rPr>
        <w:t>A</w:t>
      </w:r>
      <w:r>
        <w:rPr>
          <w:rFonts w:ascii="Arial" w:hAnsi="Arial" w:cs="Arial"/>
          <w:sz w:val="24"/>
          <w:szCs w:val="24"/>
        </w:rPr>
        <w:t>ll-inclusive</w:t>
      </w:r>
      <w:r w:rsidR="00D52A0C">
        <w:rPr>
          <w:rFonts w:ascii="Arial" w:hAnsi="Arial" w:cs="Arial"/>
          <w:sz w:val="24"/>
          <w:szCs w:val="24"/>
        </w:rPr>
        <w:t>” connotes the idea that everything is included</w:t>
      </w:r>
      <w:r w:rsidR="00E03755">
        <w:rPr>
          <w:rFonts w:ascii="Arial" w:hAnsi="Arial" w:cs="Arial"/>
          <w:sz w:val="24"/>
          <w:szCs w:val="24"/>
        </w:rPr>
        <w:t>,</w:t>
      </w:r>
      <w:r w:rsidR="00D52A0C">
        <w:rPr>
          <w:rFonts w:ascii="Arial" w:hAnsi="Arial" w:cs="Arial"/>
          <w:sz w:val="24"/>
          <w:szCs w:val="24"/>
        </w:rPr>
        <w:t xml:space="preserve"> and </w:t>
      </w:r>
      <w:r w:rsidR="00E03755">
        <w:rPr>
          <w:rFonts w:ascii="Arial" w:hAnsi="Arial" w:cs="Arial"/>
          <w:sz w:val="24"/>
          <w:szCs w:val="24"/>
        </w:rPr>
        <w:t xml:space="preserve">differs from </w:t>
      </w:r>
      <w:r w:rsidR="00D52A0C">
        <w:rPr>
          <w:rFonts w:ascii="Arial" w:hAnsi="Arial" w:cs="Arial"/>
          <w:sz w:val="24"/>
          <w:szCs w:val="24"/>
        </w:rPr>
        <w:t>“basic salary”</w:t>
      </w:r>
      <w:r w:rsidR="00E03755">
        <w:rPr>
          <w:rFonts w:ascii="Arial" w:hAnsi="Arial" w:cs="Arial"/>
          <w:sz w:val="24"/>
          <w:szCs w:val="24"/>
        </w:rPr>
        <w:t>.  In the present case, an all-inclusive salary may, for instance, include all payments related to overtime.</w:t>
      </w:r>
    </w:p>
    <w:p w14:paraId="190BDF2D" w14:textId="47DD7AE4" w:rsidR="00E03755" w:rsidRDefault="00E03755" w:rsidP="00215B54">
      <w:pPr>
        <w:jc w:val="both"/>
        <w:rPr>
          <w:rFonts w:ascii="Arial" w:hAnsi="Arial" w:cs="Arial"/>
          <w:sz w:val="24"/>
          <w:szCs w:val="24"/>
        </w:rPr>
      </w:pPr>
      <w:r>
        <w:rPr>
          <w:rFonts w:ascii="Arial" w:hAnsi="Arial" w:cs="Arial"/>
          <w:sz w:val="24"/>
          <w:szCs w:val="24"/>
        </w:rPr>
        <w:t>It is apposite to note that Recommendation 25 at paragraph 18.2.68 of the same PRB Report 2016 (Volume 1) provides as follows:</w:t>
      </w:r>
    </w:p>
    <w:p w14:paraId="16C056E5" w14:textId="0CF7A397" w:rsidR="00E03755" w:rsidRDefault="00E03755" w:rsidP="00E03755">
      <w:pPr>
        <w:ind w:left="993" w:hanging="1135"/>
        <w:jc w:val="both"/>
        <w:rPr>
          <w:rFonts w:ascii="Arial" w:hAnsi="Arial" w:cs="Arial"/>
          <w:b/>
          <w:i/>
          <w:sz w:val="24"/>
          <w:szCs w:val="24"/>
        </w:rPr>
      </w:pPr>
      <w:r w:rsidRPr="00E03755">
        <w:rPr>
          <w:rFonts w:ascii="Arial" w:hAnsi="Arial" w:cs="Arial"/>
          <w:b/>
          <w:i/>
          <w:sz w:val="24"/>
          <w:szCs w:val="24"/>
        </w:rPr>
        <w:t>18.2.68   We recommend that the monthly travelling allowances and mileage rates payable to beneficiaries be revised as per table below:</w:t>
      </w:r>
    </w:p>
    <w:p w14:paraId="3EB9CAE1" w14:textId="69FD55AC" w:rsidR="00585702" w:rsidRPr="00585702" w:rsidRDefault="00585702" w:rsidP="00E03755">
      <w:pPr>
        <w:ind w:left="993" w:hanging="1135"/>
        <w:jc w:val="both"/>
        <w:rPr>
          <w:rFonts w:ascii="Arial" w:hAnsi="Arial" w:cs="Arial"/>
          <w:sz w:val="24"/>
          <w:szCs w:val="24"/>
        </w:rPr>
      </w:pPr>
      <w:r>
        <w:rPr>
          <w:rFonts w:ascii="Arial" w:hAnsi="Arial" w:cs="Arial"/>
          <w:b/>
          <w:i/>
          <w:sz w:val="24"/>
          <w:szCs w:val="24"/>
        </w:rPr>
        <w:tab/>
      </w:r>
      <w:r w:rsidRPr="00585702">
        <w:rPr>
          <w:rFonts w:ascii="Arial" w:hAnsi="Arial" w:cs="Arial"/>
          <w:sz w:val="24"/>
          <w:szCs w:val="24"/>
        </w:rPr>
        <w:t>…</w:t>
      </w:r>
    </w:p>
    <w:p w14:paraId="2550EB95" w14:textId="6E4CD7A5" w:rsidR="00AD628E" w:rsidRDefault="00AE69A5" w:rsidP="00215B54">
      <w:pPr>
        <w:jc w:val="both"/>
        <w:rPr>
          <w:rFonts w:ascii="Arial" w:hAnsi="Arial" w:cs="Arial"/>
          <w:b/>
          <w:i/>
          <w:sz w:val="24"/>
          <w:szCs w:val="24"/>
        </w:rPr>
      </w:pPr>
      <w:r>
        <w:rPr>
          <w:noProof/>
        </w:rPr>
        <w:lastRenderedPageBreak/>
        <mc:AlternateContent>
          <mc:Choice Requires="wps">
            <w:drawing>
              <wp:anchor distT="45720" distB="45720" distL="114300" distR="114300" simplePos="0" relativeHeight="251661312" behindDoc="0" locked="0" layoutInCell="1" allowOverlap="1" wp14:anchorId="1D72EECA" wp14:editId="6522420D">
                <wp:simplePos x="0" y="0"/>
                <wp:positionH relativeFrom="column">
                  <wp:posOffset>3736975</wp:posOffset>
                </wp:positionH>
                <wp:positionV relativeFrom="paragraph">
                  <wp:posOffset>381000</wp:posOffset>
                </wp:positionV>
                <wp:extent cx="2339975" cy="1235710"/>
                <wp:effectExtent l="12700" t="9525" r="9525" b="1206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235710"/>
                        </a:xfrm>
                        <a:prstGeom prst="rect">
                          <a:avLst/>
                        </a:prstGeom>
                        <a:solidFill>
                          <a:srgbClr val="FFFFFF"/>
                        </a:solidFill>
                        <a:ln w="9525">
                          <a:solidFill>
                            <a:srgbClr val="000000"/>
                          </a:solidFill>
                          <a:miter lim="800000"/>
                          <a:headEnd/>
                          <a:tailEnd/>
                        </a:ln>
                      </wps:spPr>
                      <wps:txbx>
                        <w:txbxContent>
                          <w:p w14:paraId="1D03893A" w14:textId="174BB5C2" w:rsidR="00AD628E" w:rsidRDefault="00AD628E">
                            <w:r w:rsidRPr="00AD628E">
                              <w:rPr>
                                <w:rFonts w:ascii="Arial" w:hAnsi="Arial" w:cs="Arial"/>
                                <w:b/>
                                <w:i/>
                                <w:sz w:val="24"/>
                                <w:szCs w:val="24"/>
                              </w:rPr>
                              <w:t>A monthly travel grant of Rs 7250.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2EECA" id="_x0000_t202" coordsize="21600,21600" o:spt="202" path="m,l,21600r21600,l21600,xe">
                <v:stroke joinstyle="miter"/>
                <v:path gradientshapeok="t" o:connecttype="rect"/>
              </v:shapetype>
              <v:shape id="Text Box 3" o:spid="_x0000_s1026" type="#_x0000_t202" style="position:absolute;left:0;text-align:left;margin-left:294.25pt;margin-top:30pt;width:184.25pt;height:9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">
                <v:textbox>
                  <w:txbxContent>
                    <w:p w14:paraId="1D03893A" w14:textId="174BB5C2" w:rsidR="00AD628E" w:rsidRDefault="00AD628E">
                      <w:r w:rsidRPr="00AD628E">
                        <w:rPr>
                          <w:rFonts w:ascii="Arial" w:hAnsi="Arial" w:cs="Arial"/>
                          <w:b/>
                          <w:i/>
                          <w:sz w:val="24"/>
                          <w:szCs w:val="24"/>
                        </w:rPr>
                        <w:t>A monthly travel grant of Rs 7250.</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6BAB9CB" wp14:editId="7D72E507">
                <wp:simplePos x="0" y="0"/>
                <wp:positionH relativeFrom="column">
                  <wp:posOffset>-40005</wp:posOffset>
                </wp:positionH>
                <wp:positionV relativeFrom="paragraph">
                  <wp:posOffset>381000</wp:posOffset>
                </wp:positionV>
                <wp:extent cx="3387725" cy="1235710"/>
                <wp:effectExtent l="7620" t="9525" r="508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235710"/>
                        </a:xfrm>
                        <a:prstGeom prst="rect">
                          <a:avLst/>
                        </a:prstGeom>
                        <a:solidFill>
                          <a:srgbClr val="FFFFFF"/>
                        </a:solidFill>
                        <a:ln w="9525">
                          <a:solidFill>
                            <a:srgbClr val="000000"/>
                          </a:solidFill>
                          <a:miter lim="800000"/>
                          <a:headEnd/>
                          <a:tailEnd/>
                        </a:ln>
                      </wps:spPr>
                      <wps:txbx>
                        <w:txbxContent>
                          <w:p w14:paraId="3ED59C9C" w14:textId="380CFC95" w:rsidR="00AD628E" w:rsidRDefault="00AD628E">
                            <w:r w:rsidRPr="00AD628E">
                              <w:rPr>
                                <w:rFonts w:ascii="Arial" w:hAnsi="Arial" w:cs="Arial"/>
                                <w:b/>
                                <w:i/>
                                <w:sz w:val="24"/>
                                <w:szCs w:val="24"/>
                              </w:rPr>
                              <w:t>3. Officers drawing a monthly basic salary of Rs 42325 and up to Rs 56450 and who are not eligible for 100% duty exemption but own a car.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AB9CB" id="Text Box 2" o:spid="_x0000_s1027" type="#_x0000_t202" style="position:absolute;left:0;text-align:left;margin-left:-3.15pt;margin-top:30pt;width:266.75pt;height:9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">
                <v:textbox>
                  <w:txbxContent>
                    <w:p w14:paraId="3ED59C9C" w14:textId="380CFC95" w:rsidR="00AD628E" w:rsidRDefault="00AD628E">
                      <w:r w:rsidRPr="00AD628E">
                        <w:rPr>
                          <w:rFonts w:ascii="Arial" w:hAnsi="Arial" w:cs="Arial"/>
                          <w:b/>
                          <w:i/>
                          <w:sz w:val="24"/>
                          <w:szCs w:val="24"/>
                        </w:rPr>
                        <w:t>3. Officers drawing a monthly basic salary of Rs 42325 and up to Rs 56450 and who are not eligible for 100% duty exemption but own a car.</w:t>
                      </w:r>
                    </w:p>
                  </w:txbxContent>
                </v:textbox>
                <w10:wrap type="square"/>
              </v:shape>
            </w:pict>
          </mc:Fallback>
        </mc:AlternateContent>
      </w:r>
    </w:p>
    <w:p w14:paraId="1DFCE0A0" w14:textId="7D288964" w:rsidR="00444A93" w:rsidRDefault="00444A93" w:rsidP="00811C41">
      <w:pPr>
        <w:jc w:val="both"/>
        <w:rPr>
          <w:rFonts w:ascii="Arial" w:hAnsi="Arial" w:cs="Arial"/>
          <w:sz w:val="24"/>
          <w:szCs w:val="24"/>
        </w:rPr>
      </w:pPr>
      <w:r>
        <w:rPr>
          <w:rFonts w:ascii="Arial" w:hAnsi="Arial" w:cs="Arial"/>
          <w:sz w:val="24"/>
          <w:szCs w:val="24"/>
        </w:rPr>
        <w:t>Paragraph 18.2.70 under Recommendation 26 of the PRB Report 2016 (Volume 1) provides the following:</w:t>
      </w:r>
    </w:p>
    <w:p w14:paraId="43541E93" w14:textId="334908DF" w:rsidR="00444A93" w:rsidRPr="00585702" w:rsidRDefault="00585702" w:rsidP="00585702">
      <w:pPr>
        <w:ind w:left="851" w:hanging="993"/>
        <w:jc w:val="both"/>
        <w:rPr>
          <w:rFonts w:ascii="Arial" w:hAnsi="Arial" w:cs="Arial"/>
          <w:b/>
          <w:i/>
          <w:sz w:val="24"/>
          <w:szCs w:val="24"/>
        </w:rPr>
      </w:pPr>
      <w:r w:rsidRPr="00585702">
        <w:rPr>
          <w:rFonts w:ascii="Arial" w:hAnsi="Arial" w:cs="Arial"/>
          <w:b/>
          <w:i/>
          <w:sz w:val="24"/>
          <w:szCs w:val="24"/>
        </w:rPr>
        <w:t xml:space="preserve">18.2.70 </w:t>
      </w:r>
      <w:r w:rsidRPr="00585702">
        <w:rPr>
          <w:rFonts w:ascii="Arial" w:hAnsi="Arial" w:cs="Arial"/>
          <w:b/>
          <w:i/>
          <w:sz w:val="24"/>
          <w:szCs w:val="24"/>
        </w:rPr>
        <w:tab/>
        <w:t>We further recommend that the refund of travelling and mileage allowances in respect of officers in the categories specified at (No. 1) to (No. 5) at paragraph 18.2.68 should also apply to Advisers/Officers on contract employment at corresponding levels.</w:t>
      </w:r>
    </w:p>
    <w:p w14:paraId="488EC1E8" w14:textId="77777777" w:rsidR="00444A93" w:rsidRDefault="00444A93" w:rsidP="00811C41">
      <w:pPr>
        <w:jc w:val="both"/>
        <w:rPr>
          <w:rFonts w:ascii="Arial" w:hAnsi="Arial" w:cs="Arial"/>
          <w:sz w:val="24"/>
          <w:szCs w:val="24"/>
        </w:rPr>
      </w:pPr>
    </w:p>
    <w:p w14:paraId="5C34A8FC" w14:textId="560DC976" w:rsidR="001E44AA" w:rsidRDefault="001E44AA" w:rsidP="00811C41">
      <w:pPr>
        <w:jc w:val="both"/>
        <w:rPr>
          <w:rFonts w:ascii="Arial" w:hAnsi="Arial" w:cs="Arial"/>
          <w:sz w:val="24"/>
          <w:szCs w:val="24"/>
        </w:rPr>
      </w:pPr>
      <w:r>
        <w:rPr>
          <w:rFonts w:ascii="Arial" w:hAnsi="Arial" w:cs="Arial"/>
          <w:sz w:val="24"/>
          <w:szCs w:val="24"/>
        </w:rPr>
        <w:t>Recommendation 1 at paragraph 13.8(ii) of the PRB Report 2016 (still Volume 1) reads as follows:</w:t>
      </w:r>
    </w:p>
    <w:p w14:paraId="21DE2295" w14:textId="2FE6B7D1" w:rsidR="001E44AA" w:rsidRPr="001E44AA" w:rsidRDefault="001E44AA" w:rsidP="00215B54">
      <w:pPr>
        <w:jc w:val="both"/>
        <w:rPr>
          <w:rFonts w:ascii="Arial" w:hAnsi="Arial" w:cs="Arial"/>
          <w:b/>
          <w:i/>
          <w:sz w:val="24"/>
          <w:szCs w:val="24"/>
        </w:rPr>
      </w:pPr>
      <w:r w:rsidRPr="001E44AA">
        <w:rPr>
          <w:rFonts w:ascii="Arial" w:hAnsi="Arial" w:cs="Arial"/>
          <w:b/>
          <w:i/>
          <w:sz w:val="24"/>
          <w:szCs w:val="24"/>
        </w:rPr>
        <w:t>Recommendation 1</w:t>
      </w:r>
    </w:p>
    <w:p w14:paraId="4D54239A" w14:textId="026863EC" w:rsidR="001E44AA" w:rsidRPr="001E44AA" w:rsidRDefault="001E44AA" w:rsidP="00215B54">
      <w:pPr>
        <w:jc w:val="both"/>
        <w:rPr>
          <w:rFonts w:ascii="Arial" w:hAnsi="Arial" w:cs="Arial"/>
          <w:b/>
          <w:i/>
          <w:sz w:val="24"/>
          <w:szCs w:val="24"/>
        </w:rPr>
      </w:pPr>
      <w:r w:rsidRPr="001E44AA">
        <w:rPr>
          <w:rFonts w:ascii="Arial" w:hAnsi="Arial" w:cs="Arial"/>
          <w:b/>
          <w:i/>
          <w:sz w:val="24"/>
          <w:szCs w:val="24"/>
        </w:rPr>
        <w:t>13.8</w:t>
      </w:r>
      <w:r w:rsidRPr="001E44AA">
        <w:rPr>
          <w:rFonts w:ascii="Arial" w:hAnsi="Arial" w:cs="Arial"/>
          <w:b/>
          <w:i/>
          <w:sz w:val="24"/>
          <w:szCs w:val="24"/>
        </w:rPr>
        <w:tab/>
        <w:t xml:space="preserve">We recommend that </w:t>
      </w:r>
    </w:p>
    <w:p w14:paraId="4126A3D8" w14:textId="7DCD4151" w:rsidR="001E44AA" w:rsidRPr="001E44AA" w:rsidRDefault="001E44AA" w:rsidP="00215B54">
      <w:pPr>
        <w:jc w:val="both"/>
        <w:rPr>
          <w:rFonts w:ascii="Arial" w:hAnsi="Arial" w:cs="Arial"/>
          <w:b/>
          <w:i/>
          <w:sz w:val="24"/>
          <w:szCs w:val="24"/>
        </w:rPr>
      </w:pPr>
      <w:r w:rsidRPr="001E44AA">
        <w:rPr>
          <w:rFonts w:ascii="Arial" w:hAnsi="Arial" w:cs="Arial"/>
          <w:b/>
          <w:i/>
          <w:sz w:val="24"/>
          <w:szCs w:val="24"/>
        </w:rPr>
        <w:tab/>
        <w:t>(i) …</w:t>
      </w:r>
    </w:p>
    <w:p w14:paraId="423727BE" w14:textId="79DD71FE" w:rsidR="001E44AA" w:rsidRDefault="001E44AA" w:rsidP="001E44AA">
      <w:pPr>
        <w:ind w:left="1134" w:hanging="567"/>
        <w:jc w:val="both"/>
        <w:rPr>
          <w:rFonts w:ascii="Arial" w:hAnsi="Arial" w:cs="Arial"/>
          <w:b/>
          <w:i/>
          <w:sz w:val="24"/>
          <w:szCs w:val="24"/>
        </w:rPr>
      </w:pPr>
      <w:r>
        <w:rPr>
          <w:rFonts w:ascii="Arial" w:hAnsi="Arial" w:cs="Arial"/>
          <w:b/>
          <w:i/>
          <w:sz w:val="24"/>
          <w:szCs w:val="24"/>
        </w:rPr>
        <w:t xml:space="preserve">  </w:t>
      </w:r>
      <w:r w:rsidRPr="001E44AA">
        <w:rPr>
          <w:rFonts w:ascii="Arial" w:hAnsi="Arial" w:cs="Arial"/>
          <w:b/>
          <w:i/>
          <w:sz w:val="24"/>
          <w:szCs w:val="24"/>
        </w:rPr>
        <w:t xml:space="preserve">(ii) the provisions for travelling and car benefits of officers on contract employment should be in line with what is recommended at Chapter 18.2 of this Volume.    </w:t>
      </w:r>
    </w:p>
    <w:p w14:paraId="61E164E6" w14:textId="25AE61B8" w:rsidR="001E44AA" w:rsidRDefault="001E44AA" w:rsidP="00CE4482">
      <w:pPr>
        <w:spacing w:after="0" w:line="240" w:lineRule="auto"/>
        <w:jc w:val="both"/>
        <w:rPr>
          <w:rFonts w:ascii="Arial" w:hAnsi="Arial" w:cs="Arial"/>
          <w:sz w:val="24"/>
          <w:szCs w:val="24"/>
        </w:rPr>
      </w:pPr>
      <w:r w:rsidRPr="001E44AA">
        <w:rPr>
          <w:rFonts w:ascii="Arial" w:hAnsi="Arial" w:cs="Arial"/>
          <w:sz w:val="24"/>
          <w:szCs w:val="24"/>
        </w:rPr>
        <w:t>Counsel</w:t>
      </w:r>
      <w:r>
        <w:rPr>
          <w:rFonts w:ascii="Arial" w:hAnsi="Arial" w:cs="Arial"/>
          <w:sz w:val="24"/>
          <w:szCs w:val="24"/>
        </w:rPr>
        <w:t xml:space="preserve"> for Disputant argued that since for </w:t>
      </w:r>
      <w:r w:rsidR="00CE4482">
        <w:rPr>
          <w:rFonts w:ascii="Arial" w:hAnsi="Arial" w:cs="Arial"/>
          <w:sz w:val="24"/>
          <w:szCs w:val="24"/>
        </w:rPr>
        <w:t>o</w:t>
      </w:r>
      <w:r>
        <w:rPr>
          <w:rFonts w:ascii="Arial" w:hAnsi="Arial" w:cs="Arial"/>
          <w:sz w:val="24"/>
          <w:szCs w:val="24"/>
        </w:rPr>
        <w:t>fficers on contract there was only mention</w:t>
      </w:r>
      <w:r w:rsidR="00CE4482">
        <w:rPr>
          <w:rFonts w:ascii="Arial" w:hAnsi="Arial" w:cs="Arial"/>
          <w:sz w:val="24"/>
          <w:szCs w:val="24"/>
        </w:rPr>
        <w:t xml:space="preserve"> </w:t>
      </w:r>
      <w:r>
        <w:rPr>
          <w:rFonts w:ascii="Arial" w:hAnsi="Arial" w:cs="Arial"/>
          <w:sz w:val="24"/>
          <w:szCs w:val="24"/>
        </w:rPr>
        <w:t xml:space="preserve">of “monthly salary” and not “monthly basic salary”, then for Officers on contract, it was the monthly salary which mattered and not the basic salary.  The Tribunal does not agree with this submission and will refer to Recommendation 53 at paragraph 18.2.150 of the same PRB Report 2016 (Volume 1) which provides as follows: </w:t>
      </w:r>
    </w:p>
    <w:p w14:paraId="69C016B4" w14:textId="77777777" w:rsidR="00CE4482" w:rsidRDefault="00CE4482" w:rsidP="00CE4482">
      <w:pPr>
        <w:spacing w:after="0" w:line="240" w:lineRule="auto"/>
        <w:jc w:val="both"/>
        <w:rPr>
          <w:rFonts w:ascii="Arial" w:hAnsi="Arial" w:cs="Arial"/>
          <w:sz w:val="24"/>
          <w:szCs w:val="24"/>
        </w:rPr>
      </w:pPr>
    </w:p>
    <w:p w14:paraId="5FA5898A" w14:textId="77777777" w:rsidR="001E44AA" w:rsidRPr="001E44AA" w:rsidRDefault="001E44AA" w:rsidP="001E44AA">
      <w:pPr>
        <w:spacing w:line="240" w:lineRule="auto"/>
        <w:jc w:val="both"/>
        <w:rPr>
          <w:rFonts w:ascii="Arial" w:hAnsi="Arial" w:cs="Arial"/>
          <w:b/>
          <w:i/>
          <w:sz w:val="24"/>
          <w:szCs w:val="24"/>
        </w:rPr>
      </w:pPr>
      <w:r w:rsidRPr="001E44AA">
        <w:rPr>
          <w:rFonts w:ascii="Arial" w:hAnsi="Arial" w:cs="Arial"/>
          <w:b/>
          <w:i/>
          <w:sz w:val="24"/>
          <w:szCs w:val="24"/>
        </w:rPr>
        <w:t xml:space="preserve">Other Related Provisions </w:t>
      </w:r>
    </w:p>
    <w:p w14:paraId="6C9A6D90" w14:textId="77777777" w:rsidR="001E44AA" w:rsidRPr="001E44AA" w:rsidRDefault="001E44AA" w:rsidP="001E44AA">
      <w:pPr>
        <w:spacing w:line="240" w:lineRule="auto"/>
        <w:jc w:val="both"/>
        <w:rPr>
          <w:rFonts w:ascii="Arial" w:hAnsi="Arial" w:cs="Arial"/>
          <w:b/>
          <w:i/>
          <w:sz w:val="24"/>
          <w:szCs w:val="24"/>
        </w:rPr>
      </w:pPr>
      <w:r w:rsidRPr="001E44AA">
        <w:rPr>
          <w:rFonts w:ascii="Arial" w:hAnsi="Arial" w:cs="Arial"/>
          <w:b/>
          <w:i/>
          <w:sz w:val="24"/>
          <w:szCs w:val="24"/>
        </w:rPr>
        <w:t xml:space="preserve">Recommendation 53 </w:t>
      </w:r>
    </w:p>
    <w:p w14:paraId="7B6A25DE" w14:textId="3F12D839" w:rsidR="001E44AA" w:rsidRPr="001E44AA" w:rsidRDefault="001E44AA" w:rsidP="001E44AA">
      <w:pPr>
        <w:spacing w:line="240" w:lineRule="auto"/>
        <w:jc w:val="both"/>
        <w:rPr>
          <w:rFonts w:ascii="Arial" w:hAnsi="Arial" w:cs="Arial"/>
          <w:b/>
          <w:i/>
          <w:sz w:val="24"/>
          <w:szCs w:val="24"/>
        </w:rPr>
      </w:pPr>
      <w:r w:rsidRPr="001E44AA">
        <w:rPr>
          <w:rFonts w:ascii="Arial" w:hAnsi="Arial" w:cs="Arial"/>
          <w:b/>
          <w:i/>
          <w:sz w:val="24"/>
          <w:szCs w:val="24"/>
        </w:rPr>
        <w:t>18.2.150 We recommend that wherever the term “salary” is used in the Chapter (Travelling and Car Benefits) of this Volume, it is deemed to read “basic salary</w:t>
      </w:r>
      <w:r w:rsidR="00CE4482">
        <w:rPr>
          <w:rFonts w:ascii="Arial" w:hAnsi="Arial" w:cs="Arial"/>
          <w:b/>
          <w:i/>
          <w:sz w:val="24"/>
          <w:szCs w:val="24"/>
        </w:rPr>
        <w:t>”.</w:t>
      </w:r>
    </w:p>
    <w:p w14:paraId="35D5A19B" w14:textId="0096EBDD" w:rsidR="001E44AA" w:rsidRDefault="00CE4482" w:rsidP="00215B54">
      <w:pPr>
        <w:jc w:val="both"/>
        <w:rPr>
          <w:rFonts w:ascii="Arial" w:hAnsi="Arial" w:cs="Arial"/>
          <w:sz w:val="24"/>
          <w:szCs w:val="24"/>
        </w:rPr>
      </w:pPr>
      <w:r>
        <w:rPr>
          <w:rFonts w:ascii="Arial" w:hAnsi="Arial" w:cs="Arial"/>
          <w:sz w:val="24"/>
          <w:szCs w:val="24"/>
        </w:rPr>
        <w:t xml:space="preserve">At the same time, it is only </w:t>
      </w:r>
      <w:r w:rsidR="00444A93">
        <w:rPr>
          <w:rFonts w:ascii="Arial" w:hAnsi="Arial" w:cs="Arial"/>
          <w:sz w:val="24"/>
          <w:szCs w:val="24"/>
        </w:rPr>
        <w:t xml:space="preserve">when </w:t>
      </w:r>
      <w:r w:rsidR="00540B24">
        <w:rPr>
          <w:rFonts w:ascii="Arial" w:hAnsi="Arial" w:cs="Arial"/>
          <w:sz w:val="24"/>
          <w:szCs w:val="24"/>
        </w:rPr>
        <w:t xml:space="preserve">the term “salary” in paragraph 18.2.145 (Recommendation 51) (see above) is deemed to read “basic salary” </w:t>
      </w:r>
      <w:r>
        <w:rPr>
          <w:rFonts w:ascii="Arial" w:hAnsi="Arial" w:cs="Arial"/>
          <w:sz w:val="24"/>
          <w:szCs w:val="24"/>
        </w:rPr>
        <w:t xml:space="preserve">that the </w:t>
      </w:r>
      <w:r w:rsidR="00540B24">
        <w:rPr>
          <w:rFonts w:ascii="Arial" w:hAnsi="Arial" w:cs="Arial"/>
          <w:sz w:val="24"/>
          <w:szCs w:val="24"/>
        </w:rPr>
        <w:t xml:space="preserve">said </w:t>
      </w:r>
      <w:r w:rsidR="00540B24">
        <w:rPr>
          <w:rFonts w:ascii="Arial" w:hAnsi="Arial" w:cs="Arial"/>
          <w:sz w:val="24"/>
          <w:szCs w:val="24"/>
        </w:rPr>
        <w:lastRenderedPageBreak/>
        <w:t xml:space="preserve">paragraph </w:t>
      </w:r>
      <w:r>
        <w:rPr>
          <w:rFonts w:ascii="Arial" w:hAnsi="Arial" w:cs="Arial"/>
          <w:sz w:val="24"/>
          <w:szCs w:val="24"/>
        </w:rPr>
        <w:t>w</w:t>
      </w:r>
      <w:r w:rsidR="00540B24">
        <w:rPr>
          <w:rFonts w:ascii="Arial" w:hAnsi="Arial" w:cs="Arial"/>
          <w:sz w:val="24"/>
          <w:szCs w:val="24"/>
        </w:rPr>
        <w:t>ill</w:t>
      </w:r>
      <w:r>
        <w:rPr>
          <w:rFonts w:ascii="Arial" w:hAnsi="Arial" w:cs="Arial"/>
          <w:sz w:val="24"/>
          <w:szCs w:val="24"/>
        </w:rPr>
        <w:t xml:space="preserve"> be in line with what is recommended at Chapter 18.2 of the PRB Report 2016.  </w:t>
      </w:r>
      <w:r w:rsidR="00540B24">
        <w:rPr>
          <w:rFonts w:ascii="Arial" w:hAnsi="Arial" w:cs="Arial"/>
          <w:sz w:val="24"/>
          <w:szCs w:val="24"/>
        </w:rPr>
        <w:t xml:space="preserve">Also, such an interpretation would </w:t>
      </w:r>
      <w:r w:rsidR="00D27072">
        <w:rPr>
          <w:rFonts w:ascii="Arial" w:hAnsi="Arial" w:cs="Arial"/>
          <w:sz w:val="24"/>
          <w:szCs w:val="24"/>
        </w:rPr>
        <w:t>ensure that there is no conflict between paragraphs 18.2.70 (Recommendation 26) (see above) and paragraph 18.2.145 (Recommendation 51) of the same PRB Report 2016.</w:t>
      </w:r>
      <w:r w:rsidR="00540B24">
        <w:rPr>
          <w:rFonts w:ascii="Arial" w:hAnsi="Arial" w:cs="Arial"/>
          <w:sz w:val="24"/>
          <w:szCs w:val="24"/>
        </w:rPr>
        <w:t xml:space="preserve"> </w:t>
      </w:r>
    </w:p>
    <w:p w14:paraId="3B010B55" w14:textId="3C8EC808" w:rsidR="003D6028" w:rsidRDefault="00CE4482" w:rsidP="00215B54">
      <w:pPr>
        <w:jc w:val="both"/>
        <w:rPr>
          <w:rFonts w:ascii="Arial" w:hAnsi="Arial" w:cs="Arial"/>
          <w:sz w:val="24"/>
          <w:szCs w:val="24"/>
        </w:rPr>
      </w:pPr>
      <w:r>
        <w:rPr>
          <w:rFonts w:ascii="Arial" w:hAnsi="Arial" w:cs="Arial"/>
          <w:sz w:val="24"/>
          <w:szCs w:val="24"/>
        </w:rPr>
        <w:t>The Disputant has the burden to show that a monthly travel grant of Rs 7250 should have been paid to him.  In the light of the all the evidence on record, the Disputant has failed to show even on a balance of probabilities</w:t>
      </w:r>
      <w:r w:rsidR="000C1FC9">
        <w:rPr>
          <w:rFonts w:ascii="Arial" w:hAnsi="Arial" w:cs="Arial"/>
          <w:sz w:val="24"/>
          <w:szCs w:val="24"/>
        </w:rPr>
        <w:t>,</w:t>
      </w:r>
      <w:r>
        <w:rPr>
          <w:rFonts w:ascii="Arial" w:hAnsi="Arial" w:cs="Arial"/>
          <w:sz w:val="24"/>
          <w:szCs w:val="24"/>
        </w:rPr>
        <w:t xml:space="preserve"> </w:t>
      </w:r>
      <w:r w:rsidR="003D6028">
        <w:rPr>
          <w:rFonts w:ascii="Arial" w:hAnsi="Arial" w:cs="Arial"/>
          <w:sz w:val="24"/>
          <w:szCs w:val="24"/>
        </w:rPr>
        <w:t>the more so in</w:t>
      </w:r>
      <w:r>
        <w:rPr>
          <w:rFonts w:ascii="Arial" w:hAnsi="Arial" w:cs="Arial"/>
          <w:sz w:val="24"/>
          <w:szCs w:val="24"/>
        </w:rPr>
        <w:t xml:space="preserve"> the light of his letter of offer of employment (and </w:t>
      </w:r>
      <w:r w:rsidR="003D6028">
        <w:rPr>
          <w:rFonts w:ascii="Arial" w:hAnsi="Arial" w:cs="Arial"/>
          <w:sz w:val="24"/>
          <w:szCs w:val="24"/>
        </w:rPr>
        <w:t>letter of renewal - Doc B)</w:t>
      </w:r>
      <w:r w:rsidR="000C1FC9">
        <w:rPr>
          <w:rFonts w:ascii="Arial" w:hAnsi="Arial" w:cs="Arial"/>
          <w:sz w:val="24"/>
          <w:szCs w:val="24"/>
        </w:rPr>
        <w:t>,</w:t>
      </w:r>
      <w:r w:rsidR="003D6028">
        <w:rPr>
          <w:rFonts w:ascii="Arial" w:hAnsi="Arial" w:cs="Arial"/>
          <w:sz w:val="24"/>
          <w:szCs w:val="24"/>
        </w:rPr>
        <w:t xml:space="preserve"> that he was drawing a monthly </w:t>
      </w:r>
      <w:r w:rsidR="003D6028" w:rsidRPr="000C1FC9">
        <w:rPr>
          <w:rFonts w:ascii="Arial" w:hAnsi="Arial" w:cs="Arial"/>
          <w:sz w:val="24"/>
          <w:szCs w:val="24"/>
          <w:u w:val="single"/>
        </w:rPr>
        <w:t>basic</w:t>
      </w:r>
      <w:r w:rsidR="003D6028">
        <w:rPr>
          <w:rFonts w:ascii="Arial" w:hAnsi="Arial" w:cs="Arial"/>
          <w:sz w:val="24"/>
          <w:szCs w:val="24"/>
        </w:rPr>
        <w:t xml:space="preserve"> salary of Rs 42325 and up to Rs 56450 during the relevant period.  In the absence of satisfactory evidence, the Tribunal cannot make any assumptions as to what could have been the basic salary of Disputant.  </w:t>
      </w:r>
    </w:p>
    <w:p w14:paraId="13124ED3" w14:textId="14E962C7" w:rsidR="00E03755" w:rsidRDefault="003D6028" w:rsidP="00215B54">
      <w:pPr>
        <w:jc w:val="both"/>
        <w:rPr>
          <w:rFonts w:ascii="Arial" w:hAnsi="Arial" w:cs="Arial"/>
          <w:sz w:val="24"/>
          <w:szCs w:val="24"/>
        </w:rPr>
      </w:pPr>
      <w:r>
        <w:rPr>
          <w:rFonts w:ascii="Arial" w:hAnsi="Arial" w:cs="Arial"/>
          <w:sz w:val="24"/>
          <w:szCs w:val="24"/>
        </w:rPr>
        <w:t xml:space="preserve">For all the reasons given above, the Disputant has failed to prove his case under the second limb of the dispute and this part of the dispute is set aside.  The Tribunal awards accordingly. </w:t>
      </w:r>
      <w:r w:rsidR="00CE4482">
        <w:rPr>
          <w:rFonts w:ascii="Arial" w:hAnsi="Arial" w:cs="Arial"/>
          <w:sz w:val="24"/>
          <w:szCs w:val="24"/>
        </w:rPr>
        <w:t xml:space="preserve"> </w:t>
      </w:r>
      <w:r w:rsidR="001E44AA">
        <w:rPr>
          <w:rFonts w:ascii="Arial" w:hAnsi="Arial" w:cs="Arial"/>
          <w:sz w:val="24"/>
          <w:szCs w:val="24"/>
        </w:rPr>
        <w:t xml:space="preserve"> </w:t>
      </w:r>
    </w:p>
    <w:p w14:paraId="32EFD327" w14:textId="77777777" w:rsidR="00585702" w:rsidRDefault="00585702" w:rsidP="00033442">
      <w:pPr>
        <w:spacing w:line="240" w:lineRule="auto"/>
        <w:jc w:val="both"/>
        <w:rPr>
          <w:rFonts w:ascii="Arial" w:hAnsi="Arial" w:cs="Arial"/>
          <w:b/>
          <w:sz w:val="24"/>
          <w:szCs w:val="24"/>
        </w:rPr>
      </w:pPr>
    </w:p>
    <w:p w14:paraId="7F8CE2A1" w14:textId="22C7D0B9" w:rsidR="00215B54" w:rsidRPr="00496A1D" w:rsidRDefault="00B629D2" w:rsidP="00033442">
      <w:pPr>
        <w:spacing w:line="240" w:lineRule="auto"/>
        <w:jc w:val="both"/>
        <w:rPr>
          <w:rFonts w:ascii="Arial" w:hAnsi="Arial" w:cs="Arial"/>
          <w:b/>
          <w:sz w:val="24"/>
          <w:szCs w:val="24"/>
        </w:rPr>
      </w:pPr>
      <w:r>
        <w:rPr>
          <w:rFonts w:ascii="Arial" w:hAnsi="Arial" w:cs="Arial"/>
          <w:b/>
          <w:sz w:val="24"/>
          <w:szCs w:val="24"/>
        </w:rPr>
        <w:t xml:space="preserve">SD </w:t>
      </w:r>
      <w:r w:rsidR="00215B54" w:rsidRPr="00496A1D">
        <w:rPr>
          <w:rFonts w:ascii="Arial" w:hAnsi="Arial" w:cs="Arial"/>
          <w:b/>
          <w:sz w:val="24"/>
          <w:szCs w:val="24"/>
        </w:rPr>
        <w:t xml:space="preserve">Indiren Sivaramen </w:t>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p>
    <w:p w14:paraId="28F4E200" w14:textId="3F77872A" w:rsidR="001F4404" w:rsidRPr="00496A1D" w:rsidRDefault="00C4399B" w:rsidP="00033442">
      <w:pPr>
        <w:spacing w:line="240" w:lineRule="auto"/>
        <w:jc w:val="both"/>
        <w:rPr>
          <w:rFonts w:ascii="Arial" w:hAnsi="Arial" w:cs="Arial"/>
          <w:b/>
          <w:sz w:val="24"/>
          <w:szCs w:val="24"/>
        </w:rPr>
      </w:pPr>
      <w:r w:rsidRPr="00496A1D">
        <w:rPr>
          <w:rFonts w:ascii="Arial" w:hAnsi="Arial" w:cs="Arial"/>
          <w:b/>
          <w:sz w:val="24"/>
          <w:szCs w:val="24"/>
        </w:rPr>
        <w:t xml:space="preserve">Acting </w:t>
      </w:r>
      <w:r w:rsidR="00215B54" w:rsidRPr="00496A1D">
        <w:rPr>
          <w:rFonts w:ascii="Arial" w:hAnsi="Arial" w:cs="Arial"/>
          <w:b/>
          <w:sz w:val="24"/>
          <w:szCs w:val="24"/>
        </w:rPr>
        <w:t>President</w:t>
      </w:r>
      <w:r w:rsidR="001F0FFB" w:rsidRPr="00496A1D">
        <w:rPr>
          <w:rFonts w:ascii="Arial" w:hAnsi="Arial" w:cs="Arial"/>
          <w:b/>
          <w:sz w:val="24"/>
          <w:szCs w:val="24"/>
        </w:rPr>
        <w:tab/>
      </w:r>
      <w:r w:rsidR="001F0FFB" w:rsidRPr="00496A1D">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1F0FFB" w:rsidRPr="00496A1D">
        <w:rPr>
          <w:rFonts w:ascii="Arial" w:hAnsi="Arial" w:cs="Arial"/>
          <w:b/>
          <w:sz w:val="24"/>
          <w:szCs w:val="24"/>
        </w:rPr>
        <w:tab/>
      </w:r>
      <w:r w:rsidR="00DA7FFB" w:rsidRPr="00496A1D">
        <w:rPr>
          <w:rFonts w:ascii="Arial" w:hAnsi="Arial" w:cs="Arial"/>
          <w:b/>
          <w:sz w:val="24"/>
          <w:szCs w:val="24"/>
        </w:rPr>
        <w:tab/>
      </w:r>
    </w:p>
    <w:p w14:paraId="3145B156" w14:textId="77777777" w:rsidR="00811C41" w:rsidRDefault="00811C41" w:rsidP="00775EF5">
      <w:pPr>
        <w:jc w:val="both"/>
        <w:rPr>
          <w:rFonts w:ascii="Arial" w:hAnsi="Arial" w:cs="Arial"/>
          <w:b/>
          <w:sz w:val="24"/>
          <w:szCs w:val="24"/>
        </w:rPr>
      </w:pPr>
    </w:p>
    <w:p w14:paraId="79316F65" w14:textId="77777777" w:rsidR="005664AC" w:rsidRDefault="005664AC" w:rsidP="00775EF5">
      <w:pPr>
        <w:jc w:val="both"/>
        <w:rPr>
          <w:rFonts w:ascii="Arial" w:hAnsi="Arial" w:cs="Arial"/>
          <w:b/>
          <w:sz w:val="24"/>
          <w:szCs w:val="24"/>
        </w:rPr>
      </w:pPr>
    </w:p>
    <w:p w14:paraId="67892A7A" w14:textId="43779B07" w:rsidR="00533D4A" w:rsidRDefault="00B629D2" w:rsidP="00775EF5">
      <w:pPr>
        <w:jc w:val="both"/>
        <w:rPr>
          <w:rFonts w:ascii="Arial" w:hAnsi="Arial" w:cs="Arial"/>
          <w:b/>
          <w:sz w:val="24"/>
          <w:szCs w:val="24"/>
        </w:rPr>
      </w:pPr>
      <w:r>
        <w:rPr>
          <w:rFonts w:ascii="Arial" w:hAnsi="Arial" w:cs="Arial"/>
          <w:b/>
          <w:sz w:val="24"/>
          <w:szCs w:val="24"/>
        </w:rPr>
        <w:t xml:space="preserve">SD </w:t>
      </w:r>
      <w:r w:rsidR="00533D4A">
        <w:rPr>
          <w:rFonts w:ascii="Arial" w:hAnsi="Arial" w:cs="Arial"/>
          <w:b/>
          <w:sz w:val="24"/>
          <w:szCs w:val="24"/>
        </w:rPr>
        <w:t>Raffick Hossenbaccus</w:t>
      </w:r>
    </w:p>
    <w:p w14:paraId="142F6A75" w14:textId="62AE34E1" w:rsidR="00533D4A" w:rsidRDefault="00533D4A" w:rsidP="00775EF5">
      <w:pPr>
        <w:jc w:val="both"/>
        <w:rPr>
          <w:rFonts w:ascii="Arial" w:hAnsi="Arial" w:cs="Arial"/>
          <w:b/>
          <w:sz w:val="24"/>
          <w:szCs w:val="24"/>
        </w:rPr>
      </w:pPr>
      <w:r w:rsidRPr="00496A1D">
        <w:rPr>
          <w:rFonts w:ascii="Arial" w:hAnsi="Arial" w:cs="Arial"/>
          <w:b/>
          <w:sz w:val="24"/>
          <w:szCs w:val="24"/>
        </w:rPr>
        <w:t>Member</w:t>
      </w:r>
    </w:p>
    <w:p w14:paraId="59B108BB" w14:textId="77777777" w:rsidR="00811C41" w:rsidRDefault="00811C41" w:rsidP="00775EF5">
      <w:pPr>
        <w:jc w:val="both"/>
        <w:rPr>
          <w:rFonts w:ascii="Arial" w:hAnsi="Arial" w:cs="Arial"/>
          <w:b/>
          <w:sz w:val="24"/>
          <w:szCs w:val="24"/>
        </w:rPr>
      </w:pPr>
    </w:p>
    <w:p w14:paraId="77A8DBA0" w14:textId="77777777" w:rsidR="00811C41" w:rsidRPr="00496A1D" w:rsidRDefault="00811C41" w:rsidP="00775EF5">
      <w:pPr>
        <w:jc w:val="both"/>
        <w:rPr>
          <w:rFonts w:ascii="Arial" w:hAnsi="Arial" w:cs="Arial"/>
          <w:b/>
          <w:sz w:val="24"/>
          <w:szCs w:val="24"/>
        </w:rPr>
      </w:pPr>
    </w:p>
    <w:p w14:paraId="64283F13" w14:textId="16BED006" w:rsidR="001F4404" w:rsidRPr="00496A1D" w:rsidRDefault="00B629D2" w:rsidP="00033442">
      <w:pPr>
        <w:spacing w:line="240" w:lineRule="auto"/>
        <w:jc w:val="both"/>
        <w:rPr>
          <w:rFonts w:ascii="Arial" w:hAnsi="Arial" w:cs="Arial"/>
          <w:b/>
          <w:sz w:val="24"/>
          <w:szCs w:val="24"/>
        </w:rPr>
      </w:pPr>
      <w:r>
        <w:rPr>
          <w:rFonts w:ascii="Arial" w:hAnsi="Arial" w:cs="Arial"/>
          <w:b/>
          <w:sz w:val="24"/>
          <w:szCs w:val="24"/>
        </w:rPr>
        <w:t xml:space="preserve">SD </w:t>
      </w:r>
      <w:r w:rsidR="002722F9">
        <w:rPr>
          <w:rFonts w:ascii="Arial" w:hAnsi="Arial" w:cs="Arial"/>
          <w:b/>
          <w:sz w:val="24"/>
          <w:szCs w:val="24"/>
        </w:rPr>
        <w:t>Rabin Gungoo</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6F01A0AD" w14:textId="77777777" w:rsidR="00533D4A" w:rsidRDefault="00775EF5" w:rsidP="002E6A52">
      <w:pPr>
        <w:spacing w:line="240" w:lineRule="auto"/>
        <w:jc w:val="both"/>
        <w:rPr>
          <w:rFonts w:ascii="Arial" w:hAnsi="Arial" w:cs="Arial"/>
          <w:b/>
          <w:sz w:val="24"/>
          <w:szCs w:val="24"/>
        </w:rPr>
      </w:pPr>
      <w:r w:rsidRPr="00496A1D">
        <w:rPr>
          <w:rFonts w:ascii="Arial" w:hAnsi="Arial" w:cs="Arial"/>
          <w:b/>
          <w:sz w:val="24"/>
          <w:szCs w:val="24"/>
        </w:rPr>
        <w:t>Member</w:t>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r w:rsidR="00033442">
        <w:rPr>
          <w:rFonts w:ascii="Arial" w:hAnsi="Arial" w:cs="Arial"/>
          <w:b/>
          <w:sz w:val="24"/>
          <w:szCs w:val="24"/>
        </w:rPr>
        <w:tab/>
      </w:r>
    </w:p>
    <w:p w14:paraId="79716CC8" w14:textId="77777777" w:rsidR="00533D4A" w:rsidRDefault="00533D4A" w:rsidP="002E6A52">
      <w:pPr>
        <w:spacing w:line="240" w:lineRule="auto"/>
        <w:jc w:val="both"/>
        <w:rPr>
          <w:rFonts w:ascii="Arial" w:hAnsi="Arial" w:cs="Arial"/>
          <w:b/>
          <w:sz w:val="24"/>
          <w:szCs w:val="24"/>
        </w:rPr>
      </w:pPr>
    </w:p>
    <w:p w14:paraId="23FE8655" w14:textId="77777777" w:rsidR="00811C41" w:rsidRDefault="00811C41" w:rsidP="002E6A52">
      <w:pPr>
        <w:spacing w:line="240" w:lineRule="auto"/>
        <w:jc w:val="both"/>
        <w:rPr>
          <w:rFonts w:ascii="Arial" w:hAnsi="Arial" w:cs="Arial"/>
          <w:b/>
          <w:sz w:val="24"/>
          <w:szCs w:val="24"/>
        </w:rPr>
      </w:pPr>
    </w:p>
    <w:p w14:paraId="0F672C18" w14:textId="3FE46184" w:rsidR="00533D4A" w:rsidRDefault="00B629D2" w:rsidP="002E6A52">
      <w:pPr>
        <w:spacing w:line="240" w:lineRule="auto"/>
        <w:jc w:val="both"/>
        <w:rPr>
          <w:rFonts w:ascii="Arial" w:hAnsi="Arial" w:cs="Arial"/>
          <w:b/>
          <w:sz w:val="24"/>
          <w:szCs w:val="24"/>
        </w:rPr>
      </w:pPr>
      <w:r>
        <w:rPr>
          <w:rFonts w:ascii="Arial" w:hAnsi="Arial" w:cs="Arial"/>
          <w:b/>
          <w:sz w:val="24"/>
          <w:szCs w:val="24"/>
        </w:rPr>
        <w:t xml:space="preserve">SD </w:t>
      </w:r>
      <w:r w:rsidR="00533D4A">
        <w:rPr>
          <w:rFonts w:ascii="Arial" w:hAnsi="Arial" w:cs="Arial"/>
          <w:b/>
          <w:sz w:val="24"/>
          <w:szCs w:val="24"/>
        </w:rPr>
        <w:t>Parmeshwar Burosee</w:t>
      </w:r>
    </w:p>
    <w:p w14:paraId="6968CA73" w14:textId="7223422D" w:rsidR="00AE55B5" w:rsidRDefault="00533D4A" w:rsidP="002E6A52">
      <w:pPr>
        <w:spacing w:line="240" w:lineRule="auto"/>
        <w:jc w:val="both"/>
        <w:rPr>
          <w:rFonts w:ascii="Arial" w:hAnsi="Arial" w:cs="Arial"/>
          <w:sz w:val="24"/>
          <w:szCs w:val="24"/>
        </w:rPr>
      </w:pPr>
      <w:r w:rsidRPr="00496A1D">
        <w:rPr>
          <w:rFonts w:ascii="Arial" w:hAnsi="Arial" w:cs="Arial"/>
          <w:b/>
          <w:sz w:val="24"/>
          <w:szCs w:val="24"/>
        </w:rPr>
        <w:t>Member</w:t>
      </w:r>
      <w:r w:rsidR="002E6A52">
        <w:rPr>
          <w:rFonts w:ascii="Arial" w:hAnsi="Arial" w:cs="Arial"/>
          <w:b/>
          <w:sz w:val="24"/>
          <w:szCs w:val="24"/>
        </w:rPr>
        <w:tab/>
      </w:r>
      <w:r w:rsidR="002E6A52">
        <w:rPr>
          <w:rFonts w:ascii="Arial" w:hAnsi="Arial" w:cs="Arial"/>
          <w:b/>
          <w:sz w:val="24"/>
          <w:szCs w:val="24"/>
        </w:rPr>
        <w:tab/>
      </w:r>
      <w:r w:rsidR="0055495D">
        <w:rPr>
          <w:rFonts w:ascii="Arial" w:hAnsi="Arial" w:cs="Arial"/>
          <w:b/>
          <w:sz w:val="24"/>
          <w:szCs w:val="24"/>
        </w:rPr>
        <w:tab/>
      </w:r>
      <w:r w:rsidR="0055495D">
        <w:rPr>
          <w:rFonts w:ascii="Arial" w:hAnsi="Arial" w:cs="Arial"/>
          <w:b/>
          <w:sz w:val="24"/>
          <w:szCs w:val="24"/>
        </w:rPr>
        <w:tab/>
      </w:r>
      <w:r w:rsidR="0055495D">
        <w:rPr>
          <w:rFonts w:ascii="Arial" w:hAnsi="Arial" w:cs="Arial"/>
          <w:b/>
          <w:sz w:val="24"/>
          <w:szCs w:val="24"/>
        </w:rPr>
        <w:tab/>
      </w:r>
      <w:r w:rsidR="0055495D">
        <w:rPr>
          <w:rFonts w:ascii="Arial" w:hAnsi="Arial" w:cs="Arial"/>
          <w:b/>
          <w:sz w:val="24"/>
          <w:szCs w:val="24"/>
        </w:rPr>
        <w:tab/>
      </w:r>
      <w:r w:rsidR="0055495D">
        <w:rPr>
          <w:rFonts w:ascii="Arial" w:hAnsi="Arial" w:cs="Arial"/>
          <w:b/>
          <w:sz w:val="24"/>
          <w:szCs w:val="24"/>
        </w:rPr>
        <w:tab/>
      </w:r>
      <w:r w:rsidR="0055495D">
        <w:rPr>
          <w:rFonts w:ascii="Arial" w:hAnsi="Arial" w:cs="Arial"/>
          <w:b/>
          <w:sz w:val="24"/>
          <w:szCs w:val="24"/>
        </w:rPr>
        <w:tab/>
      </w:r>
      <w:r w:rsidR="0055495D">
        <w:rPr>
          <w:rFonts w:ascii="Arial" w:hAnsi="Arial" w:cs="Arial"/>
          <w:b/>
          <w:sz w:val="24"/>
          <w:szCs w:val="24"/>
        </w:rPr>
        <w:tab/>
      </w:r>
      <w:r w:rsidR="0055495D">
        <w:rPr>
          <w:rFonts w:ascii="Arial" w:hAnsi="Arial" w:cs="Arial"/>
          <w:b/>
          <w:sz w:val="24"/>
          <w:szCs w:val="24"/>
        </w:rPr>
        <w:tab/>
      </w:r>
      <w:r w:rsidR="00CB0D46">
        <w:rPr>
          <w:rFonts w:ascii="Arial" w:hAnsi="Arial" w:cs="Arial"/>
          <w:b/>
          <w:sz w:val="24"/>
          <w:szCs w:val="24"/>
        </w:rPr>
        <w:t xml:space="preserve">21 </w:t>
      </w:r>
      <w:r w:rsidR="0055495D">
        <w:rPr>
          <w:rFonts w:ascii="Arial" w:hAnsi="Arial" w:cs="Arial"/>
          <w:b/>
          <w:sz w:val="24"/>
          <w:szCs w:val="24"/>
        </w:rPr>
        <w:t xml:space="preserve">July </w:t>
      </w:r>
      <w:r w:rsidR="0055495D" w:rsidRPr="005B080A">
        <w:rPr>
          <w:rFonts w:ascii="Arial" w:hAnsi="Arial" w:cs="Arial"/>
          <w:b/>
          <w:sz w:val="24"/>
          <w:szCs w:val="24"/>
        </w:rPr>
        <w:t>20</w:t>
      </w:r>
      <w:r w:rsidR="0055495D">
        <w:rPr>
          <w:rFonts w:ascii="Arial" w:hAnsi="Arial" w:cs="Arial"/>
          <w:b/>
          <w:sz w:val="24"/>
          <w:szCs w:val="24"/>
        </w:rPr>
        <w:t>23</w:t>
      </w:r>
    </w:p>
    <w:sectPr w:rsidR="00AE55B5"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DE84" w14:textId="77777777" w:rsidR="001354EA" w:rsidRDefault="001354EA" w:rsidP="00936BD4">
      <w:pPr>
        <w:spacing w:after="0" w:line="240" w:lineRule="auto"/>
      </w:pPr>
      <w:r>
        <w:separator/>
      </w:r>
    </w:p>
  </w:endnote>
  <w:endnote w:type="continuationSeparator" w:id="0">
    <w:p w14:paraId="2B24D062" w14:textId="77777777" w:rsidR="001354EA" w:rsidRDefault="001354EA"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6417"/>
      <w:docPartObj>
        <w:docPartGallery w:val="Page Numbers (Bottom of Page)"/>
        <w:docPartUnique/>
      </w:docPartObj>
    </w:sdtPr>
    <w:sdtEndPr/>
    <w:sdtContent>
      <w:p w14:paraId="0EADE300" w14:textId="76E058DD" w:rsidR="00690978" w:rsidRDefault="003A1AA1">
        <w:pPr>
          <w:pStyle w:val="Footer"/>
          <w:jc w:val="center"/>
        </w:pPr>
        <w:r>
          <w:fldChar w:fldCharType="begin"/>
        </w:r>
        <w:r>
          <w:instrText xml:space="preserve"> PAGE   \* MERGEFORMAT </w:instrText>
        </w:r>
        <w:r>
          <w:fldChar w:fldCharType="separate"/>
        </w:r>
        <w:r w:rsidR="008E3435">
          <w:rPr>
            <w:noProof/>
          </w:rPr>
          <w:t>1</w:t>
        </w:r>
        <w:r>
          <w:rPr>
            <w:noProof/>
          </w:rPr>
          <w:fldChar w:fldCharType="end"/>
        </w:r>
      </w:p>
    </w:sdtContent>
  </w:sdt>
  <w:p w14:paraId="3FEA40E1" w14:textId="77777777" w:rsidR="00690978" w:rsidRDefault="0069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3B974" w14:textId="77777777" w:rsidR="001354EA" w:rsidRDefault="001354EA" w:rsidP="00936BD4">
      <w:pPr>
        <w:spacing w:after="0" w:line="240" w:lineRule="auto"/>
      </w:pPr>
      <w:r>
        <w:separator/>
      </w:r>
    </w:p>
  </w:footnote>
  <w:footnote w:type="continuationSeparator" w:id="0">
    <w:p w14:paraId="6E5DBC74" w14:textId="77777777" w:rsidR="001354EA" w:rsidRDefault="001354EA"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0AF0"/>
    <w:multiLevelType w:val="hybridMultilevel"/>
    <w:tmpl w:val="83582CA4"/>
    <w:lvl w:ilvl="0" w:tplc="F282E7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04747"/>
    <w:multiLevelType w:val="hybridMultilevel"/>
    <w:tmpl w:val="A63E3F50"/>
    <w:lvl w:ilvl="0" w:tplc="B21667C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92DEF"/>
    <w:multiLevelType w:val="hybridMultilevel"/>
    <w:tmpl w:val="E9A277C8"/>
    <w:lvl w:ilvl="0" w:tplc="1AC66A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2F0857"/>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54727E"/>
    <w:multiLevelType w:val="hybridMultilevel"/>
    <w:tmpl w:val="AE92880C"/>
    <w:lvl w:ilvl="0" w:tplc="1EDAE6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75439"/>
    <w:multiLevelType w:val="hybridMultilevel"/>
    <w:tmpl w:val="29D09CEA"/>
    <w:lvl w:ilvl="0" w:tplc="A3544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B27B8"/>
    <w:multiLevelType w:val="hybridMultilevel"/>
    <w:tmpl w:val="866C5766"/>
    <w:lvl w:ilvl="0" w:tplc="201E9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7685"/>
    <w:multiLevelType w:val="hybridMultilevel"/>
    <w:tmpl w:val="4C4461AE"/>
    <w:lvl w:ilvl="0" w:tplc="89E24666">
      <w:start w:val="1"/>
      <w:numFmt w:val="upperLetter"/>
      <w:lvlText w:val="(%1)"/>
      <w:lvlJc w:val="left"/>
      <w:pPr>
        <w:ind w:left="502" w:hanging="360"/>
      </w:pPr>
      <w:rPr>
        <w:rFonts w:ascii="Arial" w:hAnsi="Arial" w:cs="Aria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3684908"/>
    <w:multiLevelType w:val="hybridMultilevel"/>
    <w:tmpl w:val="689E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20FA8"/>
    <w:multiLevelType w:val="hybridMultilevel"/>
    <w:tmpl w:val="A3C2FBCE"/>
    <w:lvl w:ilvl="0" w:tplc="496E63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70B55"/>
    <w:multiLevelType w:val="hybridMultilevel"/>
    <w:tmpl w:val="47D2A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B380E"/>
    <w:multiLevelType w:val="hybridMultilevel"/>
    <w:tmpl w:val="105628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81F39"/>
    <w:multiLevelType w:val="hybridMultilevel"/>
    <w:tmpl w:val="58646626"/>
    <w:lvl w:ilvl="0" w:tplc="27DC8780">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841D3A"/>
    <w:multiLevelType w:val="hybridMultilevel"/>
    <w:tmpl w:val="A7585182"/>
    <w:lvl w:ilvl="0" w:tplc="D1DA3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E73D1B"/>
    <w:multiLevelType w:val="hybridMultilevel"/>
    <w:tmpl w:val="8E085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1872D8"/>
    <w:multiLevelType w:val="hybridMultilevel"/>
    <w:tmpl w:val="62A61384"/>
    <w:lvl w:ilvl="0" w:tplc="4DF07C92">
      <w:start w:val="1"/>
      <w:numFmt w:val="low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388BE2F"/>
    <w:multiLevelType w:val="hybridMultilevel"/>
    <w:tmpl w:val="E85E1450"/>
    <w:lvl w:ilvl="0" w:tplc="C3E83A9A">
      <w:start w:val="1"/>
      <w:numFmt w:val="decimal"/>
      <w:suff w:val="nothing"/>
      <w:lvlText w:val=""/>
      <w:lvlJc w:val="left"/>
    </w:lvl>
    <w:lvl w:ilvl="1" w:tplc="7D20D6B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B457AD7"/>
    <w:multiLevelType w:val="hybridMultilevel"/>
    <w:tmpl w:val="227C3102"/>
    <w:lvl w:ilvl="0" w:tplc="17AA128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C80D83"/>
    <w:multiLevelType w:val="hybridMultilevel"/>
    <w:tmpl w:val="A3EAECEE"/>
    <w:lvl w:ilvl="0" w:tplc="A086BAC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23"/>
  </w:num>
  <w:num w:numId="4">
    <w:abstractNumId w:val="0"/>
  </w:num>
  <w:num w:numId="5">
    <w:abstractNumId w:val="7"/>
  </w:num>
  <w:num w:numId="6">
    <w:abstractNumId w:val="8"/>
  </w:num>
  <w:num w:numId="7">
    <w:abstractNumId w:val="20"/>
  </w:num>
  <w:num w:numId="8">
    <w:abstractNumId w:val="18"/>
  </w:num>
  <w:num w:numId="9">
    <w:abstractNumId w:val="1"/>
  </w:num>
  <w:num w:numId="10">
    <w:abstractNumId w:val="9"/>
  </w:num>
  <w:num w:numId="11">
    <w:abstractNumId w:val="17"/>
  </w:num>
  <w:num w:numId="12">
    <w:abstractNumId w:val="2"/>
  </w:num>
  <w:num w:numId="13">
    <w:abstractNumId w:val="12"/>
  </w:num>
  <w:num w:numId="14">
    <w:abstractNumId w:val="21"/>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11"/>
  </w:num>
  <w:num w:numId="20">
    <w:abstractNumId w:val="15"/>
  </w:num>
  <w:num w:numId="21">
    <w:abstractNumId w:val="14"/>
  </w:num>
  <w:num w:numId="22">
    <w:abstractNumId w:val="22"/>
  </w:num>
  <w:num w:numId="23">
    <w:abstractNumId w:val="19"/>
  </w:num>
  <w:num w:numId="24">
    <w:abstractNumId w:val="6"/>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192F"/>
    <w:rsid w:val="00004163"/>
    <w:rsid w:val="00004F55"/>
    <w:rsid w:val="00006043"/>
    <w:rsid w:val="00006B85"/>
    <w:rsid w:val="00007DB0"/>
    <w:rsid w:val="00012CAF"/>
    <w:rsid w:val="000149FE"/>
    <w:rsid w:val="00014DEF"/>
    <w:rsid w:val="000153BF"/>
    <w:rsid w:val="000158C3"/>
    <w:rsid w:val="000163D5"/>
    <w:rsid w:val="0001792C"/>
    <w:rsid w:val="000208E2"/>
    <w:rsid w:val="00020D18"/>
    <w:rsid w:val="00022B9A"/>
    <w:rsid w:val="00024B37"/>
    <w:rsid w:val="00024F7C"/>
    <w:rsid w:val="000250D3"/>
    <w:rsid w:val="00026AA1"/>
    <w:rsid w:val="000300C0"/>
    <w:rsid w:val="000318F3"/>
    <w:rsid w:val="00032613"/>
    <w:rsid w:val="00032922"/>
    <w:rsid w:val="00032D6D"/>
    <w:rsid w:val="00033442"/>
    <w:rsid w:val="000339B7"/>
    <w:rsid w:val="00034200"/>
    <w:rsid w:val="00037038"/>
    <w:rsid w:val="000408F8"/>
    <w:rsid w:val="00042134"/>
    <w:rsid w:val="0004334D"/>
    <w:rsid w:val="00044C9B"/>
    <w:rsid w:val="00044CAF"/>
    <w:rsid w:val="00045964"/>
    <w:rsid w:val="00046634"/>
    <w:rsid w:val="00047798"/>
    <w:rsid w:val="0004780C"/>
    <w:rsid w:val="0005054E"/>
    <w:rsid w:val="00051F42"/>
    <w:rsid w:val="00052421"/>
    <w:rsid w:val="000530DC"/>
    <w:rsid w:val="000533C8"/>
    <w:rsid w:val="00054088"/>
    <w:rsid w:val="00055722"/>
    <w:rsid w:val="0005573F"/>
    <w:rsid w:val="00055D51"/>
    <w:rsid w:val="00055FD8"/>
    <w:rsid w:val="000603F9"/>
    <w:rsid w:val="00060F6E"/>
    <w:rsid w:val="000639A0"/>
    <w:rsid w:val="00063A84"/>
    <w:rsid w:val="000641FE"/>
    <w:rsid w:val="00064537"/>
    <w:rsid w:val="00064951"/>
    <w:rsid w:val="0006505D"/>
    <w:rsid w:val="00066405"/>
    <w:rsid w:val="00066458"/>
    <w:rsid w:val="00066602"/>
    <w:rsid w:val="00070521"/>
    <w:rsid w:val="000707F3"/>
    <w:rsid w:val="000711F0"/>
    <w:rsid w:val="00072CF9"/>
    <w:rsid w:val="000730AD"/>
    <w:rsid w:val="00073998"/>
    <w:rsid w:val="000739D5"/>
    <w:rsid w:val="00074F0A"/>
    <w:rsid w:val="000751DC"/>
    <w:rsid w:val="00075F18"/>
    <w:rsid w:val="00076B00"/>
    <w:rsid w:val="00076F37"/>
    <w:rsid w:val="0008082B"/>
    <w:rsid w:val="0008083E"/>
    <w:rsid w:val="0008101E"/>
    <w:rsid w:val="000810CA"/>
    <w:rsid w:val="0008120B"/>
    <w:rsid w:val="00081614"/>
    <w:rsid w:val="00082414"/>
    <w:rsid w:val="00082DBE"/>
    <w:rsid w:val="00083AB3"/>
    <w:rsid w:val="00085AD5"/>
    <w:rsid w:val="00085C61"/>
    <w:rsid w:val="00086046"/>
    <w:rsid w:val="00086724"/>
    <w:rsid w:val="00087A97"/>
    <w:rsid w:val="00090141"/>
    <w:rsid w:val="00091703"/>
    <w:rsid w:val="00091D71"/>
    <w:rsid w:val="0009622A"/>
    <w:rsid w:val="000964AA"/>
    <w:rsid w:val="000966BD"/>
    <w:rsid w:val="00096999"/>
    <w:rsid w:val="0009740F"/>
    <w:rsid w:val="00097411"/>
    <w:rsid w:val="00097490"/>
    <w:rsid w:val="000978F4"/>
    <w:rsid w:val="00097D74"/>
    <w:rsid w:val="00097DAB"/>
    <w:rsid w:val="000A045E"/>
    <w:rsid w:val="000A08F0"/>
    <w:rsid w:val="000A19D9"/>
    <w:rsid w:val="000A2B4E"/>
    <w:rsid w:val="000A3843"/>
    <w:rsid w:val="000A4DA6"/>
    <w:rsid w:val="000A5361"/>
    <w:rsid w:val="000A55F6"/>
    <w:rsid w:val="000B04F9"/>
    <w:rsid w:val="000B074C"/>
    <w:rsid w:val="000B1BA3"/>
    <w:rsid w:val="000B1EAF"/>
    <w:rsid w:val="000B251C"/>
    <w:rsid w:val="000B2EBF"/>
    <w:rsid w:val="000B325C"/>
    <w:rsid w:val="000B3D66"/>
    <w:rsid w:val="000B448C"/>
    <w:rsid w:val="000B46D2"/>
    <w:rsid w:val="000B4C7E"/>
    <w:rsid w:val="000B639B"/>
    <w:rsid w:val="000C1509"/>
    <w:rsid w:val="000C1FC9"/>
    <w:rsid w:val="000C4449"/>
    <w:rsid w:val="000C44EB"/>
    <w:rsid w:val="000C4B3F"/>
    <w:rsid w:val="000C5455"/>
    <w:rsid w:val="000C5B14"/>
    <w:rsid w:val="000C7776"/>
    <w:rsid w:val="000D0F61"/>
    <w:rsid w:val="000D1199"/>
    <w:rsid w:val="000D1903"/>
    <w:rsid w:val="000D22AD"/>
    <w:rsid w:val="000D2D27"/>
    <w:rsid w:val="000D4ECD"/>
    <w:rsid w:val="000D570F"/>
    <w:rsid w:val="000D5BF2"/>
    <w:rsid w:val="000D5C17"/>
    <w:rsid w:val="000D5C27"/>
    <w:rsid w:val="000D7C22"/>
    <w:rsid w:val="000E0760"/>
    <w:rsid w:val="000E0D59"/>
    <w:rsid w:val="000E1D22"/>
    <w:rsid w:val="000E1E58"/>
    <w:rsid w:val="000E4A46"/>
    <w:rsid w:val="000E51DE"/>
    <w:rsid w:val="000E5AA9"/>
    <w:rsid w:val="000E5B0A"/>
    <w:rsid w:val="000E787C"/>
    <w:rsid w:val="000E7893"/>
    <w:rsid w:val="000F031C"/>
    <w:rsid w:val="000F1154"/>
    <w:rsid w:val="000F15FD"/>
    <w:rsid w:val="000F1B8A"/>
    <w:rsid w:val="000F364E"/>
    <w:rsid w:val="000F464C"/>
    <w:rsid w:val="000F50C0"/>
    <w:rsid w:val="000F59DC"/>
    <w:rsid w:val="000F5FAA"/>
    <w:rsid w:val="000F691F"/>
    <w:rsid w:val="000F6C9F"/>
    <w:rsid w:val="000F7674"/>
    <w:rsid w:val="000F7C3F"/>
    <w:rsid w:val="000F7DE8"/>
    <w:rsid w:val="0010059A"/>
    <w:rsid w:val="00100731"/>
    <w:rsid w:val="00101976"/>
    <w:rsid w:val="00101A2A"/>
    <w:rsid w:val="0010312A"/>
    <w:rsid w:val="00104994"/>
    <w:rsid w:val="00104D84"/>
    <w:rsid w:val="00105624"/>
    <w:rsid w:val="00107877"/>
    <w:rsid w:val="00107D9C"/>
    <w:rsid w:val="001100F8"/>
    <w:rsid w:val="00110179"/>
    <w:rsid w:val="001102CE"/>
    <w:rsid w:val="00112699"/>
    <w:rsid w:val="00113386"/>
    <w:rsid w:val="0011436C"/>
    <w:rsid w:val="001151FD"/>
    <w:rsid w:val="0011570D"/>
    <w:rsid w:val="001160D8"/>
    <w:rsid w:val="00116378"/>
    <w:rsid w:val="0011679D"/>
    <w:rsid w:val="00116ED7"/>
    <w:rsid w:val="00116F3B"/>
    <w:rsid w:val="001174F2"/>
    <w:rsid w:val="00117893"/>
    <w:rsid w:val="0012026E"/>
    <w:rsid w:val="001203C3"/>
    <w:rsid w:val="00120ABC"/>
    <w:rsid w:val="00120C85"/>
    <w:rsid w:val="00120D94"/>
    <w:rsid w:val="00120E82"/>
    <w:rsid w:val="0012116D"/>
    <w:rsid w:val="0012165E"/>
    <w:rsid w:val="00122DDD"/>
    <w:rsid w:val="0012309E"/>
    <w:rsid w:val="00123A61"/>
    <w:rsid w:val="00125024"/>
    <w:rsid w:val="00125959"/>
    <w:rsid w:val="00125EB7"/>
    <w:rsid w:val="00126183"/>
    <w:rsid w:val="00126240"/>
    <w:rsid w:val="001267D7"/>
    <w:rsid w:val="00127A6B"/>
    <w:rsid w:val="00130E2E"/>
    <w:rsid w:val="001313E1"/>
    <w:rsid w:val="001321CF"/>
    <w:rsid w:val="00132534"/>
    <w:rsid w:val="00132954"/>
    <w:rsid w:val="00133E4E"/>
    <w:rsid w:val="00134565"/>
    <w:rsid w:val="001349A3"/>
    <w:rsid w:val="001354EA"/>
    <w:rsid w:val="001355DD"/>
    <w:rsid w:val="00135738"/>
    <w:rsid w:val="00137FE1"/>
    <w:rsid w:val="0014173B"/>
    <w:rsid w:val="0014180E"/>
    <w:rsid w:val="00141905"/>
    <w:rsid w:val="00141C53"/>
    <w:rsid w:val="001425D2"/>
    <w:rsid w:val="001427E8"/>
    <w:rsid w:val="00142914"/>
    <w:rsid w:val="00143253"/>
    <w:rsid w:val="00143C8B"/>
    <w:rsid w:val="00144C13"/>
    <w:rsid w:val="00145CD0"/>
    <w:rsid w:val="00150114"/>
    <w:rsid w:val="001509AE"/>
    <w:rsid w:val="00150C82"/>
    <w:rsid w:val="0015139D"/>
    <w:rsid w:val="00151418"/>
    <w:rsid w:val="0015174D"/>
    <w:rsid w:val="00152762"/>
    <w:rsid w:val="00155720"/>
    <w:rsid w:val="001603FD"/>
    <w:rsid w:val="00160672"/>
    <w:rsid w:val="00162868"/>
    <w:rsid w:val="0016404B"/>
    <w:rsid w:val="001654FE"/>
    <w:rsid w:val="00166A94"/>
    <w:rsid w:val="001704B4"/>
    <w:rsid w:val="00170AE7"/>
    <w:rsid w:val="00171492"/>
    <w:rsid w:val="00173041"/>
    <w:rsid w:val="0017357C"/>
    <w:rsid w:val="00173ED5"/>
    <w:rsid w:val="00174833"/>
    <w:rsid w:val="00175C64"/>
    <w:rsid w:val="00176C9B"/>
    <w:rsid w:val="00181C7E"/>
    <w:rsid w:val="00182715"/>
    <w:rsid w:val="00182947"/>
    <w:rsid w:val="00183467"/>
    <w:rsid w:val="00183C0A"/>
    <w:rsid w:val="0018556F"/>
    <w:rsid w:val="0018568F"/>
    <w:rsid w:val="001865E8"/>
    <w:rsid w:val="001865FE"/>
    <w:rsid w:val="001915BF"/>
    <w:rsid w:val="00192933"/>
    <w:rsid w:val="00192E26"/>
    <w:rsid w:val="00193DC1"/>
    <w:rsid w:val="001948CE"/>
    <w:rsid w:val="00196624"/>
    <w:rsid w:val="00196787"/>
    <w:rsid w:val="00196BF2"/>
    <w:rsid w:val="00197BC4"/>
    <w:rsid w:val="001A099B"/>
    <w:rsid w:val="001A1FEC"/>
    <w:rsid w:val="001A391D"/>
    <w:rsid w:val="001A3D86"/>
    <w:rsid w:val="001A55D2"/>
    <w:rsid w:val="001A63F3"/>
    <w:rsid w:val="001A7961"/>
    <w:rsid w:val="001B0595"/>
    <w:rsid w:val="001B08EE"/>
    <w:rsid w:val="001B1076"/>
    <w:rsid w:val="001B1735"/>
    <w:rsid w:val="001B3581"/>
    <w:rsid w:val="001B480F"/>
    <w:rsid w:val="001B488E"/>
    <w:rsid w:val="001B5209"/>
    <w:rsid w:val="001B57ED"/>
    <w:rsid w:val="001B5856"/>
    <w:rsid w:val="001B5E82"/>
    <w:rsid w:val="001B7F18"/>
    <w:rsid w:val="001C00CE"/>
    <w:rsid w:val="001C0833"/>
    <w:rsid w:val="001C2688"/>
    <w:rsid w:val="001C37D5"/>
    <w:rsid w:val="001C4EB1"/>
    <w:rsid w:val="001C5F9B"/>
    <w:rsid w:val="001C6A34"/>
    <w:rsid w:val="001C6A5C"/>
    <w:rsid w:val="001C6C00"/>
    <w:rsid w:val="001C7175"/>
    <w:rsid w:val="001C7209"/>
    <w:rsid w:val="001C79B8"/>
    <w:rsid w:val="001D145D"/>
    <w:rsid w:val="001D16FA"/>
    <w:rsid w:val="001D3289"/>
    <w:rsid w:val="001D33DC"/>
    <w:rsid w:val="001D3851"/>
    <w:rsid w:val="001D398F"/>
    <w:rsid w:val="001D3CC0"/>
    <w:rsid w:val="001D468C"/>
    <w:rsid w:val="001D672B"/>
    <w:rsid w:val="001D72AF"/>
    <w:rsid w:val="001E02CD"/>
    <w:rsid w:val="001E03CE"/>
    <w:rsid w:val="001E1194"/>
    <w:rsid w:val="001E1579"/>
    <w:rsid w:val="001E1E1B"/>
    <w:rsid w:val="001E3532"/>
    <w:rsid w:val="001E44AA"/>
    <w:rsid w:val="001E4A11"/>
    <w:rsid w:val="001E5341"/>
    <w:rsid w:val="001E6283"/>
    <w:rsid w:val="001E7B39"/>
    <w:rsid w:val="001E7DA1"/>
    <w:rsid w:val="001F0FFB"/>
    <w:rsid w:val="001F16A4"/>
    <w:rsid w:val="001F24A7"/>
    <w:rsid w:val="001F362A"/>
    <w:rsid w:val="001F4404"/>
    <w:rsid w:val="001F53A6"/>
    <w:rsid w:val="001F69F8"/>
    <w:rsid w:val="001F6B78"/>
    <w:rsid w:val="001F71FF"/>
    <w:rsid w:val="001F7957"/>
    <w:rsid w:val="002002D2"/>
    <w:rsid w:val="00201D3F"/>
    <w:rsid w:val="00201D9A"/>
    <w:rsid w:val="00202101"/>
    <w:rsid w:val="00202EB3"/>
    <w:rsid w:val="002036FB"/>
    <w:rsid w:val="00203C75"/>
    <w:rsid w:val="00206170"/>
    <w:rsid w:val="002061BB"/>
    <w:rsid w:val="00207FB4"/>
    <w:rsid w:val="0021084E"/>
    <w:rsid w:val="0021190D"/>
    <w:rsid w:val="002119CC"/>
    <w:rsid w:val="00212245"/>
    <w:rsid w:val="002128B4"/>
    <w:rsid w:val="00213C9F"/>
    <w:rsid w:val="00214ED2"/>
    <w:rsid w:val="00215B54"/>
    <w:rsid w:val="00215BD4"/>
    <w:rsid w:val="00215D65"/>
    <w:rsid w:val="00215E4B"/>
    <w:rsid w:val="002200D9"/>
    <w:rsid w:val="002213D8"/>
    <w:rsid w:val="00221D19"/>
    <w:rsid w:val="00222022"/>
    <w:rsid w:val="00224D1D"/>
    <w:rsid w:val="002250AF"/>
    <w:rsid w:val="002263E0"/>
    <w:rsid w:val="002273D5"/>
    <w:rsid w:val="00227C4E"/>
    <w:rsid w:val="002321FD"/>
    <w:rsid w:val="00232757"/>
    <w:rsid w:val="00233503"/>
    <w:rsid w:val="002342B5"/>
    <w:rsid w:val="00235E5F"/>
    <w:rsid w:val="00236AAE"/>
    <w:rsid w:val="00236C1E"/>
    <w:rsid w:val="00240C2F"/>
    <w:rsid w:val="00240CF7"/>
    <w:rsid w:val="0024312A"/>
    <w:rsid w:val="00243271"/>
    <w:rsid w:val="00243524"/>
    <w:rsid w:val="00244474"/>
    <w:rsid w:val="00245EF1"/>
    <w:rsid w:val="002461E4"/>
    <w:rsid w:val="00246816"/>
    <w:rsid w:val="00246ACC"/>
    <w:rsid w:val="0024775C"/>
    <w:rsid w:val="00251C54"/>
    <w:rsid w:val="002539F2"/>
    <w:rsid w:val="00253AF6"/>
    <w:rsid w:val="00254918"/>
    <w:rsid w:val="00254B1E"/>
    <w:rsid w:val="00255EF8"/>
    <w:rsid w:val="00256261"/>
    <w:rsid w:val="0026017D"/>
    <w:rsid w:val="00261660"/>
    <w:rsid w:val="0026322A"/>
    <w:rsid w:val="002636E3"/>
    <w:rsid w:val="00263A0A"/>
    <w:rsid w:val="00263E8A"/>
    <w:rsid w:val="002644F2"/>
    <w:rsid w:val="00264C9C"/>
    <w:rsid w:val="00264FCE"/>
    <w:rsid w:val="00265119"/>
    <w:rsid w:val="00270BDE"/>
    <w:rsid w:val="00270D8B"/>
    <w:rsid w:val="002722F9"/>
    <w:rsid w:val="002736EE"/>
    <w:rsid w:val="002736F7"/>
    <w:rsid w:val="00273CD3"/>
    <w:rsid w:val="00273EB7"/>
    <w:rsid w:val="002756F3"/>
    <w:rsid w:val="00280F32"/>
    <w:rsid w:val="0028216E"/>
    <w:rsid w:val="00282C66"/>
    <w:rsid w:val="00285289"/>
    <w:rsid w:val="00285D5C"/>
    <w:rsid w:val="00286874"/>
    <w:rsid w:val="00287076"/>
    <w:rsid w:val="002877F1"/>
    <w:rsid w:val="00290BDA"/>
    <w:rsid w:val="00290E39"/>
    <w:rsid w:val="00291402"/>
    <w:rsid w:val="0029155F"/>
    <w:rsid w:val="00291B37"/>
    <w:rsid w:val="00291F3E"/>
    <w:rsid w:val="002923FF"/>
    <w:rsid w:val="00293545"/>
    <w:rsid w:val="002937AD"/>
    <w:rsid w:val="00293E90"/>
    <w:rsid w:val="002943C1"/>
    <w:rsid w:val="002952EF"/>
    <w:rsid w:val="00295859"/>
    <w:rsid w:val="00296135"/>
    <w:rsid w:val="00296224"/>
    <w:rsid w:val="00297236"/>
    <w:rsid w:val="002A124C"/>
    <w:rsid w:val="002A1D57"/>
    <w:rsid w:val="002A2752"/>
    <w:rsid w:val="002A3769"/>
    <w:rsid w:val="002A4DAE"/>
    <w:rsid w:val="002A4EF0"/>
    <w:rsid w:val="002A72CB"/>
    <w:rsid w:val="002B0C40"/>
    <w:rsid w:val="002B1C82"/>
    <w:rsid w:val="002B251E"/>
    <w:rsid w:val="002B295E"/>
    <w:rsid w:val="002B36DB"/>
    <w:rsid w:val="002B37BD"/>
    <w:rsid w:val="002B3A73"/>
    <w:rsid w:val="002B3FE1"/>
    <w:rsid w:val="002B46EF"/>
    <w:rsid w:val="002B53BA"/>
    <w:rsid w:val="002B5B57"/>
    <w:rsid w:val="002B6860"/>
    <w:rsid w:val="002B6BA8"/>
    <w:rsid w:val="002B7094"/>
    <w:rsid w:val="002B764C"/>
    <w:rsid w:val="002C1DA6"/>
    <w:rsid w:val="002C27C7"/>
    <w:rsid w:val="002C49F8"/>
    <w:rsid w:val="002C4D0C"/>
    <w:rsid w:val="002C59B6"/>
    <w:rsid w:val="002D00D2"/>
    <w:rsid w:val="002D0277"/>
    <w:rsid w:val="002D0819"/>
    <w:rsid w:val="002D2614"/>
    <w:rsid w:val="002D323A"/>
    <w:rsid w:val="002D68C7"/>
    <w:rsid w:val="002D73C2"/>
    <w:rsid w:val="002E023F"/>
    <w:rsid w:val="002E02AD"/>
    <w:rsid w:val="002E0AC3"/>
    <w:rsid w:val="002E1685"/>
    <w:rsid w:val="002E1725"/>
    <w:rsid w:val="002E1F22"/>
    <w:rsid w:val="002E37A2"/>
    <w:rsid w:val="002E4F4B"/>
    <w:rsid w:val="002E6878"/>
    <w:rsid w:val="002E6A52"/>
    <w:rsid w:val="002E70F3"/>
    <w:rsid w:val="002F0016"/>
    <w:rsid w:val="002F0203"/>
    <w:rsid w:val="002F1D3E"/>
    <w:rsid w:val="002F24F4"/>
    <w:rsid w:val="002F3BB8"/>
    <w:rsid w:val="002F55D2"/>
    <w:rsid w:val="00301C82"/>
    <w:rsid w:val="0030206E"/>
    <w:rsid w:val="00303FC4"/>
    <w:rsid w:val="00304FD8"/>
    <w:rsid w:val="00305111"/>
    <w:rsid w:val="00306348"/>
    <w:rsid w:val="00306D6D"/>
    <w:rsid w:val="00310F65"/>
    <w:rsid w:val="00311282"/>
    <w:rsid w:val="00311933"/>
    <w:rsid w:val="00313237"/>
    <w:rsid w:val="00313F6D"/>
    <w:rsid w:val="003161A4"/>
    <w:rsid w:val="00316AF1"/>
    <w:rsid w:val="00316E08"/>
    <w:rsid w:val="0031763F"/>
    <w:rsid w:val="00320069"/>
    <w:rsid w:val="0032014E"/>
    <w:rsid w:val="00320595"/>
    <w:rsid w:val="00320CCE"/>
    <w:rsid w:val="00321E90"/>
    <w:rsid w:val="003235B9"/>
    <w:rsid w:val="00323B9A"/>
    <w:rsid w:val="00324362"/>
    <w:rsid w:val="0032459F"/>
    <w:rsid w:val="00325182"/>
    <w:rsid w:val="003253E5"/>
    <w:rsid w:val="00326F5E"/>
    <w:rsid w:val="00332F69"/>
    <w:rsid w:val="00333E21"/>
    <w:rsid w:val="0033582F"/>
    <w:rsid w:val="00336851"/>
    <w:rsid w:val="003370EF"/>
    <w:rsid w:val="0033735B"/>
    <w:rsid w:val="003379A5"/>
    <w:rsid w:val="00340A73"/>
    <w:rsid w:val="0034156F"/>
    <w:rsid w:val="003415AB"/>
    <w:rsid w:val="00343068"/>
    <w:rsid w:val="00343483"/>
    <w:rsid w:val="00343A05"/>
    <w:rsid w:val="003448C5"/>
    <w:rsid w:val="0034756C"/>
    <w:rsid w:val="00347AE4"/>
    <w:rsid w:val="00347D10"/>
    <w:rsid w:val="003500ED"/>
    <w:rsid w:val="00350C25"/>
    <w:rsid w:val="00353880"/>
    <w:rsid w:val="00355A30"/>
    <w:rsid w:val="00356C2F"/>
    <w:rsid w:val="00357397"/>
    <w:rsid w:val="00357C3A"/>
    <w:rsid w:val="00360742"/>
    <w:rsid w:val="00362129"/>
    <w:rsid w:val="003625F3"/>
    <w:rsid w:val="00362ADD"/>
    <w:rsid w:val="00362D40"/>
    <w:rsid w:val="00363A01"/>
    <w:rsid w:val="00363AE9"/>
    <w:rsid w:val="00364677"/>
    <w:rsid w:val="00364B2E"/>
    <w:rsid w:val="003661D6"/>
    <w:rsid w:val="00366292"/>
    <w:rsid w:val="00366FBB"/>
    <w:rsid w:val="00367B7A"/>
    <w:rsid w:val="00370332"/>
    <w:rsid w:val="003703EE"/>
    <w:rsid w:val="00370BF1"/>
    <w:rsid w:val="00370FB1"/>
    <w:rsid w:val="00373222"/>
    <w:rsid w:val="00373335"/>
    <w:rsid w:val="003735A8"/>
    <w:rsid w:val="00373C18"/>
    <w:rsid w:val="00373DB3"/>
    <w:rsid w:val="00373F7E"/>
    <w:rsid w:val="0037437D"/>
    <w:rsid w:val="003743FB"/>
    <w:rsid w:val="00377C47"/>
    <w:rsid w:val="0038090C"/>
    <w:rsid w:val="003810FD"/>
    <w:rsid w:val="00382B70"/>
    <w:rsid w:val="003833DB"/>
    <w:rsid w:val="00384E94"/>
    <w:rsid w:val="003876D5"/>
    <w:rsid w:val="00387E10"/>
    <w:rsid w:val="003904AE"/>
    <w:rsid w:val="00390501"/>
    <w:rsid w:val="003909A6"/>
    <w:rsid w:val="00392B8B"/>
    <w:rsid w:val="003937E4"/>
    <w:rsid w:val="003952BA"/>
    <w:rsid w:val="003974E3"/>
    <w:rsid w:val="003A1AA1"/>
    <w:rsid w:val="003A1E68"/>
    <w:rsid w:val="003A2DB9"/>
    <w:rsid w:val="003A3721"/>
    <w:rsid w:val="003A5565"/>
    <w:rsid w:val="003A5A32"/>
    <w:rsid w:val="003A6031"/>
    <w:rsid w:val="003A6B7E"/>
    <w:rsid w:val="003A6B86"/>
    <w:rsid w:val="003A6F65"/>
    <w:rsid w:val="003A7AB3"/>
    <w:rsid w:val="003A7B39"/>
    <w:rsid w:val="003A7BD5"/>
    <w:rsid w:val="003B2CC7"/>
    <w:rsid w:val="003B4182"/>
    <w:rsid w:val="003B4B65"/>
    <w:rsid w:val="003B6257"/>
    <w:rsid w:val="003B7676"/>
    <w:rsid w:val="003B76D5"/>
    <w:rsid w:val="003C0044"/>
    <w:rsid w:val="003C05FF"/>
    <w:rsid w:val="003C0E2F"/>
    <w:rsid w:val="003C0FCD"/>
    <w:rsid w:val="003C10D6"/>
    <w:rsid w:val="003C1C3A"/>
    <w:rsid w:val="003C571B"/>
    <w:rsid w:val="003C6A87"/>
    <w:rsid w:val="003C6EF6"/>
    <w:rsid w:val="003C7783"/>
    <w:rsid w:val="003C7E3C"/>
    <w:rsid w:val="003D0E1A"/>
    <w:rsid w:val="003D105E"/>
    <w:rsid w:val="003D11FF"/>
    <w:rsid w:val="003D168D"/>
    <w:rsid w:val="003D1AF3"/>
    <w:rsid w:val="003D2132"/>
    <w:rsid w:val="003D44C5"/>
    <w:rsid w:val="003D6028"/>
    <w:rsid w:val="003D6ECD"/>
    <w:rsid w:val="003D7BFC"/>
    <w:rsid w:val="003E048F"/>
    <w:rsid w:val="003E0B32"/>
    <w:rsid w:val="003E140A"/>
    <w:rsid w:val="003E18DB"/>
    <w:rsid w:val="003E1D22"/>
    <w:rsid w:val="003E20B0"/>
    <w:rsid w:val="003E221C"/>
    <w:rsid w:val="003E2453"/>
    <w:rsid w:val="003E2CF5"/>
    <w:rsid w:val="003E3B76"/>
    <w:rsid w:val="003E3D83"/>
    <w:rsid w:val="003E3EC5"/>
    <w:rsid w:val="003E5417"/>
    <w:rsid w:val="003E588B"/>
    <w:rsid w:val="003E5DC6"/>
    <w:rsid w:val="003F039B"/>
    <w:rsid w:val="003F0C64"/>
    <w:rsid w:val="003F0D21"/>
    <w:rsid w:val="003F0E5F"/>
    <w:rsid w:val="003F13E0"/>
    <w:rsid w:val="003F28F0"/>
    <w:rsid w:val="003F3394"/>
    <w:rsid w:val="003F3F87"/>
    <w:rsid w:val="003F4CC5"/>
    <w:rsid w:val="003F4CE3"/>
    <w:rsid w:val="003F6444"/>
    <w:rsid w:val="003F67A4"/>
    <w:rsid w:val="003F6884"/>
    <w:rsid w:val="003F6AB7"/>
    <w:rsid w:val="003F6ABF"/>
    <w:rsid w:val="003F739D"/>
    <w:rsid w:val="0040174A"/>
    <w:rsid w:val="00401C65"/>
    <w:rsid w:val="00401D19"/>
    <w:rsid w:val="00401E13"/>
    <w:rsid w:val="004038E3"/>
    <w:rsid w:val="004045D5"/>
    <w:rsid w:val="004055E8"/>
    <w:rsid w:val="0040658D"/>
    <w:rsid w:val="00407999"/>
    <w:rsid w:val="00411D8B"/>
    <w:rsid w:val="0041207D"/>
    <w:rsid w:val="00413FD2"/>
    <w:rsid w:val="00415848"/>
    <w:rsid w:val="00415FEA"/>
    <w:rsid w:val="00417341"/>
    <w:rsid w:val="004201C1"/>
    <w:rsid w:val="00420A9A"/>
    <w:rsid w:val="00422103"/>
    <w:rsid w:val="00422A63"/>
    <w:rsid w:val="00423028"/>
    <w:rsid w:val="00423BC0"/>
    <w:rsid w:val="004241FA"/>
    <w:rsid w:val="00424454"/>
    <w:rsid w:val="00424525"/>
    <w:rsid w:val="00424AFA"/>
    <w:rsid w:val="00424F2D"/>
    <w:rsid w:val="004256FD"/>
    <w:rsid w:val="00425BB8"/>
    <w:rsid w:val="00425E0E"/>
    <w:rsid w:val="00426012"/>
    <w:rsid w:val="00426E70"/>
    <w:rsid w:val="00430574"/>
    <w:rsid w:val="00431C42"/>
    <w:rsid w:val="00431F1F"/>
    <w:rsid w:val="00431F50"/>
    <w:rsid w:val="0043331E"/>
    <w:rsid w:val="004335B5"/>
    <w:rsid w:val="004339BF"/>
    <w:rsid w:val="004345C6"/>
    <w:rsid w:val="00434CFC"/>
    <w:rsid w:val="00435964"/>
    <w:rsid w:val="00436036"/>
    <w:rsid w:val="004364A0"/>
    <w:rsid w:val="00436962"/>
    <w:rsid w:val="00437935"/>
    <w:rsid w:val="00437C74"/>
    <w:rsid w:val="0044023E"/>
    <w:rsid w:val="00441635"/>
    <w:rsid w:val="0044192A"/>
    <w:rsid w:val="00441C15"/>
    <w:rsid w:val="004422BD"/>
    <w:rsid w:val="00442BC8"/>
    <w:rsid w:val="004446CD"/>
    <w:rsid w:val="00444A93"/>
    <w:rsid w:val="00445571"/>
    <w:rsid w:val="00445E3B"/>
    <w:rsid w:val="00446462"/>
    <w:rsid w:val="0045074C"/>
    <w:rsid w:val="004507DF"/>
    <w:rsid w:val="00451623"/>
    <w:rsid w:val="00451956"/>
    <w:rsid w:val="00452374"/>
    <w:rsid w:val="0045245A"/>
    <w:rsid w:val="00455DFC"/>
    <w:rsid w:val="00456B8C"/>
    <w:rsid w:val="00457AAF"/>
    <w:rsid w:val="0046023D"/>
    <w:rsid w:val="00460A28"/>
    <w:rsid w:val="00460B23"/>
    <w:rsid w:val="00462A70"/>
    <w:rsid w:val="00462EB5"/>
    <w:rsid w:val="00467681"/>
    <w:rsid w:val="00470537"/>
    <w:rsid w:val="004712B8"/>
    <w:rsid w:val="00471578"/>
    <w:rsid w:val="004719A7"/>
    <w:rsid w:val="00472A3E"/>
    <w:rsid w:val="00472B59"/>
    <w:rsid w:val="00472D49"/>
    <w:rsid w:val="00473623"/>
    <w:rsid w:val="0047379A"/>
    <w:rsid w:val="00473FE0"/>
    <w:rsid w:val="004752DC"/>
    <w:rsid w:val="004761E1"/>
    <w:rsid w:val="00476E09"/>
    <w:rsid w:val="00477B40"/>
    <w:rsid w:val="00477E5C"/>
    <w:rsid w:val="004806BC"/>
    <w:rsid w:val="00480791"/>
    <w:rsid w:val="0048229C"/>
    <w:rsid w:val="00482BD5"/>
    <w:rsid w:val="004839D0"/>
    <w:rsid w:val="00483DFA"/>
    <w:rsid w:val="00485090"/>
    <w:rsid w:val="00485626"/>
    <w:rsid w:val="004864D1"/>
    <w:rsid w:val="00487853"/>
    <w:rsid w:val="00487B4C"/>
    <w:rsid w:val="00487F92"/>
    <w:rsid w:val="004907B9"/>
    <w:rsid w:val="00493E7A"/>
    <w:rsid w:val="00495D8A"/>
    <w:rsid w:val="0049697C"/>
    <w:rsid w:val="00496A1D"/>
    <w:rsid w:val="00496C58"/>
    <w:rsid w:val="00497526"/>
    <w:rsid w:val="004A0B53"/>
    <w:rsid w:val="004A1928"/>
    <w:rsid w:val="004A1D5D"/>
    <w:rsid w:val="004A2E61"/>
    <w:rsid w:val="004A2EF6"/>
    <w:rsid w:val="004A4F1C"/>
    <w:rsid w:val="004A5D3E"/>
    <w:rsid w:val="004A653D"/>
    <w:rsid w:val="004A7067"/>
    <w:rsid w:val="004A75DB"/>
    <w:rsid w:val="004B0A54"/>
    <w:rsid w:val="004B0B03"/>
    <w:rsid w:val="004B2975"/>
    <w:rsid w:val="004B2E65"/>
    <w:rsid w:val="004B3675"/>
    <w:rsid w:val="004B3910"/>
    <w:rsid w:val="004B4259"/>
    <w:rsid w:val="004B4641"/>
    <w:rsid w:val="004B4C0D"/>
    <w:rsid w:val="004B4ECA"/>
    <w:rsid w:val="004B5248"/>
    <w:rsid w:val="004B56D4"/>
    <w:rsid w:val="004B6036"/>
    <w:rsid w:val="004B6B3A"/>
    <w:rsid w:val="004B719F"/>
    <w:rsid w:val="004B732B"/>
    <w:rsid w:val="004C0AB5"/>
    <w:rsid w:val="004C1DB0"/>
    <w:rsid w:val="004C260D"/>
    <w:rsid w:val="004C44CB"/>
    <w:rsid w:val="004C4516"/>
    <w:rsid w:val="004C5580"/>
    <w:rsid w:val="004C63DF"/>
    <w:rsid w:val="004C767B"/>
    <w:rsid w:val="004C7E40"/>
    <w:rsid w:val="004C7E5B"/>
    <w:rsid w:val="004D070D"/>
    <w:rsid w:val="004D0D04"/>
    <w:rsid w:val="004D1074"/>
    <w:rsid w:val="004D125E"/>
    <w:rsid w:val="004D1C4D"/>
    <w:rsid w:val="004D2F41"/>
    <w:rsid w:val="004D3EF9"/>
    <w:rsid w:val="004D489D"/>
    <w:rsid w:val="004D524D"/>
    <w:rsid w:val="004D6001"/>
    <w:rsid w:val="004E256A"/>
    <w:rsid w:val="004E3AFC"/>
    <w:rsid w:val="004E6740"/>
    <w:rsid w:val="004F2DD7"/>
    <w:rsid w:val="004F38DE"/>
    <w:rsid w:val="004F3B76"/>
    <w:rsid w:val="004F3CD9"/>
    <w:rsid w:val="004F3F53"/>
    <w:rsid w:val="004F4707"/>
    <w:rsid w:val="004F54C6"/>
    <w:rsid w:val="004F577A"/>
    <w:rsid w:val="004F5996"/>
    <w:rsid w:val="004F7AE7"/>
    <w:rsid w:val="0050051D"/>
    <w:rsid w:val="00500BA3"/>
    <w:rsid w:val="005020C8"/>
    <w:rsid w:val="005041F6"/>
    <w:rsid w:val="00504F97"/>
    <w:rsid w:val="005066C6"/>
    <w:rsid w:val="00506C39"/>
    <w:rsid w:val="00506D29"/>
    <w:rsid w:val="00506F70"/>
    <w:rsid w:val="00507D13"/>
    <w:rsid w:val="00507E7C"/>
    <w:rsid w:val="005117AD"/>
    <w:rsid w:val="00512669"/>
    <w:rsid w:val="00513BE9"/>
    <w:rsid w:val="00514EAA"/>
    <w:rsid w:val="0051683F"/>
    <w:rsid w:val="0051784F"/>
    <w:rsid w:val="00520DF1"/>
    <w:rsid w:val="00521051"/>
    <w:rsid w:val="005232DD"/>
    <w:rsid w:val="00524BD2"/>
    <w:rsid w:val="0052576E"/>
    <w:rsid w:val="00525955"/>
    <w:rsid w:val="005277D0"/>
    <w:rsid w:val="00530D57"/>
    <w:rsid w:val="00532C87"/>
    <w:rsid w:val="00532D6C"/>
    <w:rsid w:val="00532DF4"/>
    <w:rsid w:val="00533371"/>
    <w:rsid w:val="005333BC"/>
    <w:rsid w:val="00533D4A"/>
    <w:rsid w:val="00534107"/>
    <w:rsid w:val="0053490F"/>
    <w:rsid w:val="00534A39"/>
    <w:rsid w:val="005354CB"/>
    <w:rsid w:val="00535ABA"/>
    <w:rsid w:val="00535E4C"/>
    <w:rsid w:val="00535F77"/>
    <w:rsid w:val="00536584"/>
    <w:rsid w:val="00536D9C"/>
    <w:rsid w:val="00537ED8"/>
    <w:rsid w:val="00540B24"/>
    <w:rsid w:val="00540EF1"/>
    <w:rsid w:val="005415B7"/>
    <w:rsid w:val="00541C47"/>
    <w:rsid w:val="00541E88"/>
    <w:rsid w:val="0054314D"/>
    <w:rsid w:val="00543D51"/>
    <w:rsid w:val="005442AF"/>
    <w:rsid w:val="00544992"/>
    <w:rsid w:val="00544D41"/>
    <w:rsid w:val="00546ED0"/>
    <w:rsid w:val="0055115B"/>
    <w:rsid w:val="005516F1"/>
    <w:rsid w:val="00551A49"/>
    <w:rsid w:val="00551B92"/>
    <w:rsid w:val="00552AC8"/>
    <w:rsid w:val="00553953"/>
    <w:rsid w:val="00553E3E"/>
    <w:rsid w:val="00554372"/>
    <w:rsid w:val="0055457C"/>
    <w:rsid w:val="0055481D"/>
    <w:rsid w:val="0055495D"/>
    <w:rsid w:val="00556138"/>
    <w:rsid w:val="00556F58"/>
    <w:rsid w:val="00557A45"/>
    <w:rsid w:val="00557D9C"/>
    <w:rsid w:val="005610E3"/>
    <w:rsid w:val="00561DCF"/>
    <w:rsid w:val="0056243F"/>
    <w:rsid w:val="00562E7B"/>
    <w:rsid w:val="00563D96"/>
    <w:rsid w:val="0056420A"/>
    <w:rsid w:val="00565432"/>
    <w:rsid w:val="005655EC"/>
    <w:rsid w:val="00565E75"/>
    <w:rsid w:val="00565EFC"/>
    <w:rsid w:val="00566156"/>
    <w:rsid w:val="005664AC"/>
    <w:rsid w:val="005669A3"/>
    <w:rsid w:val="00567B32"/>
    <w:rsid w:val="005705FA"/>
    <w:rsid w:val="00570A38"/>
    <w:rsid w:val="00570B36"/>
    <w:rsid w:val="00570EB1"/>
    <w:rsid w:val="00571155"/>
    <w:rsid w:val="00572AB5"/>
    <w:rsid w:val="005743F9"/>
    <w:rsid w:val="00574FB7"/>
    <w:rsid w:val="00575FB6"/>
    <w:rsid w:val="00576EE7"/>
    <w:rsid w:val="00580637"/>
    <w:rsid w:val="00581412"/>
    <w:rsid w:val="00582742"/>
    <w:rsid w:val="00582AD1"/>
    <w:rsid w:val="00582B9C"/>
    <w:rsid w:val="00582BD9"/>
    <w:rsid w:val="005830DE"/>
    <w:rsid w:val="00583768"/>
    <w:rsid w:val="00583BCC"/>
    <w:rsid w:val="005845AF"/>
    <w:rsid w:val="0058464F"/>
    <w:rsid w:val="00585296"/>
    <w:rsid w:val="00585702"/>
    <w:rsid w:val="00585D12"/>
    <w:rsid w:val="00591F44"/>
    <w:rsid w:val="00592225"/>
    <w:rsid w:val="00592D0D"/>
    <w:rsid w:val="00592E0B"/>
    <w:rsid w:val="00595671"/>
    <w:rsid w:val="005A0160"/>
    <w:rsid w:val="005A01D4"/>
    <w:rsid w:val="005A03C9"/>
    <w:rsid w:val="005A129B"/>
    <w:rsid w:val="005A1F50"/>
    <w:rsid w:val="005A2C45"/>
    <w:rsid w:val="005A3510"/>
    <w:rsid w:val="005A3B29"/>
    <w:rsid w:val="005A4280"/>
    <w:rsid w:val="005A72D6"/>
    <w:rsid w:val="005B068E"/>
    <w:rsid w:val="005B1A6E"/>
    <w:rsid w:val="005B2660"/>
    <w:rsid w:val="005B3043"/>
    <w:rsid w:val="005B6D0B"/>
    <w:rsid w:val="005B7B72"/>
    <w:rsid w:val="005C0709"/>
    <w:rsid w:val="005C0D18"/>
    <w:rsid w:val="005C0E72"/>
    <w:rsid w:val="005C10D6"/>
    <w:rsid w:val="005C25B3"/>
    <w:rsid w:val="005C2E67"/>
    <w:rsid w:val="005C460F"/>
    <w:rsid w:val="005C588B"/>
    <w:rsid w:val="005C6A71"/>
    <w:rsid w:val="005C6C16"/>
    <w:rsid w:val="005C6D81"/>
    <w:rsid w:val="005D01C0"/>
    <w:rsid w:val="005D109E"/>
    <w:rsid w:val="005D134B"/>
    <w:rsid w:val="005D155D"/>
    <w:rsid w:val="005D1B01"/>
    <w:rsid w:val="005D2C0B"/>
    <w:rsid w:val="005D4C3B"/>
    <w:rsid w:val="005D624D"/>
    <w:rsid w:val="005E24A2"/>
    <w:rsid w:val="005E2E8F"/>
    <w:rsid w:val="005E2F15"/>
    <w:rsid w:val="005E3116"/>
    <w:rsid w:val="005E3E10"/>
    <w:rsid w:val="005E4D8E"/>
    <w:rsid w:val="005E520A"/>
    <w:rsid w:val="005E6B2E"/>
    <w:rsid w:val="005E7567"/>
    <w:rsid w:val="005F07A2"/>
    <w:rsid w:val="005F148C"/>
    <w:rsid w:val="005F15FB"/>
    <w:rsid w:val="005F2228"/>
    <w:rsid w:val="005F350E"/>
    <w:rsid w:val="005F4F9C"/>
    <w:rsid w:val="005F5924"/>
    <w:rsid w:val="005F6495"/>
    <w:rsid w:val="005F6C56"/>
    <w:rsid w:val="0060053B"/>
    <w:rsid w:val="006013FA"/>
    <w:rsid w:val="00601958"/>
    <w:rsid w:val="0060233D"/>
    <w:rsid w:val="00602A33"/>
    <w:rsid w:val="006062CB"/>
    <w:rsid w:val="0061045A"/>
    <w:rsid w:val="0061066F"/>
    <w:rsid w:val="0061176B"/>
    <w:rsid w:val="006122D3"/>
    <w:rsid w:val="006130E6"/>
    <w:rsid w:val="0061375D"/>
    <w:rsid w:val="00613D59"/>
    <w:rsid w:val="00614D36"/>
    <w:rsid w:val="006159FC"/>
    <w:rsid w:val="0061632E"/>
    <w:rsid w:val="00616768"/>
    <w:rsid w:val="00616B93"/>
    <w:rsid w:val="00617A57"/>
    <w:rsid w:val="006209F9"/>
    <w:rsid w:val="006210CD"/>
    <w:rsid w:val="006210DA"/>
    <w:rsid w:val="00621368"/>
    <w:rsid w:val="00621699"/>
    <w:rsid w:val="00621BB4"/>
    <w:rsid w:val="00621C55"/>
    <w:rsid w:val="00625C6D"/>
    <w:rsid w:val="006264E7"/>
    <w:rsid w:val="00627437"/>
    <w:rsid w:val="006275D1"/>
    <w:rsid w:val="00627B48"/>
    <w:rsid w:val="00627B93"/>
    <w:rsid w:val="006300D6"/>
    <w:rsid w:val="0063077A"/>
    <w:rsid w:val="00630989"/>
    <w:rsid w:val="0063172F"/>
    <w:rsid w:val="00631A90"/>
    <w:rsid w:val="006333F4"/>
    <w:rsid w:val="006335FC"/>
    <w:rsid w:val="00633AF7"/>
    <w:rsid w:val="006423B1"/>
    <w:rsid w:val="00642E8D"/>
    <w:rsid w:val="00643E18"/>
    <w:rsid w:val="0064499F"/>
    <w:rsid w:val="00646714"/>
    <w:rsid w:val="00646EA5"/>
    <w:rsid w:val="0064785C"/>
    <w:rsid w:val="00647D9B"/>
    <w:rsid w:val="00651CCC"/>
    <w:rsid w:val="00652403"/>
    <w:rsid w:val="00653A9A"/>
    <w:rsid w:val="006540A3"/>
    <w:rsid w:val="006546B3"/>
    <w:rsid w:val="00656830"/>
    <w:rsid w:val="00657476"/>
    <w:rsid w:val="00657AED"/>
    <w:rsid w:val="00657F75"/>
    <w:rsid w:val="00662104"/>
    <w:rsid w:val="0066281A"/>
    <w:rsid w:val="006631FC"/>
    <w:rsid w:val="006640A9"/>
    <w:rsid w:val="006650E4"/>
    <w:rsid w:val="006654CE"/>
    <w:rsid w:val="00665F20"/>
    <w:rsid w:val="006665C9"/>
    <w:rsid w:val="00666670"/>
    <w:rsid w:val="00667475"/>
    <w:rsid w:val="006675BB"/>
    <w:rsid w:val="0066760A"/>
    <w:rsid w:val="0067053B"/>
    <w:rsid w:val="0067173C"/>
    <w:rsid w:val="006726C0"/>
    <w:rsid w:val="00672B09"/>
    <w:rsid w:val="00672CAA"/>
    <w:rsid w:val="006739C0"/>
    <w:rsid w:val="00673A78"/>
    <w:rsid w:val="0067500C"/>
    <w:rsid w:val="00675163"/>
    <w:rsid w:val="00675771"/>
    <w:rsid w:val="00675E71"/>
    <w:rsid w:val="00677546"/>
    <w:rsid w:val="0067784C"/>
    <w:rsid w:val="00677DF6"/>
    <w:rsid w:val="00681993"/>
    <w:rsid w:val="00681A9F"/>
    <w:rsid w:val="00683062"/>
    <w:rsid w:val="0068381B"/>
    <w:rsid w:val="00683D30"/>
    <w:rsid w:val="0068424A"/>
    <w:rsid w:val="006851F0"/>
    <w:rsid w:val="00686B0B"/>
    <w:rsid w:val="00687041"/>
    <w:rsid w:val="006873C4"/>
    <w:rsid w:val="00687677"/>
    <w:rsid w:val="00687D2E"/>
    <w:rsid w:val="00690978"/>
    <w:rsid w:val="00691070"/>
    <w:rsid w:val="00691EC3"/>
    <w:rsid w:val="00692AB6"/>
    <w:rsid w:val="00692ABA"/>
    <w:rsid w:val="00692FA2"/>
    <w:rsid w:val="006940BF"/>
    <w:rsid w:val="00694FE7"/>
    <w:rsid w:val="006972D7"/>
    <w:rsid w:val="0069747F"/>
    <w:rsid w:val="00697B74"/>
    <w:rsid w:val="00697BA3"/>
    <w:rsid w:val="006A0FD2"/>
    <w:rsid w:val="006A154D"/>
    <w:rsid w:val="006A2D97"/>
    <w:rsid w:val="006A4CD1"/>
    <w:rsid w:val="006A501D"/>
    <w:rsid w:val="006A592E"/>
    <w:rsid w:val="006A6221"/>
    <w:rsid w:val="006A7988"/>
    <w:rsid w:val="006B0D19"/>
    <w:rsid w:val="006B0DE8"/>
    <w:rsid w:val="006B1137"/>
    <w:rsid w:val="006B14AF"/>
    <w:rsid w:val="006B171D"/>
    <w:rsid w:val="006B2C4E"/>
    <w:rsid w:val="006B31A6"/>
    <w:rsid w:val="006B3565"/>
    <w:rsid w:val="006B558F"/>
    <w:rsid w:val="006B5696"/>
    <w:rsid w:val="006B5DCB"/>
    <w:rsid w:val="006B642D"/>
    <w:rsid w:val="006B73A9"/>
    <w:rsid w:val="006B7AD0"/>
    <w:rsid w:val="006C2052"/>
    <w:rsid w:val="006C21E4"/>
    <w:rsid w:val="006C44FD"/>
    <w:rsid w:val="006C54D1"/>
    <w:rsid w:val="006D03CC"/>
    <w:rsid w:val="006D04B7"/>
    <w:rsid w:val="006D212C"/>
    <w:rsid w:val="006D294E"/>
    <w:rsid w:val="006D30D8"/>
    <w:rsid w:val="006D32A7"/>
    <w:rsid w:val="006D42E4"/>
    <w:rsid w:val="006D507C"/>
    <w:rsid w:val="006D53C5"/>
    <w:rsid w:val="006D5EFC"/>
    <w:rsid w:val="006D678D"/>
    <w:rsid w:val="006D6CEF"/>
    <w:rsid w:val="006E0562"/>
    <w:rsid w:val="006E06B4"/>
    <w:rsid w:val="006E1297"/>
    <w:rsid w:val="006E1C4B"/>
    <w:rsid w:val="006E48E1"/>
    <w:rsid w:val="006E5441"/>
    <w:rsid w:val="006E56E2"/>
    <w:rsid w:val="006E575E"/>
    <w:rsid w:val="006E64F6"/>
    <w:rsid w:val="006E7039"/>
    <w:rsid w:val="006E7ACE"/>
    <w:rsid w:val="006F086E"/>
    <w:rsid w:val="006F0F35"/>
    <w:rsid w:val="006F26A9"/>
    <w:rsid w:val="006F2E78"/>
    <w:rsid w:val="006F37F7"/>
    <w:rsid w:val="006F3859"/>
    <w:rsid w:val="006F3AAF"/>
    <w:rsid w:val="006F3DC9"/>
    <w:rsid w:val="006F3F3D"/>
    <w:rsid w:val="006F608D"/>
    <w:rsid w:val="006F63B1"/>
    <w:rsid w:val="006F6B11"/>
    <w:rsid w:val="006F7497"/>
    <w:rsid w:val="00700409"/>
    <w:rsid w:val="00700F2F"/>
    <w:rsid w:val="00701260"/>
    <w:rsid w:val="00701A55"/>
    <w:rsid w:val="00701FED"/>
    <w:rsid w:val="00703594"/>
    <w:rsid w:val="00703BC0"/>
    <w:rsid w:val="00704E6A"/>
    <w:rsid w:val="007053DD"/>
    <w:rsid w:val="00705A3D"/>
    <w:rsid w:val="0070663A"/>
    <w:rsid w:val="00707420"/>
    <w:rsid w:val="00710B77"/>
    <w:rsid w:val="007113FC"/>
    <w:rsid w:val="00711A9C"/>
    <w:rsid w:val="00711E7F"/>
    <w:rsid w:val="00713839"/>
    <w:rsid w:val="00713DEE"/>
    <w:rsid w:val="0071452B"/>
    <w:rsid w:val="00714584"/>
    <w:rsid w:val="00714F40"/>
    <w:rsid w:val="00717834"/>
    <w:rsid w:val="00720876"/>
    <w:rsid w:val="0072213A"/>
    <w:rsid w:val="007229E0"/>
    <w:rsid w:val="007232CD"/>
    <w:rsid w:val="007243B0"/>
    <w:rsid w:val="00724BCE"/>
    <w:rsid w:val="007306BC"/>
    <w:rsid w:val="00732BC8"/>
    <w:rsid w:val="00732CA9"/>
    <w:rsid w:val="007338EA"/>
    <w:rsid w:val="00734E73"/>
    <w:rsid w:val="007358DD"/>
    <w:rsid w:val="00740B03"/>
    <w:rsid w:val="00740C88"/>
    <w:rsid w:val="007423A7"/>
    <w:rsid w:val="007428EC"/>
    <w:rsid w:val="00742B2D"/>
    <w:rsid w:val="00744784"/>
    <w:rsid w:val="00744995"/>
    <w:rsid w:val="00746E60"/>
    <w:rsid w:val="00750FCF"/>
    <w:rsid w:val="00751C34"/>
    <w:rsid w:val="00751FF2"/>
    <w:rsid w:val="00752B7F"/>
    <w:rsid w:val="007544EA"/>
    <w:rsid w:val="00754F7D"/>
    <w:rsid w:val="007552CC"/>
    <w:rsid w:val="007552F4"/>
    <w:rsid w:val="0075604A"/>
    <w:rsid w:val="007560E1"/>
    <w:rsid w:val="00760C2F"/>
    <w:rsid w:val="00762126"/>
    <w:rsid w:val="007636EA"/>
    <w:rsid w:val="00764224"/>
    <w:rsid w:val="00765FA7"/>
    <w:rsid w:val="00772083"/>
    <w:rsid w:val="00772BE9"/>
    <w:rsid w:val="00772E2F"/>
    <w:rsid w:val="007740A5"/>
    <w:rsid w:val="007756E7"/>
    <w:rsid w:val="007758C6"/>
    <w:rsid w:val="00775EF5"/>
    <w:rsid w:val="00780B55"/>
    <w:rsid w:val="00780B9D"/>
    <w:rsid w:val="0078180D"/>
    <w:rsid w:val="00781C82"/>
    <w:rsid w:val="00782FE5"/>
    <w:rsid w:val="00783437"/>
    <w:rsid w:val="007858D9"/>
    <w:rsid w:val="007870A2"/>
    <w:rsid w:val="0078735E"/>
    <w:rsid w:val="00787A33"/>
    <w:rsid w:val="00787FAD"/>
    <w:rsid w:val="00790000"/>
    <w:rsid w:val="007903B3"/>
    <w:rsid w:val="00790D3A"/>
    <w:rsid w:val="00791AC5"/>
    <w:rsid w:val="00792041"/>
    <w:rsid w:val="0079275B"/>
    <w:rsid w:val="00792BDF"/>
    <w:rsid w:val="00793FBD"/>
    <w:rsid w:val="00794B56"/>
    <w:rsid w:val="007954DF"/>
    <w:rsid w:val="007956EF"/>
    <w:rsid w:val="00796488"/>
    <w:rsid w:val="007A0A65"/>
    <w:rsid w:val="007A0A6D"/>
    <w:rsid w:val="007A0AD9"/>
    <w:rsid w:val="007A0B03"/>
    <w:rsid w:val="007A1C38"/>
    <w:rsid w:val="007A1F25"/>
    <w:rsid w:val="007A443C"/>
    <w:rsid w:val="007A4D39"/>
    <w:rsid w:val="007A4FFC"/>
    <w:rsid w:val="007A5AE2"/>
    <w:rsid w:val="007A6518"/>
    <w:rsid w:val="007A67AA"/>
    <w:rsid w:val="007A7256"/>
    <w:rsid w:val="007A73ED"/>
    <w:rsid w:val="007A7401"/>
    <w:rsid w:val="007B0132"/>
    <w:rsid w:val="007B133A"/>
    <w:rsid w:val="007B1489"/>
    <w:rsid w:val="007B2967"/>
    <w:rsid w:val="007B3649"/>
    <w:rsid w:val="007B364C"/>
    <w:rsid w:val="007B37EC"/>
    <w:rsid w:val="007B7BD9"/>
    <w:rsid w:val="007B7C58"/>
    <w:rsid w:val="007B7E4F"/>
    <w:rsid w:val="007C1C9D"/>
    <w:rsid w:val="007C2070"/>
    <w:rsid w:val="007C23E7"/>
    <w:rsid w:val="007C4D82"/>
    <w:rsid w:val="007C54D6"/>
    <w:rsid w:val="007C56EC"/>
    <w:rsid w:val="007C5D4E"/>
    <w:rsid w:val="007C6890"/>
    <w:rsid w:val="007C79C8"/>
    <w:rsid w:val="007D1C6A"/>
    <w:rsid w:val="007D1C88"/>
    <w:rsid w:val="007D35F7"/>
    <w:rsid w:val="007D3848"/>
    <w:rsid w:val="007D4341"/>
    <w:rsid w:val="007D5531"/>
    <w:rsid w:val="007D55A4"/>
    <w:rsid w:val="007D5F6B"/>
    <w:rsid w:val="007D6086"/>
    <w:rsid w:val="007D7371"/>
    <w:rsid w:val="007D7CA9"/>
    <w:rsid w:val="007E0CDA"/>
    <w:rsid w:val="007E0F83"/>
    <w:rsid w:val="007E20D5"/>
    <w:rsid w:val="007E2F41"/>
    <w:rsid w:val="007E46A1"/>
    <w:rsid w:val="007E577D"/>
    <w:rsid w:val="007E7DE5"/>
    <w:rsid w:val="007F0B00"/>
    <w:rsid w:val="007F178A"/>
    <w:rsid w:val="007F32EA"/>
    <w:rsid w:val="007F3BB7"/>
    <w:rsid w:val="007F3C6F"/>
    <w:rsid w:val="007F41D9"/>
    <w:rsid w:val="007F50B7"/>
    <w:rsid w:val="007F570E"/>
    <w:rsid w:val="007F597C"/>
    <w:rsid w:val="007F62A7"/>
    <w:rsid w:val="00800B7B"/>
    <w:rsid w:val="008021E6"/>
    <w:rsid w:val="008022AE"/>
    <w:rsid w:val="00802F35"/>
    <w:rsid w:val="00803D62"/>
    <w:rsid w:val="00805BD1"/>
    <w:rsid w:val="008112EC"/>
    <w:rsid w:val="00811C41"/>
    <w:rsid w:val="00812909"/>
    <w:rsid w:val="00813519"/>
    <w:rsid w:val="00813B54"/>
    <w:rsid w:val="00815649"/>
    <w:rsid w:val="00815AEA"/>
    <w:rsid w:val="0081692E"/>
    <w:rsid w:val="008169BC"/>
    <w:rsid w:val="00816A52"/>
    <w:rsid w:val="00816F08"/>
    <w:rsid w:val="008175FF"/>
    <w:rsid w:val="0081767A"/>
    <w:rsid w:val="00817B18"/>
    <w:rsid w:val="00820FBE"/>
    <w:rsid w:val="008213DD"/>
    <w:rsid w:val="0082258A"/>
    <w:rsid w:val="00822FB7"/>
    <w:rsid w:val="00823136"/>
    <w:rsid w:val="008234B4"/>
    <w:rsid w:val="00823C90"/>
    <w:rsid w:val="00824299"/>
    <w:rsid w:val="0082487B"/>
    <w:rsid w:val="0082559D"/>
    <w:rsid w:val="00825725"/>
    <w:rsid w:val="008261FF"/>
    <w:rsid w:val="00826C07"/>
    <w:rsid w:val="00826E6C"/>
    <w:rsid w:val="008271A7"/>
    <w:rsid w:val="008272F8"/>
    <w:rsid w:val="00827EB0"/>
    <w:rsid w:val="008305A6"/>
    <w:rsid w:val="00831977"/>
    <w:rsid w:val="00831D70"/>
    <w:rsid w:val="00832FC1"/>
    <w:rsid w:val="00833C19"/>
    <w:rsid w:val="00834948"/>
    <w:rsid w:val="00834EDF"/>
    <w:rsid w:val="00835284"/>
    <w:rsid w:val="00835B86"/>
    <w:rsid w:val="00836CCF"/>
    <w:rsid w:val="00837EEC"/>
    <w:rsid w:val="0084259C"/>
    <w:rsid w:val="00842C6B"/>
    <w:rsid w:val="00843EC4"/>
    <w:rsid w:val="0084499C"/>
    <w:rsid w:val="00844A27"/>
    <w:rsid w:val="00846BD5"/>
    <w:rsid w:val="008503BC"/>
    <w:rsid w:val="0085127F"/>
    <w:rsid w:val="00851600"/>
    <w:rsid w:val="00851A33"/>
    <w:rsid w:val="00852160"/>
    <w:rsid w:val="008524D1"/>
    <w:rsid w:val="008524F5"/>
    <w:rsid w:val="008530B3"/>
    <w:rsid w:val="0085315E"/>
    <w:rsid w:val="008545CD"/>
    <w:rsid w:val="008548F1"/>
    <w:rsid w:val="00854CA6"/>
    <w:rsid w:val="008560B9"/>
    <w:rsid w:val="008565B9"/>
    <w:rsid w:val="008565CC"/>
    <w:rsid w:val="00856837"/>
    <w:rsid w:val="00857036"/>
    <w:rsid w:val="008570FF"/>
    <w:rsid w:val="00857D9A"/>
    <w:rsid w:val="008601BD"/>
    <w:rsid w:val="008610B8"/>
    <w:rsid w:val="0086205A"/>
    <w:rsid w:val="008640DF"/>
    <w:rsid w:val="00864E8F"/>
    <w:rsid w:val="00864FFC"/>
    <w:rsid w:val="0086649D"/>
    <w:rsid w:val="008700AB"/>
    <w:rsid w:val="008700BB"/>
    <w:rsid w:val="008701F6"/>
    <w:rsid w:val="00871345"/>
    <w:rsid w:val="008716E1"/>
    <w:rsid w:val="0087390A"/>
    <w:rsid w:val="00873922"/>
    <w:rsid w:val="0087472B"/>
    <w:rsid w:val="00874C57"/>
    <w:rsid w:val="00874D48"/>
    <w:rsid w:val="008754D6"/>
    <w:rsid w:val="00880B92"/>
    <w:rsid w:val="00881A20"/>
    <w:rsid w:val="00881ABB"/>
    <w:rsid w:val="0088313A"/>
    <w:rsid w:val="00883301"/>
    <w:rsid w:val="008834C3"/>
    <w:rsid w:val="00883702"/>
    <w:rsid w:val="00883A3D"/>
    <w:rsid w:val="008848A9"/>
    <w:rsid w:val="00884A67"/>
    <w:rsid w:val="00884C5C"/>
    <w:rsid w:val="00885254"/>
    <w:rsid w:val="00885E22"/>
    <w:rsid w:val="00887AEE"/>
    <w:rsid w:val="00887F80"/>
    <w:rsid w:val="008901A7"/>
    <w:rsid w:val="0089042C"/>
    <w:rsid w:val="00891290"/>
    <w:rsid w:val="00891D53"/>
    <w:rsid w:val="0089210B"/>
    <w:rsid w:val="00892373"/>
    <w:rsid w:val="00892BDA"/>
    <w:rsid w:val="00892DBA"/>
    <w:rsid w:val="00892F45"/>
    <w:rsid w:val="008932DC"/>
    <w:rsid w:val="00894421"/>
    <w:rsid w:val="00894DB0"/>
    <w:rsid w:val="00896BB3"/>
    <w:rsid w:val="00897014"/>
    <w:rsid w:val="00897417"/>
    <w:rsid w:val="008978AD"/>
    <w:rsid w:val="00897CAC"/>
    <w:rsid w:val="008A011D"/>
    <w:rsid w:val="008A02A1"/>
    <w:rsid w:val="008A07B2"/>
    <w:rsid w:val="008A1C35"/>
    <w:rsid w:val="008A1D62"/>
    <w:rsid w:val="008A26E6"/>
    <w:rsid w:val="008A37CD"/>
    <w:rsid w:val="008A3FE3"/>
    <w:rsid w:val="008A49A3"/>
    <w:rsid w:val="008A7DD9"/>
    <w:rsid w:val="008A7E4D"/>
    <w:rsid w:val="008B0E51"/>
    <w:rsid w:val="008B15E9"/>
    <w:rsid w:val="008B1650"/>
    <w:rsid w:val="008B1940"/>
    <w:rsid w:val="008B332B"/>
    <w:rsid w:val="008B44B1"/>
    <w:rsid w:val="008B6314"/>
    <w:rsid w:val="008C076C"/>
    <w:rsid w:val="008C0B7B"/>
    <w:rsid w:val="008C2292"/>
    <w:rsid w:val="008C3005"/>
    <w:rsid w:val="008C31FF"/>
    <w:rsid w:val="008C3669"/>
    <w:rsid w:val="008C4645"/>
    <w:rsid w:val="008C5036"/>
    <w:rsid w:val="008C5C2F"/>
    <w:rsid w:val="008C6F0A"/>
    <w:rsid w:val="008C7016"/>
    <w:rsid w:val="008C7C64"/>
    <w:rsid w:val="008D28F7"/>
    <w:rsid w:val="008D2AD8"/>
    <w:rsid w:val="008D2D58"/>
    <w:rsid w:val="008D3233"/>
    <w:rsid w:val="008D3973"/>
    <w:rsid w:val="008D3F86"/>
    <w:rsid w:val="008D44B1"/>
    <w:rsid w:val="008D50EA"/>
    <w:rsid w:val="008D6119"/>
    <w:rsid w:val="008D6329"/>
    <w:rsid w:val="008D6D92"/>
    <w:rsid w:val="008E03F2"/>
    <w:rsid w:val="008E180B"/>
    <w:rsid w:val="008E3435"/>
    <w:rsid w:val="008E36CA"/>
    <w:rsid w:val="008E3FB0"/>
    <w:rsid w:val="008E43B2"/>
    <w:rsid w:val="008E4830"/>
    <w:rsid w:val="008E48AC"/>
    <w:rsid w:val="008E5F3F"/>
    <w:rsid w:val="008F0006"/>
    <w:rsid w:val="008F01EF"/>
    <w:rsid w:val="008F0466"/>
    <w:rsid w:val="008F060F"/>
    <w:rsid w:val="008F3395"/>
    <w:rsid w:val="008F3733"/>
    <w:rsid w:val="008F5172"/>
    <w:rsid w:val="008F5CCC"/>
    <w:rsid w:val="008F5F96"/>
    <w:rsid w:val="008F61F3"/>
    <w:rsid w:val="008F6626"/>
    <w:rsid w:val="008F6C97"/>
    <w:rsid w:val="0090026E"/>
    <w:rsid w:val="009013FC"/>
    <w:rsid w:val="00902D3C"/>
    <w:rsid w:val="00904B4E"/>
    <w:rsid w:val="00905315"/>
    <w:rsid w:val="009053D8"/>
    <w:rsid w:val="00906DE2"/>
    <w:rsid w:val="00910BD5"/>
    <w:rsid w:val="00910CA5"/>
    <w:rsid w:val="00911D7F"/>
    <w:rsid w:val="00911F28"/>
    <w:rsid w:val="009123D6"/>
    <w:rsid w:val="00912893"/>
    <w:rsid w:val="009135EB"/>
    <w:rsid w:val="009143BE"/>
    <w:rsid w:val="0091456A"/>
    <w:rsid w:val="00916967"/>
    <w:rsid w:val="00917574"/>
    <w:rsid w:val="00917D1F"/>
    <w:rsid w:val="00920BB5"/>
    <w:rsid w:val="00920E68"/>
    <w:rsid w:val="0092106C"/>
    <w:rsid w:val="00921A28"/>
    <w:rsid w:val="00921BC4"/>
    <w:rsid w:val="00922A25"/>
    <w:rsid w:val="00922CF3"/>
    <w:rsid w:val="00922D67"/>
    <w:rsid w:val="009230EA"/>
    <w:rsid w:val="00923504"/>
    <w:rsid w:val="0092577F"/>
    <w:rsid w:val="00925B94"/>
    <w:rsid w:val="009305A1"/>
    <w:rsid w:val="009309E4"/>
    <w:rsid w:val="0093195B"/>
    <w:rsid w:val="009329B2"/>
    <w:rsid w:val="0093371B"/>
    <w:rsid w:val="00933B15"/>
    <w:rsid w:val="00933B37"/>
    <w:rsid w:val="00933D13"/>
    <w:rsid w:val="009340E4"/>
    <w:rsid w:val="00934498"/>
    <w:rsid w:val="00935139"/>
    <w:rsid w:val="00935559"/>
    <w:rsid w:val="00936139"/>
    <w:rsid w:val="00936BD4"/>
    <w:rsid w:val="0093744D"/>
    <w:rsid w:val="0094013C"/>
    <w:rsid w:val="00940751"/>
    <w:rsid w:val="00941096"/>
    <w:rsid w:val="00941757"/>
    <w:rsid w:val="009420A3"/>
    <w:rsid w:val="00942435"/>
    <w:rsid w:val="00942FF0"/>
    <w:rsid w:val="009447B7"/>
    <w:rsid w:val="00944B6F"/>
    <w:rsid w:val="00947B05"/>
    <w:rsid w:val="00947C60"/>
    <w:rsid w:val="009521B8"/>
    <w:rsid w:val="00954E17"/>
    <w:rsid w:val="00954EF1"/>
    <w:rsid w:val="00956E1C"/>
    <w:rsid w:val="00960734"/>
    <w:rsid w:val="0096359A"/>
    <w:rsid w:val="0096511C"/>
    <w:rsid w:val="009653FF"/>
    <w:rsid w:val="0096563E"/>
    <w:rsid w:val="00965FBA"/>
    <w:rsid w:val="00966F9A"/>
    <w:rsid w:val="009671D7"/>
    <w:rsid w:val="00967A52"/>
    <w:rsid w:val="0097017D"/>
    <w:rsid w:val="00970A9D"/>
    <w:rsid w:val="00972DFE"/>
    <w:rsid w:val="0097543B"/>
    <w:rsid w:val="00975B0D"/>
    <w:rsid w:val="00975D32"/>
    <w:rsid w:val="00976488"/>
    <w:rsid w:val="00977112"/>
    <w:rsid w:val="00977ED1"/>
    <w:rsid w:val="0098006B"/>
    <w:rsid w:val="00980C2F"/>
    <w:rsid w:val="00980C57"/>
    <w:rsid w:val="0098127F"/>
    <w:rsid w:val="00981DC7"/>
    <w:rsid w:val="00982701"/>
    <w:rsid w:val="0098285F"/>
    <w:rsid w:val="00982CC9"/>
    <w:rsid w:val="00983149"/>
    <w:rsid w:val="0098422E"/>
    <w:rsid w:val="00985BF5"/>
    <w:rsid w:val="009860B9"/>
    <w:rsid w:val="00986995"/>
    <w:rsid w:val="00986E27"/>
    <w:rsid w:val="009876BB"/>
    <w:rsid w:val="00987ED0"/>
    <w:rsid w:val="009903A8"/>
    <w:rsid w:val="0099089B"/>
    <w:rsid w:val="00991962"/>
    <w:rsid w:val="00991B5F"/>
    <w:rsid w:val="00993B12"/>
    <w:rsid w:val="00993CD0"/>
    <w:rsid w:val="009942A0"/>
    <w:rsid w:val="009948D1"/>
    <w:rsid w:val="00994DEF"/>
    <w:rsid w:val="00995E4A"/>
    <w:rsid w:val="009972CD"/>
    <w:rsid w:val="00997548"/>
    <w:rsid w:val="009A1C29"/>
    <w:rsid w:val="009A1C89"/>
    <w:rsid w:val="009A253B"/>
    <w:rsid w:val="009A7BF0"/>
    <w:rsid w:val="009B053D"/>
    <w:rsid w:val="009B2986"/>
    <w:rsid w:val="009B52C4"/>
    <w:rsid w:val="009B55B1"/>
    <w:rsid w:val="009B564E"/>
    <w:rsid w:val="009B5A8B"/>
    <w:rsid w:val="009B7E9A"/>
    <w:rsid w:val="009B7FAB"/>
    <w:rsid w:val="009C1057"/>
    <w:rsid w:val="009C18DF"/>
    <w:rsid w:val="009C2184"/>
    <w:rsid w:val="009C3210"/>
    <w:rsid w:val="009C4699"/>
    <w:rsid w:val="009C5618"/>
    <w:rsid w:val="009C6325"/>
    <w:rsid w:val="009C6B05"/>
    <w:rsid w:val="009C6DDE"/>
    <w:rsid w:val="009D0264"/>
    <w:rsid w:val="009D0513"/>
    <w:rsid w:val="009D11C1"/>
    <w:rsid w:val="009D34C3"/>
    <w:rsid w:val="009D43D7"/>
    <w:rsid w:val="009D45E7"/>
    <w:rsid w:val="009D4B8A"/>
    <w:rsid w:val="009D5DB6"/>
    <w:rsid w:val="009D745B"/>
    <w:rsid w:val="009E010E"/>
    <w:rsid w:val="009E04BF"/>
    <w:rsid w:val="009E20FE"/>
    <w:rsid w:val="009E2E0A"/>
    <w:rsid w:val="009E46F7"/>
    <w:rsid w:val="009E54F8"/>
    <w:rsid w:val="009E59A4"/>
    <w:rsid w:val="009E5FDB"/>
    <w:rsid w:val="009E6B3C"/>
    <w:rsid w:val="009F0669"/>
    <w:rsid w:val="009F1ABF"/>
    <w:rsid w:val="009F224B"/>
    <w:rsid w:val="009F4074"/>
    <w:rsid w:val="009F4C38"/>
    <w:rsid w:val="009F5079"/>
    <w:rsid w:val="009F675B"/>
    <w:rsid w:val="009F6CDF"/>
    <w:rsid w:val="009F6DE7"/>
    <w:rsid w:val="009F732E"/>
    <w:rsid w:val="00A02541"/>
    <w:rsid w:val="00A02CEC"/>
    <w:rsid w:val="00A02D6D"/>
    <w:rsid w:val="00A033E3"/>
    <w:rsid w:val="00A0482B"/>
    <w:rsid w:val="00A04F26"/>
    <w:rsid w:val="00A05EBB"/>
    <w:rsid w:val="00A06205"/>
    <w:rsid w:val="00A06F03"/>
    <w:rsid w:val="00A07C0F"/>
    <w:rsid w:val="00A1247B"/>
    <w:rsid w:val="00A139A1"/>
    <w:rsid w:val="00A148D8"/>
    <w:rsid w:val="00A14B19"/>
    <w:rsid w:val="00A15012"/>
    <w:rsid w:val="00A15290"/>
    <w:rsid w:val="00A154D9"/>
    <w:rsid w:val="00A161C6"/>
    <w:rsid w:val="00A1646A"/>
    <w:rsid w:val="00A20751"/>
    <w:rsid w:val="00A22931"/>
    <w:rsid w:val="00A22983"/>
    <w:rsid w:val="00A23088"/>
    <w:rsid w:val="00A23EA7"/>
    <w:rsid w:val="00A24139"/>
    <w:rsid w:val="00A2497D"/>
    <w:rsid w:val="00A25599"/>
    <w:rsid w:val="00A260D9"/>
    <w:rsid w:val="00A279CF"/>
    <w:rsid w:val="00A27DBD"/>
    <w:rsid w:val="00A315E3"/>
    <w:rsid w:val="00A35725"/>
    <w:rsid w:val="00A35918"/>
    <w:rsid w:val="00A3696A"/>
    <w:rsid w:val="00A36ABC"/>
    <w:rsid w:val="00A37A3E"/>
    <w:rsid w:val="00A37DBC"/>
    <w:rsid w:val="00A37EEF"/>
    <w:rsid w:val="00A37F33"/>
    <w:rsid w:val="00A40744"/>
    <w:rsid w:val="00A41AB6"/>
    <w:rsid w:val="00A424E2"/>
    <w:rsid w:val="00A430E4"/>
    <w:rsid w:val="00A43B8B"/>
    <w:rsid w:val="00A4467D"/>
    <w:rsid w:val="00A449CC"/>
    <w:rsid w:val="00A46A6E"/>
    <w:rsid w:val="00A47DF6"/>
    <w:rsid w:val="00A51AE1"/>
    <w:rsid w:val="00A5417A"/>
    <w:rsid w:val="00A55072"/>
    <w:rsid w:val="00A5585C"/>
    <w:rsid w:val="00A570EC"/>
    <w:rsid w:val="00A60BDC"/>
    <w:rsid w:val="00A60E17"/>
    <w:rsid w:val="00A617E7"/>
    <w:rsid w:val="00A61FD7"/>
    <w:rsid w:val="00A62379"/>
    <w:rsid w:val="00A6245F"/>
    <w:rsid w:val="00A624BC"/>
    <w:rsid w:val="00A624F9"/>
    <w:rsid w:val="00A625DB"/>
    <w:rsid w:val="00A6263A"/>
    <w:rsid w:val="00A634F4"/>
    <w:rsid w:val="00A63B0B"/>
    <w:rsid w:val="00A64BCC"/>
    <w:rsid w:val="00A65183"/>
    <w:rsid w:val="00A657BD"/>
    <w:rsid w:val="00A65B52"/>
    <w:rsid w:val="00A65D86"/>
    <w:rsid w:val="00A6607E"/>
    <w:rsid w:val="00A661B0"/>
    <w:rsid w:val="00A66A0F"/>
    <w:rsid w:val="00A66FE9"/>
    <w:rsid w:val="00A70F11"/>
    <w:rsid w:val="00A71464"/>
    <w:rsid w:val="00A7386E"/>
    <w:rsid w:val="00A73CD7"/>
    <w:rsid w:val="00A73D2B"/>
    <w:rsid w:val="00A74538"/>
    <w:rsid w:val="00A74F15"/>
    <w:rsid w:val="00A757F1"/>
    <w:rsid w:val="00A76A45"/>
    <w:rsid w:val="00A76CA7"/>
    <w:rsid w:val="00A77811"/>
    <w:rsid w:val="00A80DBB"/>
    <w:rsid w:val="00A81462"/>
    <w:rsid w:val="00A81EAD"/>
    <w:rsid w:val="00A820D1"/>
    <w:rsid w:val="00A82807"/>
    <w:rsid w:val="00A82DEB"/>
    <w:rsid w:val="00A8346D"/>
    <w:rsid w:val="00A835AA"/>
    <w:rsid w:val="00A839DD"/>
    <w:rsid w:val="00A84555"/>
    <w:rsid w:val="00A84881"/>
    <w:rsid w:val="00A872B5"/>
    <w:rsid w:val="00A9079B"/>
    <w:rsid w:val="00A92CDA"/>
    <w:rsid w:val="00A9328C"/>
    <w:rsid w:val="00A93982"/>
    <w:rsid w:val="00A958A9"/>
    <w:rsid w:val="00A95DCA"/>
    <w:rsid w:val="00A9717A"/>
    <w:rsid w:val="00AA1E58"/>
    <w:rsid w:val="00AA1FE5"/>
    <w:rsid w:val="00AA3FFB"/>
    <w:rsid w:val="00AA4137"/>
    <w:rsid w:val="00AA4316"/>
    <w:rsid w:val="00AA4331"/>
    <w:rsid w:val="00AA5942"/>
    <w:rsid w:val="00AA60B1"/>
    <w:rsid w:val="00AA61AD"/>
    <w:rsid w:val="00AA6516"/>
    <w:rsid w:val="00AA6852"/>
    <w:rsid w:val="00AA7AA6"/>
    <w:rsid w:val="00AB02B7"/>
    <w:rsid w:val="00AB0F12"/>
    <w:rsid w:val="00AB103B"/>
    <w:rsid w:val="00AB1459"/>
    <w:rsid w:val="00AB24FC"/>
    <w:rsid w:val="00AB2B04"/>
    <w:rsid w:val="00AB375F"/>
    <w:rsid w:val="00AB3DEA"/>
    <w:rsid w:val="00AB43BC"/>
    <w:rsid w:val="00AB485C"/>
    <w:rsid w:val="00AB7928"/>
    <w:rsid w:val="00AB7D3A"/>
    <w:rsid w:val="00AC30CA"/>
    <w:rsid w:val="00AC409D"/>
    <w:rsid w:val="00AC5A11"/>
    <w:rsid w:val="00AC7946"/>
    <w:rsid w:val="00AD0374"/>
    <w:rsid w:val="00AD2C53"/>
    <w:rsid w:val="00AD48A7"/>
    <w:rsid w:val="00AD58F0"/>
    <w:rsid w:val="00AD5A7E"/>
    <w:rsid w:val="00AD628E"/>
    <w:rsid w:val="00AD66F9"/>
    <w:rsid w:val="00AD6AE6"/>
    <w:rsid w:val="00AE2B12"/>
    <w:rsid w:val="00AE2EE7"/>
    <w:rsid w:val="00AE4413"/>
    <w:rsid w:val="00AE4603"/>
    <w:rsid w:val="00AE49EE"/>
    <w:rsid w:val="00AE4B33"/>
    <w:rsid w:val="00AE55B5"/>
    <w:rsid w:val="00AE6014"/>
    <w:rsid w:val="00AE69A5"/>
    <w:rsid w:val="00AE7C90"/>
    <w:rsid w:val="00AF1D77"/>
    <w:rsid w:val="00AF254B"/>
    <w:rsid w:val="00AF274C"/>
    <w:rsid w:val="00AF32F1"/>
    <w:rsid w:val="00AF3BA4"/>
    <w:rsid w:val="00AF4BBB"/>
    <w:rsid w:val="00AF5E71"/>
    <w:rsid w:val="00AF5E7A"/>
    <w:rsid w:val="00AF6E24"/>
    <w:rsid w:val="00B00730"/>
    <w:rsid w:val="00B01277"/>
    <w:rsid w:val="00B01572"/>
    <w:rsid w:val="00B02321"/>
    <w:rsid w:val="00B0295F"/>
    <w:rsid w:val="00B02CF9"/>
    <w:rsid w:val="00B03634"/>
    <w:rsid w:val="00B047DC"/>
    <w:rsid w:val="00B049DD"/>
    <w:rsid w:val="00B04AA2"/>
    <w:rsid w:val="00B05673"/>
    <w:rsid w:val="00B05819"/>
    <w:rsid w:val="00B05B7F"/>
    <w:rsid w:val="00B10AAA"/>
    <w:rsid w:val="00B10F53"/>
    <w:rsid w:val="00B1129F"/>
    <w:rsid w:val="00B114EC"/>
    <w:rsid w:val="00B11FA7"/>
    <w:rsid w:val="00B13967"/>
    <w:rsid w:val="00B1474E"/>
    <w:rsid w:val="00B16631"/>
    <w:rsid w:val="00B206FB"/>
    <w:rsid w:val="00B209AF"/>
    <w:rsid w:val="00B210C1"/>
    <w:rsid w:val="00B23B8D"/>
    <w:rsid w:val="00B24C4C"/>
    <w:rsid w:val="00B265A4"/>
    <w:rsid w:val="00B27730"/>
    <w:rsid w:val="00B279E1"/>
    <w:rsid w:val="00B27D19"/>
    <w:rsid w:val="00B31D73"/>
    <w:rsid w:val="00B32C7D"/>
    <w:rsid w:val="00B33139"/>
    <w:rsid w:val="00B33DC1"/>
    <w:rsid w:val="00B34987"/>
    <w:rsid w:val="00B36366"/>
    <w:rsid w:val="00B36C61"/>
    <w:rsid w:val="00B3731B"/>
    <w:rsid w:val="00B376BF"/>
    <w:rsid w:val="00B40601"/>
    <w:rsid w:val="00B42C45"/>
    <w:rsid w:val="00B44DAD"/>
    <w:rsid w:val="00B463B6"/>
    <w:rsid w:val="00B464A0"/>
    <w:rsid w:val="00B52F1C"/>
    <w:rsid w:val="00B53BD6"/>
    <w:rsid w:val="00B542E1"/>
    <w:rsid w:val="00B54A1A"/>
    <w:rsid w:val="00B54E25"/>
    <w:rsid w:val="00B54E96"/>
    <w:rsid w:val="00B55FE3"/>
    <w:rsid w:val="00B5636E"/>
    <w:rsid w:val="00B56B44"/>
    <w:rsid w:val="00B57F9A"/>
    <w:rsid w:val="00B60FB4"/>
    <w:rsid w:val="00B629D2"/>
    <w:rsid w:val="00B62CCA"/>
    <w:rsid w:val="00B62FBD"/>
    <w:rsid w:val="00B62FCE"/>
    <w:rsid w:val="00B659C3"/>
    <w:rsid w:val="00B65E18"/>
    <w:rsid w:val="00B65FB6"/>
    <w:rsid w:val="00B65FF1"/>
    <w:rsid w:val="00B6601C"/>
    <w:rsid w:val="00B6655C"/>
    <w:rsid w:val="00B6673F"/>
    <w:rsid w:val="00B67665"/>
    <w:rsid w:val="00B67B2D"/>
    <w:rsid w:val="00B72939"/>
    <w:rsid w:val="00B73B76"/>
    <w:rsid w:val="00B73D20"/>
    <w:rsid w:val="00B74867"/>
    <w:rsid w:val="00B74B16"/>
    <w:rsid w:val="00B74E26"/>
    <w:rsid w:val="00B7500A"/>
    <w:rsid w:val="00B75135"/>
    <w:rsid w:val="00B765F0"/>
    <w:rsid w:val="00B76CD6"/>
    <w:rsid w:val="00B7714E"/>
    <w:rsid w:val="00B828F9"/>
    <w:rsid w:val="00B84622"/>
    <w:rsid w:val="00B84679"/>
    <w:rsid w:val="00B8484B"/>
    <w:rsid w:val="00B84970"/>
    <w:rsid w:val="00B853FD"/>
    <w:rsid w:val="00B85AF4"/>
    <w:rsid w:val="00B90FB0"/>
    <w:rsid w:val="00B91176"/>
    <w:rsid w:val="00B92D40"/>
    <w:rsid w:val="00B92DB9"/>
    <w:rsid w:val="00B9301D"/>
    <w:rsid w:val="00B933ED"/>
    <w:rsid w:val="00B93896"/>
    <w:rsid w:val="00B9450E"/>
    <w:rsid w:val="00B949F0"/>
    <w:rsid w:val="00B94A7C"/>
    <w:rsid w:val="00B95087"/>
    <w:rsid w:val="00B956AB"/>
    <w:rsid w:val="00B95820"/>
    <w:rsid w:val="00B95C2B"/>
    <w:rsid w:val="00B964FA"/>
    <w:rsid w:val="00B96D41"/>
    <w:rsid w:val="00B96D7E"/>
    <w:rsid w:val="00B977A7"/>
    <w:rsid w:val="00BA08BC"/>
    <w:rsid w:val="00BA1583"/>
    <w:rsid w:val="00BA22B0"/>
    <w:rsid w:val="00BA22F5"/>
    <w:rsid w:val="00BA22F9"/>
    <w:rsid w:val="00BA2D9A"/>
    <w:rsid w:val="00BA316E"/>
    <w:rsid w:val="00BA3208"/>
    <w:rsid w:val="00BA3876"/>
    <w:rsid w:val="00BA3970"/>
    <w:rsid w:val="00BA3ED9"/>
    <w:rsid w:val="00BA5345"/>
    <w:rsid w:val="00BA5538"/>
    <w:rsid w:val="00BA58C8"/>
    <w:rsid w:val="00BA675B"/>
    <w:rsid w:val="00BA6E28"/>
    <w:rsid w:val="00BA7A1A"/>
    <w:rsid w:val="00BB0F0C"/>
    <w:rsid w:val="00BB1C44"/>
    <w:rsid w:val="00BB4A3E"/>
    <w:rsid w:val="00BB4D68"/>
    <w:rsid w:val="00BB505D"/>
    <w:rsid w:val="00BB5096"/>
    <w:rsid w:val="00BB575C"/>
    <w:rsid w:val="00BC13C5"/>
    <w:rsid w:val="00BC315E"/>
    <w:rsid w:val="00BC3B07"/>
    <w:rsid w:val="00BC648F"/>
    <w:rsid w:val="00BC752C"/>
    <w:rsid w:val="00BD1706"/>
    <w:rsid w:val="00BD1EC4"/>
    <w:rsid w:val="00BD77CD"/>
    <w:rsid w:val="00BD79F4"/>
    <w:rsid w:val="00BE111F"/>
    <w:rsid w:val="00BE1546"/>
    <w:rsid w:val="00BE21CA"/>
    <w:rsid w:val="00BE21D1"/>
    <w:rsid w:val="00BE297A"/>
    <w:rsid w:val="00BE2D8D"/>
    <w:rsid w:val="00BE364A"/>
    <w:rsid w:val="00BE47C1"/>
    <w:rsid w:val="00BE55BE"/>
    <w:rsid w:val="00BE5B9E"/>
    <w:rsid w:val="00BE65A5"/>
    <w:rsid w:val="00BE684A"/>
    <w:rsid w:val="00BE6ADE"/>
    <w:rsid w:val="00BE725B"/>
    <w:rsid w:val="00BE7A84"/>
    <w:rsid w:val="00BF07F1"/>
    <w:rsid w:val="00BF0EEA"/>
    <w:rsid w:val="00BF130D"/>
    <w:rsid w:val="00BF2E1E"/>
    <w:rsid w:val="00BF444D"/>
    <w:rsid w:val="00BF4DDB"/>
    <w:rsid w:val="00BF5E5A"/>
    <w:rsid w:val="00BF6085"/>
    <w:rsid w:val="00BF76FC"/>
    <w:rsid w:val="00C0057F"/>
    <w:rsid w:val="00C02132"/>
    <w:rsid w:val="00C038CF"/>
    <w:rsid w:val="00C03F98"/>
    <w:rsid w:val="00C03FFB"/>
    <w:rsid w:val="00C04743"/>
    <w:rsid w:val="00C05AFB"/>
    <w:rsid w:val="00C06062"/>
    <w:rsid w:val="00C07163"/>
    <w:rsid w:val="00C102E0"/>
    <w:rsid w:val="00C129A0"/>
    <w:rsid w:val="00C14860"/>
    <w:rsid w:val="00C14DCF"/>
    <w:rsid w:val="00C14FFD"/>
    <w:rsid w:val="00C1515D"/>
    <w:rsid w:val="00C1614B"/>
    <w:rsid w:val="00C162BA"/>
    <w:rsid w:val="00C17828"/>
    <w:rsid w:val="00C17C26"/>
    <w:rsid w:val="00C17CAD"/>
    <w:rsid w:val="00C22ECD"/>
    <w:rsid w:val="00C2553F"/>
    <w:rsid w:val="00C26220"/>
    <w:rsid w:val="00C275F1"/>
    <w:rsid w:val="00C31717"/>
    <w:rsid w:val="00C332AC"/>
    <w:rsid w:val="00C35B46"/>
    <w:rsid w:val="00C3603B"/>
    <w:rsid w:val="00C37062"/>
    <w:rsid w:val="00C37564"/>
    <w:rsid w:val="00C377D7"/>
    <w:rsid w:val="00C37820"/>
    <w:rsid w:val="00C37F63"/>
    <w:rsid w:val="00C40974"/>
    <w:rsid w:val="00C4399B"/>
    <w:rsid w:val="00C43C68"/>
    <w:rsid w:val="00C43EC0"/>
    <w:rsid w:val="00C44094"/>
    <w:rsid w:val="00C440F6"/>
    <w:rsid w:val="00C4560D"/>
    <w:rsid w:val="00C45CE7"/>
    <w:rsid w:val="00C51AD1"/>
    <w:rsid w:val="00C52988"/>
    <w:rsid w:val="00C53512"/>
    <w:rsid w:val="00C53708"/>
    <w:rsid w:val="00C56917"/>
    <w:rsid w:val="00C56A2A"/>
    <w:rsid w:val="00C57096"/>
    <w:rsid w:val="00C570B4"/>
    <w:rsid w:val="00C57943"/>
    <w:rsid w:val="00C57E77"/>
    <w:rsid w:val="00C60B7E"/>
    <w:rsid w:val="00C6162D"/>
    <w:rsid w:val="00C61A43"/>
    <w:rsid w:val="00C62E18"/>
    <w:rsid w:val="00C635A1"/>
    <w:rsid w:val="00C63D84"/>
    <w:rsid w:val="00C64426"/>
    <w:rsid w:val="00C6491B"/>
    <w:rsid w:val="00C657ED"/>
    <w:rsid w:val="00C664A6"/>
    <w:rsid w:val="00C66721"/>
    <w:rsid w:val="00C6746A"/>
    <w:rsid w:val="00C679DC"/>
    <w:rsid w:val="00C70886"/>
    <w:rsid w:val="00C71831"/>
    <w:rsid w:val="00C723FB"/>
    <w:rsid w:val="00C72D4D"/>
    <w:rsid w:val="00C73327"/>
    <w:rsid w:val="00C738AD"/>
    <w:rsid w:val="00C73A1B"/>
    <w:rsid w:val="00C73C52"/>
    <w:rsid w:val="00C73EFD"/>
    <w:rsid w:val="00C74068"/>
    <w:rsid w:val="00C746B5"/>
    <w:rsid w:val="00C74D81"/>
    <w:rsid w:val="00C754AD"/>
    <w:rsid w:val="00C763D2"/>
    <w:rsid w:val="00C763EA"/>
    <w:rsid w:val="00C77496"/>
    <w:rsid w:val="00C77734"/>
    <w:rsid w:val="00C80146"/>
    <w:rsid w:val="00C80658"/>
    <w:rsid w:val="00C80CD7"/>
    <w:rsid w:val="00C8394F"/>
    <w:rsid w:val="00C84E74"/>
    <w:rsid w:val="00C8688A"/>
    <w:rsid w:val="00C86BF4"/>
    <w:rsid w:val="00C901BF"/>
    <w:rsid w:val="00C912A1"/>
    <w:rsid w:val="00C913A9"/>
    <w:rsid w:val="00C91699"/>
    <w:rsid w:val="00C926F4"/>
    <w:rsid w:val="00C92CA5"/>
    <w:rsid w:val="00C933D5"/>
    <w:rsid w:val="00C93866"/>
    <w:rsid w:val="00C95319"/>
    <w:rsid w:val="00C97139"/>
    <w:rsid w:val="00C97F78"/>
    <w:rsid w:val="00CA1E03"/>
    <w:rsid w:val="00CA1FFC"/>
    <w:rsid w:val="00CA2AB8"/>
    <w:rsid w:val="00CA5358"/>
    <w:rsid w:val="00CA6FF8"/>
    <w:rsid w:val="00CA7F7A"/>
    <w:rsid w:val="00CB0D46"/>
    <w:rsid w:val="00CB271B"/>
    <w:rsid w:val="00CB314D"/>
    <w:rsid w:val="00CB397D"/>
    <w:rsid w:val="00CB4883"/>
    <w:rsid w:val="00CB4BA1"/>
    <w:rsid w:val="00CB57F0"/>
    <w:rsid w:val="00CB667C"/>
    <w:rsid w:val="00CB7512"/>
    <w:rsid w:val="00CC097B"/>
    <w:rsid w:val="00CC0AF7"/>
    <w:rsid w:val="00CC3077"/>
    <w:rsid w:val="00CC5CA5"/>
    <w:rsid w:val="00CC5ECE"/>
    <w:rsid w:val="00CC64E5"/>
    <w:rsid w:val="00CC7CB8"/>
    <w:rsid w:val="00CC7DBC"/>
    <w:rsid w:val="00CD0244"/>
    <w:rsid w:val="00CD15B2"/>
    <w:rsid w:val="00CD2301"/>
    <w:rsid w:val="00CD2C75"/>
    <w:rsid w:val="00CD2FD8"/>
    <w:rsid w:val="00CD3E3B"/>
    <w:rsid w:val="00CD66CB"/>
    <w:rsid w:val="00CE10E6"/>
    <w:rsid w:val="00CE3A24"/>
    <w:rsid w:val="00CE4482"/>
    <w:rsid w:val="00CE48BF"/>
    <w:rsid w:val="00CE4F7C"/>
    <w:rsid w:val="00CE6333"/>
    <w:rsid w:val="00CE657E"/>
    <w:rsid w:val="00CE6AC9"/>
    <w:rsid w:val="00CF00BD"/>
    <w:rsid w:val="00CF0666"/>
    <w:rsid w:val="00CF0761"/>
    <w:rsid w:val="00CF1EAF"/>
    <w:rsid w:val="00CF20E0"/>
    <w:rsid w:val="00CF34EE"/>
    <w:rsid w:val="00CF3A8E"/>
    <w:rsid w:val="00CF3BA2"/>
    <w:rsid w:val="00CF50FA"/>
    <w:rsid w:val="00CF57B5"/>
    <w:rsid w:val="00CF685B"/>
    <w:rsid w:val="00CF72DA"/>
    <w:rsid w:val="00D0105F"/>
    <w:rsid w:val="00D01DB4"/>
    <w:rsid w:val="00D023AD"/>
    <w:rsid w:val="00D03A06"/>
    <w:rsid w:val="00D0583D"/>
    <w:rsid w:val="00D05F2A"/>
    <w:rsid w:val="00D0617B"/>
    <w:rsid w:val="00D0672A"/>
    <w:rsid w:val="00D06D71"/>
    <w:rsid w:val="00D10FC3"/>
    <w:rsid w:val="00D13517"/>
    <w:rsid w:val="00D149D0"/>
    <w:rsid w:val="00D14FDE"/>
    <w:rsid w:val="00D15054"/>
    <w:rsid w:val="00D15764"/>
    <w:rsid w:val="00D15BEF"/>
    <w:rsid w:val="00D15C0A"/>
    <w:rsid w:val="00D15EE4"/>
    <w:rsid w:val="00D16C48"/>
    <w:rsid w:val="00D17FDD"/>
    <w:rsid w:val="00D200DC"/>
    <w:rsid w:val="00D262D9"/>
    <w:rsid w:val="00D2646C"/>
    <w:rsid w:val="00D26EFC"/>
    <w:rsid w:val="00D27022"/>
    <w:rsid w:val="00D27072"/>
    <w:rsid w:val="00D303EB"/>
    <w:rsid w:val="00D30D15"/>
    <w:rsid w:val="00D31502"/>
    <w:rsid w:val="00D318F9"/>
    <w:rsid w:val="00D3294D"/>
    <w:rsid w:val="00D36334"/>
    <w:rsid w:val="00D367FF"/>
    <w:rsid w:val="00D408D6"/>
    <w:rsid w:val="00D4225A"/>
    <w:rsid w:val="00D43683"/>
    <w:rsid w:val="00D43B46"/>
    <w:rsid w:val="00D44972"/>
    <w:rsid w:val="00D45A87"/>
    <w:rsid w:val="00D46308"/>
    <w:rsid w:val="00D470E4"/>
    <w:rsid w:val="00D477A8"/>
    <w:rsid w:val="00D50876"/>
    <w:rsid w:val="00D52A0C"/>
    <w:rsid w:val="00D537A8"/>
    <w:rsid w:val="00D54ED6"/>
    <w:rsid w:val="00D55545"/>
    <w:rsid w:val="00D55E57"/>
    <w:rsid w:val="00D57915"/>
    <w:rsid w:val="00D61E46"/>
    <w:rsid w:val="00D6229F"/>
    <w:rsid w:val="00D62A11"/>
    <w:rsid w:val="00D62A85"/>
    <w:rsid w:val="00D62C8A"/>
    <w:rsid w:val="00D62E1A"/>
    <w:rsid w:val="00D632C8"/>
    <w:rsid w:val="00D633C0"/>
    <w:rsid w:val="00D6380E"/>
    <w:rsid w:val="00D64593"/>
    <w:rsid w:val="00D65F34"/>
    <w:rsid w:val="00D66822"/>
    <w:rsid w:val="00D70ABC"/>
    <w:rsid w:val="00D7105D"/>
    <w:rsid w:val="00D7124F"/>
    <w:rsid w:val="00D72253"/>
    <w:rsid w:val="00D735B4"/>
    <w:rsid w:val="00D739BD"/>
    <w:rsid w:val="00D744A3"/>
    <w:rsid w:val="00D74AC6"/>
    <w:rsid w:val="00D75D28"/>
    <w:rsid w:val="00D76261"/>
    <w:rsid w:val="00D7699E"/>
    <w:rsid w:val="00D770F6"/>
    <w:rsid w:val="00D778FB"/>
    <w:rsid w:val="00D77A82"/>
    <w:rsid w:val="00D8100E"/>
    <w:rsid w:val="00D813E0"/>
    <w:rsid w:val="00D82CF6"/>
    <w:rsid w:val="00D83ED0"/>
    <w:rsid w:val="00D83EDF"/>
    <w:rsid w:val="00D87E58"/>
    <w:rsid w:val="00D92F21"/>
    <w:rsid w:val="00D94E74"/>
    <w:rsid w:val="00D9529F"/>
    <w:rsid w:val="00D9613F"/>
    <w:rsid w:val="00D97312"/>
    <w:rsid w:val="00DA059B"/>
    <w:rsid w:val="00DA0E5F"/>
    <w:rsid w:val="00DA0FA4"/>
    <w:rsid w:val="00DA1089"/>
    <w:rsid w:val="00DA261D"/>
    <w:rsid w:val="00DA3356"/>
    <w:rsid w:val="00DA3A29"/>
    <w:rsid w:val="00DA3E48"/>
    <w:rsid w:val="00DA6903"/>
    <w:rsid w:val="00DA6930"/>
    <w:rsid w:val="00DA6C79"/>
    <w:rsid w:val="00DA71C0"/>
    <w:rsid w:val="00DA71E6"/>
    <w:rsid w:val="00DA722F"/>
    <w:rsid w:val="00DA73D9"/>
    <w:rsid w:val="00DA7FFB"/>
    <w:rsid w:val="00DB1048"/>
    <w:rsid w:val="00DB16CA"/>
    <w:rsid w:val="00DB182F"/>
    <w:rsid w:val="00DB1AF5"/>
    <w:rsid w:val="00DB27B6"/>
    <w:rsid w:val="00DB3A91"/>
    <w:rsid w:val="00DB4411"/>
    <w:rsid w:val="00DB5D9F"/>
    <w:rsid w:val="00DB6B50"/>
    <w:rsid w:val="00DB7057"/>
    <w:rsid w:val="00DB7381"/>
    <w:rsid w:val="00DC0944"/>
    <w:rsid w:val="00DC1FD3"/>
    <w:rsid w:val="00DC220D"/>
    <w:rsid w:val="00DC2247"/>
    <w:rsid w:val="00DC25CB"/>
    <w:rsid w:val="00DC2CC2"/>
    <w:rsid w:val="00DC32A6"/>
    <w:rsid w:val="00DC3C16"/>
    <w:rsid w:val="00DC5085"/>
    <w:rsid w:val="00DC5723"/>
    <w:rsid w:val="00DC6CF0"/>
    <w:rsid w:val="00DC6DB8"/>
    <w:rsid w:val="00DC7A09"/>
    <w:rsid w:val="00DD1AD7"/>
    <w:rsid w:val="00DD203E"/>
    <w:rsid w:val="00DD2596"/>
    <w:rsid w:val="00DD2698"/>
    <w:rsid w:val="00DD2E7B"/>
    <w:rsid w:val="00DD2EC2"/>
    <w:rsid w:val="00DD43FA"/>
    <w:rsid w:val="00DD58FC"/>
    <w:rsid w:val="00DD69E1"/>
    <w:rsid w:val="00DD79C2"/>
    <w:rsid w:val="00DE0294"/>
    <w:rsid w:val="00DE21FC"/>
    <w:rsid w:val="00DE2E94"/>
    <w:rsid w:val="00DE379B"/>
    <w:rsid w:val="00DE477D"/>
    <w:rsid w:val="00DE4A82"/>
    <w:rsid w:val="00DE5282"/>
    <w:rsid w:val="00DE52DA"/>
    <w:rsid w:val="00DE556B"/>
    <w:rsid w:val="00DE62B0"/>
    <w:rsid w:val="00DF02D1"/>
    <w:rsid w:val="00DF0F3E"/>
    <w:rsid w:val="00DF29B6"/>
    <w:rsid w:val="00DF3EC0"/>
    <w:rsid w:val="00DF5AD8"/>
    <w:rsid w:val="00DF5E97"/>
    <w:rsid w:val="00DF608C"/>
    <w:rsid w:val="00E01131"/>
    <w:rsid w:val="00E01F5E"/>
    <w:rsid w:val="00E03755"/>
    <w:rsid w:val="00E03FFD"/>
    <w:rsid w:val="00E047FF"/>
    <w:rsid w:val="00E04813"/>
    <w:rsid w:val="00E0485A"/>
    <w:rsid w:val="00E048FB"/>
    <w:rsid w:val="00E04A03"/>
    <w:rsid w:val="00E0581F"/>
    <w:rsid w:val="00E11720"/>
    <w:rsid w:val="00E122E5"/>
    <w:rsid w:val="00E1251C"/>
    <w:rsid w:val="00E131BD"/>
    <w:rsid w:val="00E14A28"/>
    <w:rsid w:val="00E14EE8"/>
    <w:rsid w:val="00E15D70"/>
    <w:rsid w:val="00E1787E"/>
    <w:rsid w:val="00E202CD"/>
    <w:rsid w:val="00E21AE4"/>
    <w:rsid w:val="00E227A5"/>
    <w:rsid w:val="00E23D01"/>
    <w:rsid w:val="00E2444B"/>
    <w:rsid w:val="00E26F20"/>
    <w:rsid w:val="00E27047"/>
    <w:rsid w:val="00E278BD"/>
    <w:rsid w:val="00E30068"/>
    <w:rsid w:val="00E3100A"/>
    <w:rsid w:val="00E3196C"/>
    <w:rsid w:val="00E32713"/>
    <w:rsid w:val="00E33604"/>
    <w:rsid w:val="00E33914"/>
    <w:rsid w:val="00E3568D"/>
    <w:rsid w:val="00E377E0"/>
    <w:rsid w:val="00E40769"/>
    <w:rsid w:val="00E40E13"/>
    <w:rsid w:val="00E417E4"/>
    <w:rsid w:val="00E41EC9"/>
    <w:rsid w:val="00E4302B"/>
    <w:rsid w:val="00E43D3D"/>
    <w:rsid w:val="00E44ADD"/>
    <w:rsid w:val="00E45237"/>
    <w:rsid w:val="00E50E2E"/>
    <w:rsid w:val="00E50EEF"/>
    <w:rsid w:val="00E51C86"/>
    <w:rsid w:val="00E520EB"/>
    <w:rsid w:val="00E5281E"/>
    <w:rsid w:val="00E53D9F"/>
    <w:rsid w:val="00E55B5B"/>
    <w:rsid w:val="00E5630B"/>
    <w:rsid w:val="00E60DD5"/>
    <w:rsid w:val="00E614F4"/>
    <w:rsid w:val="00E622FF"/>
    <w:rsid w:val="00E633AC"/>
    <w:rsid w:val="00E64CAE"/>
    <w:rsid w:val="00E67A5E"/>
    <w:rsid w:val="00E704C7"/>
    <w:rsid w:val="00E72B5F"/>
    <w:rsid w:val="00E72CAF"/>
    <w:rsid w:val="00E733A9"/>
    <w:rsid w:val="00E73964"/>
    <w:rsid w:val="00E73A10"/>
    <w:rsid w:val="00E76F9E"/>
    <w:rsid w:val="00E77B73"/>
    <w:rsid w:val="00E80010"/>
    <w:rsid w:val="00E80AE6"/>
    <w:rsid w:val="00E810FC"/>
    <w:rsid w:val="00E81AC7"/>
    <w:rsid w:val="00E81F76"/>
    <w:rsid w:val="00E82794"/>
    <w:rsid w:val="00E83B79"/>
    <w:rsid w:val="00E85390"/>
    <w:rsid w:val="00E8576E"/>
    <w:rsid w:val="00E863F7"/>
    <w:rsid w:val="00E87E31"/>
    <w:rsid w:val="00E87E59"/>
    <w:rsid w:val="00E910E7"/>
    <w:rsid w:val="00E927F3"/>
    <w:rsid w:val="00E93A60"/>
    <w:rsid w:val="00E93FE4"/>
    <w:rsid w:val="00E95738"/>
    <w:rsid w:val="00E961C9"/>
    <w:rsid w:val="00E97C9D"/>
    <w:rsid w:val="00EA1186"/>
    <w:rsid w:val="00EA2396"/>
    <w:rsid w:val="00EA257C"/>
    <w:rsid w:val="00EA2E71"/>
    <w:rsid w:val="00EA3CC2"/>
    <w:rsid w:val="00EA3E80"/>
    <w:rsid w:val="00EA4D4A"/>
    <w:rsid w:val="00EA4FC9"/>
    <w:rsid w:val="00EA6306"/>
    <w:rsid w:val="00EA7D50"/>
    <w:rsid w:val="00EB093E"/>
    <w:rsid w:val="00EB2D34"/>
    <w:rsid w:val="00EB4FE9"/>
    <w:rsid w:val="00EC0933"/>
    <w:rsid w:val="00EC17FA"/>
    <w:rsid w:val="00EC1FC2"/>
    <w:rsid w:val="00EC2178"/>
    <w:rsid w:val="00EC2426"/>
    <w:rsid w:val="00EC2D3E"/>
    <w:rsid w:val="00EC393F"/>
    <w:rsid w:val="00EC46B0"/>
    <w:rsid w:val="00EC4EFB"/>
    <w:rsid w:val="00EC577E"/>
    <w:rsid w:val="00EC625E"/>
    <w:rsid w:val="00EC7AC8"/>
    <w:rsid w:val="00ED253E"/>
    <w:rsid w:val="00ED2742"/>
    <w:rsid w:val="00ED2A98"/>
    <w:rsid w:val="00ED45D0"/>
    <w:rsid w:val="00ED4E97"/>
    <w:rsid w:val="00ED677A"/>
    <w:rsid w:val="00ED6A68"/>
    <w:rsid w:val="00ED754A"/>
    <w:rsid w:val="00EE1031"/>
    <w:rsid w:val="00EE1BD5"/>
    <w:rsid w:val="00EE2036"/>
    <w:rsid w:val="00EE311E"/>
    <w:rsid w:val="00EE3C19"/>
    <w:rsid w:val="00EE3FC4"/>
    <w:rsid w:val="00EE5037"/>
    <w:rsid w:val="00EE5BFB"/>
    <w:rsid w:val="00EE6EA2"/>
    <w:rsid w:val="00EE7D12"/>
    <w:rsid w:val="00EF09EA"/>
    <w:rsid w:val="00EF20D5"/>
    <w:rsid w:val="00EF232A"/>
    <w:rsid w:val="00EF36E9"/>
    <w:rsid w:val="00EF40B8"/>
    <w:rsid w:val="00EF4415"/>
    <w:rsid w:val="00EF565B"/>
    <w:rsid w:val="00EF5B49"/>
    <w:rsid w:val="00EF6432"/>
    <w:rsid w:val="00EF6747"/>
    <w:rsid w:val="00EF6AF4"/>
    <w:rsid w:val="00EF6D84"/>
    <w:rsid w:val="00F0208D"/>
    <w:rsid w:val="00F02C37"/>
    <w:rsid w:val="00F03091"/>
    <w:rsid w:val="00F03550"/>
    <w:rsid w:val="00F03C63"/>
    <w:rsid w:val="00F03C84"/>
    <w:rsid w:val="00F042D2"/>
    <w:rsid w:val="00F05946"/>
    <w:rsid w:val="00F06CD1"/>
    <w:rsid w:val="00F07472"/>
    <w:rsid w:val="00F077A3"/>
    <w:rsid w:val="00F1029D"/>
    <w:rsid w:val="00F10719"/>
    <w:rsid w:val="00F109F1"/>
    <w:rsid w:val="00F10E53"/>
    <w:rsid w:val="00F11524"/>
    <w:rsid w:val="00F129B0"/>
    <w:rsid w:val="00F13477"/>
    <w:rsid w:val="00F13479"/>
    <w:rsid w:val="00F148E2"/>
    <w:rsid w:val="00F15ABE"/>
    <w:rsid w:val="00F1632A"/>
    <w:rsid w:val="00F17D8D"/>
    <w:rsid w:val="00F17E38"/>
    <w:rsid w:val="00F22BBD"/>
    <w:rsid w:val="00F2441D"/>
    <w:rsid w:val="00F24740"/>
    <w:rsid w:val="00F27EB6"/>
    <w:rsid w:val="00F304AA"/>
    <w:rsid w:val="00F310B9"/>
    <w:rsid w:val="00F313E4"/>
    <w:rsid w:val="00F31EE5"/>
    <w:rsid w:val="00F3217E"/>
    <w:rsid w:val="00F33410"/>
    <w:rsid w:val="00F3500E"/>
    <w:rsid w:val="00F35256"/>
    <w:rsid w:val="00F368F1"/>
    <w:rsid w:val="00F36A4E"/>
    <w:rsid w:val="00F371A1"/>
    <w:rsid w:val="00F3787E"/>
    <w:rsid w:val="00F37E6F"/>
    <w:rsid w:val="00F402D6"/>
    <w:rsid w:val="00F4047B"/>
    <w:rsid w:val="00F40B91"/>
    <w:rsid w:val="00F40CE0"/>
    <w:rsid w:val="00F40E33"/>
    <w:rsid w:val="00F411F8"/>
    <w:rsid w:val="00F41909"/>
    <w:rsid w:val="00F41C6A"/>
    <w:rsid w:val="00F42893"/>
    <w:rsid w:val="00F440A5"/>
    <w:rsid w:val="00F444A8"/>
    <w:rsid w:val="00F47A39"/>
    <w:rsid w:val="00F47F75"/>
    <w:rsid w:val="00F504C3"/>
    <w:rsid w:val="00F504C4"/>
    <w:rsid w:val="00F509CD"/>
    <w:rsid w:val="00F50C30"/>
    <w:rsid w:val="00F5151E"/>
    <w:rsid w:val="00F51640"/>
    <w:rsid w:val="00F51F61"/>
    <w:rsid w:val="00F526BB"/>
    <w:rsid w:val="00F53A24"/>
    <w:rsid w:val="00F5582F"/>
    <w:rsid w:val="00F560B8"/>
    <w:rsid w:val="00F57070"/>
    <w:rsid w:val="00F5723C"/>
    <w:rsid w:val="00F614A2"/>
    <w:rsid w:val="00F6271C"/>
    <w:rsid w:val="00F62AE0"/>
    <w:rsid w:val="00F63FBD"/>
    <w:rsid w:val="00F64649"/>
    <w:rsid w:val="00F67361"/>
    <w:rsid w:val="00F67E6A"/>
    <w:rsid w:val="00F71957"/>
    <w:rsid w:val="00F71A7F"/>
    <w:rsid w:val="00F721F6"/>
    <w:rsid w:val="00F7454A"/>
    <w:rsid w:val="00F751FD"/>
    <w:rsid w:val="00F753AA"/>
    <w:rsid w:val="00F802FF"/>
    <w:rsid w:val="00F80DDE"/>
    <w:rsid w:val="00F8292E"/>
    <w:rsid w:val="00F834C2"/>
    <w:rsid w:val="00F84682"/>
    <w:rsid w:val="00F84D35"/>
    <w:rsid w:val="00F84E20"/>
    <w:rsid w:val="00F8524D"/>
    <w:rsid w:val="00F852C0"/>
    <w:rsid w:val="00F85670"/>
    <w:rsid w:val="00F857A5"/>
    <w:rsid w:val="00F867AC"/>
    <w:rsid w:val="00F8693E"/>
    <w:rsid w:val="00F869E5"/>
    <w:rsid w:val="00F86FDD"/>
    <w:rsid w:val="00F91125"/>
    <w:rsid w:val="00F91F4E"/>
    <w:rsid w:val="00F91F79"/>
    <w:rsid w:val="00F91FC4"/>
    <w:rsid w:val="00F93017"/>
    <w:rsid w:val="00F937CB"/>
    <w:rsid w:val="00F939BD"/>
    <w:rsid w:val="00F939E2"/>
    <w:rsid w:val="00F94001"/>
    <w:rsid w:val="00F940E8"/>
    <w:rsid w:val="00F95E2E"/>
    <w:rsid w:val="00F963C2"/>
    <w:rsid w:val="00F96639"/>
    <w:rsid w:val="00F96789"/>
    <w:rsid w:val="00F969A2"/>
    <w:rsid w:val="00F97859"/>
    <w:rsid w:val="00F97EB0"/>
    <w:rsid w:val="00FA1498"/>
    <w:rsid w:val="00FA14E6"/>
    <w:rsid w:val="00FA18CA"/>
    <w:rsid w:val="00FA2A38"/>
    <w:rsid w:val="00FA3425"/>
    <w:rsid w:val="00FA34D0"/>
    <w:rsid w:val="00FA5CD7"/>
    <w:rsid w:val="00FA6214"/>
    <w:rsid w:val="00FA6B9C"/>
    <w:rsid w:val="00FA74AD"/>
    <w:rsid w:val="00FB0232"/>
    <w:rsid w:val="00FB0ACB"/>
    <w:rsid w:val="00FB1921"/>
    <w:rsid w:val="00FB2B62"/>
    <w:rsid w:val="00FB39E3"/>
    <w:rsid w:val="00FB3B85"/>
    <w:rsid w:val="00FB3FA8"/>
    <w:rsid w:val="00FB3FE8"/>
    <w:rsid w:val="00FB41A5"/>
    <w:rsid w:val="00FB42BD"/>
    <w:rsid w:val="00FB49F6"/>
    <w:rsid w:val="00FB79EE"/>
    <w:rsid w:val="00FC0CDD"/>
    <w:rsid w:val="00FC19B0"/>
    <w:rsid w:val="00FC1EE1"/>
    <w:rsid w:val="00FC23F5"/>
    <w:rsid w:val="00FC5510"/>
    <w:rsid w:val="00FD0630"/>
    <w:rsid w:val="00FD0819"/>
    <w:rsid w:val="00FD2E70"/>
    <w:rsid w:val="00FD41B4"/>
    <w:rsid w:val="00FD45FE"/>
    <w:rsid w:val="00FD476E"/>
    <w:rsid w:val="00FD496E"/>
    <w:rsid w:val="00FD4F66"/>
    <w:rsid w:val="00FD5EFB"/>
    <w:rsid w:val="00FD620B"/>
    <w:rsid w:val="00FD627A"/>
    <w:rsid w:val="00FE0E85"/>
    <w:rsid w:val="00FE2BC7"/>
    <w:rsid w:val="00FE2F18"/>
    <w:rsid w:val="00FE348D"/>
    <w:rsid w:val="00FE590B"/>
    <w:rsid w:val="00FE5E09"/>
    <w:rsid w:val="00FE7006"/>
    <w:rsid w:val="00FF059C"/>
    <w:rsid w:val="00FF1A5B"/>
    <w:rsid w:val="00FF4616"/>
    <w:rsid w:val="00FF5CE5"/>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39DA1"/>
  <w15:docId w15:val="{469DD611-6BBB-4D4A-A7FC-BDE6D56C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paragraph" w:styleId="Heading2">
    <w:name w:val="heading 2"/>
    <w:basedOn w:val="Default"/>
    <w:next w:val="Default"/>
    <w:link w:val="Heading2Char"/>
    <w:qFormat/>
    <w:rsid w:val="00BE55BE"/>
    <w:pPr>
      <w:numPr>
        <w:numId w:val="1"/>
      </w:numPr>
      <w:spacing w:before="240"/>
      <w:outlineLvl w:val="1"/>
    </w:pPr>
    <w:rPr>
      <w:rFonts w:eastAsia="Times New Roman" w:cs="Times New Roman"/>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styleId="BodyTextIndent2">
    <w:name w:val="Body Text Indent 2"/>
    <w:basedOn w:val="Default"/>
    <w:next w:val="Default"/>
    <w:link w:val="BodyTextIndent2Char"/>
    <w:semiHidden/>
    <w:rsid w:val="00441635"/>
    <w:pPr>
      <w:spacing w:before="240"/>
    </w:pPr>
    <w:rPr>
      <w:rFonts w:eastAsia="Times New Roman" w:cs="Times New Roman"/>
      <w:color w:val="auto"/>
      <w:sz w:val="20"/>
    </w:rPr>
  </w:style>
  <w:style w:type="character" w:customStyle="1" w:styleId="BodyTextIndent2Char">
    <w:name w:val="Body Text Indent 2 Char"/>
    <w:basedOn w:val="DefaultParagraphFont"/>
    <w:link w:val="BodyTextIndent2"/>
    <w:semiHidden/>
    <w:rsid w:val="00441635"/>
    <w:rPr>
      <w:rFonts w:ascii="Arial" w:eastAsia="Times New Roman" w:hAnsi="Arial" w:cs="Times New Roman"/>
      <w:sz w:val="20"/>
      <w:szCs w:val="24"/>
    </w:rPr>
  </w:style>
  <w:style w:type="character" w:customStyle="1" w:styleId="Heading2Char">
    <w:name w:val="Heading 2 Char"/>
    <w:basedOn w:val="DefaultParagraphFont"/>
    <w:link w:val="Heading2"/>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rsid w:val="00B52F1C"/>
    <w:rPr>
      <w:sz w:val="16"/>
      <w:szCs w:val="16"/>
    </w:rPr>
  </w:style>
  <w:style w:type="paragraph" w:styleId="CommentText">
    <w:name w:val="annotation text"/>
    <w:basedOn w:val="Normal"/>
    <w:link w:val="CommentTextChar"/>
    <w:uiPriority w:val="99"/>
    <w:semiHidden/>
    <w:unhideWhenUsed/>
    <w:rsid w:val="00B52F1C"/>
    <w:pPr>
      <w:spacing w:line="240" w:lineRule="auto"/>
    </w:pPr>
    <w:rPr>
      <w:sz w:val="20"/>
      <w:szCs w:val="20"/>
    </w:rPr>
  </w:style>
  <w:style w:type="character" w:customStyle="1" w:styleId="CommentTextChar">
    <w:name w:val="Comment Text Char"/>
    <w:basedOn w:val="DefaultParagraphFont"/>
    <w:link w:val="CommentText"/>
    <w:uiPriority w:val="99"/>
    <w:semiHidden/>
    <w:rsid w:val="00B52F1C"/>
    <w:rPr>
      <w:sz w:val="20"/>
      <w:szCs w:val="20"/>
    </w:rPr>
  </w:style>
  <w:style w:type="paragraph" w:styleId="CommentSubject">
    <w:name w:val="annotation subject"/>
    <w:basedOn w:val="CommentText"/>
    <w:next w:val="CommentText"/>
    <w:link w:val="CommentSubjectChar"/>
    <w:uiPriority w:val="99"/>
    <w:semiHidden/>
    <w:unhideWhenUsed/>
    <w:rsid w:val="00B52F1C"/>
    <w:rPr>
      <w:b/>
      <w:bCs/>
    </w:rPr>
  </w:style>
  <w:style w:type="character" w:customStyle="1" w:styleId="CommentSubjectChar">
    <w:name w:val="Comment Subject Char"/>
    <w:basedOn w:val="CommentTextChar"/>
    <w:link w:val="CommentSubject"/>
    <w:uiPriority w:val="99"/>
    <w:semiHidden/>
    <w:rsid w:val="00B52F1C"/>
    <w:rPr>
      <w:b/>
      <w:bCs/>
      <w:sz w:val="20"/>
      <w:szCs w:val="20"/>
    </w:rPr>
  </w:style>
  <w:style w:type="character" w:styleId="Emphasis">
    <w:name w:val="Emphasis"/>
    <w:basedOn w:val="DefaultParagraphFont"/>
    <w:uiPriority w:val="20"/>
    <w:qFormat/>
    <w:rsid w:val="00B949F0"/>
    <w:rPr>
      <w:i/>
      <w:iCs/>
    </w:rPr>
  </w:style>
  <w:style w:type="character" w:customStyle="1" w:styleId="highlight">
    <w:name w:val="highlight"/>
    <w:basedOn w:val="DefaultParagraphFont"/>
    <w:rsid w:val="000C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3180">
      <w:bodyDiv w:val="1"/>
      <w:marLeft w:val="0"/>
      <w:marRight w:val="0"/>
      <w:marTop w:val="0"/>
      <w:marBottom w:val="0"/>
      <w:divBdr>
        <w:top w:val="none" w:sz="0" w:space="0" w:color="auto"/>
        <w:left w:val="none" w:sz="0" w:space="0" w:color="auto"/>
        <w:bottom w:val="none" w:sz="0" w:space="0" w:color="auto"/>
        <w:right w:val="none" w:sz="0" w:space="0" w:color="auto"/>
      </w:divBdr>
      <w:divsChild>
        <w:div w:id="2036344792">
          <w:marLeft w:val="0"/>
          <w:marRight w:val="0"/>
          <w:marTop w:val="0"/>
          <w:marBottom w:val="0"/>
          <w:divBdr>
            <w:top w:val="none" w:sz="0" w:space="0" w:color="auto"/>
            <w:left w:val="none" w:sz="0" w:space="0" w:color="auto"/>
            <w:bottom w:val="none" w:sz="0" w:space="0" w:color="auto"/>
            <w:right w:val="none" w:sz="0" w:space="0" w:color="auto"/>
          </w:divBdr>
        </w:div>
      </w:divsChild>
    </w:div>
    <w:div w:id="470826434">
      <w:bodyDiv w:val="1"/>
      <w:marLeft w:val="0"/>
      <w:marRight w:val="0"/>
      <w:marTop w:val="0"/>
      <w:marBottom w:val="0"/>
      <w:divBdr>
        <w:top w:val="none" w:sz="0" w:space="0" w:color="auto"/>
        <w:left w:val="none" w:sz="0" w:space="0" w:color="auto"/>
        <w:bottom w:val="none" w:sz="0" w:space="0" w:color="auto"/>
        <w:right w:val="none" w:sz="0" w:space="0" w:color="auto"/>
      </w:divBdr>
      <w:divsChild>
        <w:div w:id="1325862877">
          <w:marLeft w:val="0"/>
          <w:marRight w:val="0"/>
          <w:marTop w:val="15"/>
          <w:marBottom w:val="0"/>
          <w:divBdr>
            <w:top w:val="single" w:sz="48" w:space="0" w:color="auto"/>
            <w:left w:val="single" w:sz="48" w:space="0" w:color="auto"/>
            <w:bottom w:val="single" w:sz="48" w:space="0" w:color="auto"/>
            <w:right w:val="single" w:sz="48" w:space="0" w:color="auto"/>
          </w:divBdr>
          <w:divsChild>
            <w:div w:id="264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7339">
      <w:bodyDiv w:val="1"/>
      <w:marLeft w:val="0"/>
      <w:marRight w:val="0"/>
      <w:marTop w:val="0"/>
      <w:marBottom w:val="0"/>
      <w:divBdr>
        <w:top w:val="none" w:sz="0" w:space="0" w:color="auto"/>
        <w:left w:val="none" w:sz="0" w:space="0" w:color="auto"/>
        <w:bottom w:val="none" w:sz="0" w:space="0" w:color="auto"/>
        <w:right w:val="none" w:sz="0" w:space="0" w:color="auto"/>
      </w:divBdr>
      <w:divsChild>
        <w:div w:id="677461324">
          <w:marLeft w:val="0"/>
          <w:marRight w:val="0"/>
          <w:marTop w:val="0"/>
          <w:marBottom w:val="0"/>
          <w:divBdr>
            <w:top w:val="none" w:sz="0" w:space="0" w:color="auto"/>
            <w:left w:val="none" w:sz="0" w:space="0" w:color="auto"/>
            <w:bottom w:val="none" w:sz="0" w:space="0" w:color="auto"/>
            <w:right w:val="none" w:sz="0" w:space="0" w:color="auto"/>
          </w:divBdr>
        </w:div>
      </w:divsChild>
    </w:div>
    <w:div w:id="1044867471">
      <w:bodyDiv w:val="1"/>
      <w:marLeft w:val="0"/>
      <w:marRight w:val="0"/>
      <w:marTop w:val="0"/>
      <w:marBottom w:val="0"/>
      <w:divBdr>
        <w:top w:val="none" w:sz="0" w:space="0" w:color="auto"/>
        <w:left w:val="none" w:sz="0" w:space="0" w:color="auto"/>
        <w:bottom w:val="none" w:sz="0" w:space="0" w:color="auto"/>
        <w:right w:val="none" w:sz="0" w:space="0" w:color="auto"/>
      </w:divBdr>
      <w:divsChild>
        <w:div w:id="1809853963">
          <w:marLeft w:val="0"/>
          <w:marRight w:val="0"/>
          <w:marTop w:val="15"/>
          <w:marBottom w:val="0"/>
          <w:divBdr>
            <w:top w:val="single" w:sz="48" w:space="0" w:color="auto"/>
            <w:left w:val="single" w:sz="48" w:space="0" w:color="auto"/>
            <w:bottom w:val="single" w:sz="48" w:space="0" w:color="auto"/>
            <w:right w:val="single" w:sz="48" w:space="0" w:color="auto"/>
          </w:divBdr>
          <w:divsChild>
            <w:div w:id="899249029">
              <w:marLeft w:val="0"/>
              <w:marRight w:val="0"/>
              <w:marTop w:val="0"/>
              <w:marBottom w:val="0"/>
              <w:divBdr>
                <w:top w:val="none" w:sz="0" w:space="0" w:color="auto"/>
                <w:left w:val="none" w:sz="0" w:space="0" w:color="auto"/>
                <w:bottom w:val="none" w:sz="0" w:space="0" w:color="auto"/>
                <w:right w:val="none" w:sz="0" w:space="0" w:color="auto"/>
              </w:divBdr>
            </w:div>
          </w:divsChild>
        </w:div>
        <w:div w:id="1771584144">
          <w:marLeft w:val="0"/>
          <w:marRight w:val="0"/>
          <w:marTop w:val="15"/>
          <w:marBottom w:val="0"/>
          <w:divBdr>
            <w:top w:val="single" w:sz="48" w:space="0" w:color="auto"/>
            <w:left w:val="single" w:sz="48" w:space="0" w:color="auto"/>
            <w:bottom w:val="single" w:sz="48" w:space="0" w:color="auto"/>
            <w:right w:val="single" w:sz="48" w:space="0" w:color="auto"/>
          </w:divBdr>
          <w:divsChild>
            <w:div w:id="20594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3954">
      <w:bodyDiv w:val="1"/>
      <w:marLeft w:val="0"/>
      <w:marRight w:val="0"/>
      <w:marTop w:val="0"/>
      <w:marBottom w:val="0"/>
      <w:divBdr>
        <w:top w:val="none" w:sz="0" w:space="0" w:color="auto"/>
        <w:left w:val="none" w:sz="0" w:space="0" w:color="auto"/>
        <w:bottom w:val="none" w:sz="0" w:space="0" w:color="auto"/>
        <w:right w:val="none" w:sz="0" w:space="0" w:color="auto"/>
      </w:divBdr>
    </w:div>
    <w:div w:id="1633748723">
      <w:bodyDiv w:val="1"/>
      <w:marLeft w:val="0"/>
      <w:marRight w:val="0"/>
      <w:marTop w:val="0"/>
      <w:marBottom w:val="0"/>
      <w:divBdr>
        <w:top w:val="none" w:sz="0" w:space="0" w:color="auto"/>
        <w:left w:val="none" w:sz="0" w:space="0" w:color="auto"/>
        <w:bottom w:val="none" w:sz="0" w:space="0" w:color="auto"/>
        <w:right w:val="none" w:sz="0" w:space="0" w:color="auto"/>
      </w:divBdr>
    </w:div>
    <w:div w:id="1672444155">
      <w:bodyDiv w:val="1"/>
      <w:marLeft w:val="0"/>
      <w:marRight w:val="0"/>
      <w:marTop w:val="0"/>
      <w:marBottom w:val="0"/>
      <w:divBdr>
        <w:top w:val="none" w:sz="0" w:space="0" w:color="auto"/>
        <w:left w:val="none" w:sz="0" w:space="0" w:color="auto"/>
        <w:bottom w:val="none" w:sz="0" w:space="0" w:color="auto"/>
        <w:right w:val="none" w:sz="0" w:space="0" w:color="auto"/>
      </w:divBdr>
      <w:divsChild>
        <w:div w:id="522210421">
          <w:marLeft w:val="0"/>
          <w:marRight w:val="0"/>
          <w:marTop w:val="15"/>
          <w:marBottom w:val="0"/>
          <w:divBdr>
            <w:top w:val="single" w:sz="48" w:space="0" w:color="auto"/>
            <w:left w:val="single" w:sz="48" w:space="0" w:color="auto"/>
            <w:bottom w:val="single" w:sz="48" w:space="0" w:color="auto"/>
            <w:right w:val="single" w:sz="48" w:space="0" w:color="auto"/>
          </w:divBdr>
          <w:divsChild>
            <w:div w:id="136184960">
              <w:marLeft w:val="0"/>
              <w:marRight w:val="0"/>
              <w:marTop w:val="0"/>
              <w:marBottom w:val="0"/>
              <w:divBdr>
                <w:top w:val="none" w:sz="0" w:space="0" w:color="auto"/>
                <w:left w:val="none" w:sz="0" w:space="0" w:color="auto"/>
                <w:bottom w:val="none" w:sz="0" w:space="0" w:color="auto"/>
                <w:right w:val="none" w:sz="0" w:space="0" w:color="auto"/>
              </w:divBdr>
            </w:div>
          </w:divsChild>
        </w:div>
        <w:div w:id="1127046507">
          <w:marLeft w:val="0"/>
          <w:marRight w:val="0"/>
          <w:marTop w:val="15"/>
          <w:marBottom w:val="0"/>
          <w:divBdr>
            <w:top w:val="single" w:sz="48" w:space="0" w:color="auto"/>
            <w:left w:val="single" w:sz="48" w:space="0" w:color="auto"/>
            <w:bottom w:val="single" w:sz="48" w:space="0" w:color="auto"/>
            <w:right w:val="single" w:sz="48" w:space="0" w:color="auto"/>
          </w:divBdr>
          <w:divsChild>
            <w:div w:id="135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466">
      <w:bodyDiv w:val="1"/>
      <w:marLeft w:val="0"/>
      <w:marRight w:val="0"/>
      <w:marTop w:val="0"/>
      <w:marBottom w:val="0"/>
      <w:divBdr>
        <w:top w:val="none" w:sz="0" w:space="0" w:color="auto"/>
        <w:left w:val="none" w:sz="0" w:space="0" w:color="auto"/>
        <w:bottom w:val="none" w:sz="0" w:space="0" w:color="auto"/>
        <w:right w:val="none" w:sz="0" w:space="0" w:color="auto"/>
      </w:divBdr>
      <w:divsChild>
        <w:div w:id="2013683358">
          <w:marLeft w:val="0"/>
          <w:marRight w:val="0"/>
          <w:marTop w:val="15"/>
          <w:marBottom w:val="0"/>
          <w:divBdr>
            <w:top w:val="single" w:sz="48" w:space="0" w:color="auto"/>
            <w:left w:val="single" w:sz="48" w:space="0" w:color="auto"/>
            <w:bottom w:val="single" w:sz="48" w:space="0" w:color="auto"/>
            <w:right w:val="single" w:sz="48" w:space="0" w:color="auto"/>
          </w:divBdr>
          <w:divsChild>
            <w:div w:id="6321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58457F-A74C-480B-8435-149DEE583D2A}"/>
</file>

<file path=customXml/itemProps2.xml><?xml version="1.0" encoding="utf-8"?>
<ds:datastoreItem xmlns:ds="http://schemas.openxmlformats.org/officeDocument/2006/customXml" ds:itemID="{FD6A5040-86B6-4168-B08F-3B4AE3ED2E86}"/>
</file>

<file path=customXml/itemProps3.xml><?xml version="1.0" encoding="utf-8"?>
<ds:datastoreItem xmlns:ds="http://schemas.openxmlformats.org/officeDocument/2006/customXml" ds:itemID="{A0B81B7A-0BEF-4C77-9F13-FE56D2A33472}"/>
</file>

<file path=customXml/itemProps4.xml><?xml version="1.0" encoding="utf-8"?>
<ds:datastoreItem xmlns:ds="http://schemas.openxmlformats.org/officeDocument/2006/customXml" ds:itemID="{68532832-877A-4189-9D41-F2D460A7D20A}"/>
</file>

<file path=docProps/app.xml><?xml version="1.0" encoding="utf-8"?>
<Properties xmlns="http://schemas.openxmlformats.org/officeDocument/2006/extended-properties" xmlns:vt="http://schemas.openxmlformats.org/officeDocument/2006/docPropsVTypes">
  <Template>Normal.dotm</Template>
  <TotalTime>2</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Mrs Jugroo</cp:lastModifiedBy>
  <cp:revision>2</cp:revision>
  <cp:lastPrinted>2020-06-02T09:04:00Z</cp:lastPrinted>
  <dcterms:created xsi:type="dcterms:W3CDTF">2023-08-07T11:38:00Z</dcterms:created>
  <dcterms:modified xsi:type="dcterms:W3CDTF">2023-08-07T11:38:00Z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