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1017D86B"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1F4404">
        <w:rPr>
          <w:rFonts w:ascii="Arial" w:hAnsi="Arial" w:cs="Arial"/>
          <w:b/>
          <w:sz w:val="24"/>
          <w:szCs w:val="24"/>
        </w:rPr>
        <w:t>50/</w:t>
      </w:r>
      <w:r w:rsidR="00AA5942">
        <w:rPr>
          <w:rFonts w:ascii="Arial" w:hAnsi="Arial" w:cs="Arial"/>
          <w:b/>
          <w:sz w:val="24"/>
          <w:szCs w:val="24"/>
        </w:rPr>
        <w:t>2</w:t>
      </w:r>
      <w:r w:rsidR="00F834C2">
        <w:rPr>
          <w:rFonts w:ascii="Arial" w:hAnsi="Arial" w:cs="Arial"/>
          <w:b/>
          <w:sz w:val="24"/>
          <w:szCs w:val="24"/>
        </w:rPr>
        <w:t>1</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347AF6D4" w:rsidR="00AB3DEA" w:rsidRPr="005B080A" w:rsidRDefault="001F4404" w:rsidP="00AB3DEA">
      <w:pPr>
        <w:ind w:left="1440" w:firstLine="720"/>
        <w:jc w:val="both"/>
        <w:rPr>
          <w:rFonts w:ascii="Arial" w:hAnsi="Arial" w:cs="Arial"/>
          <w:b/>
          <w:sz w:val="24"/>
          <w:szCs w:val="24"/>
        </w:rPr>
      </w:pPr>
      <w:r>
        <w:rPr>
          <w:rFonts w:ascii="Arial" w:hAnsi="Arial" w:cs="Arial"/>
          <w:b/>
          <w:sz w:val="24"/>
          <w:szCs w:val="24"/>
        </w:rPr>
        <w:t>Raffick Hossenbaccus</w:t>
      </w:r>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1FE7861D" w:rsidR="00AB3DEA" w:rsidRPr="005B080A" w:rsidRDefault="001F4404" w:rsidP="00AB3DEA">
      <w:pPr>
        <w:ind w:left="1440" w:firstLine="720"/>
        <w:jc w:val="both"/>
        <w:rPr>
          <w:rFonts w:ascii="Arial" w:hAnsi="Arial" w:cs="Arial"/>
          <w:b/>
          <w:sz w:val="24"/>
          <w:szCs w:val="24"/>
        </w:rPr>
      </w:pPr>
      <w:r>
        <w:rPr>
          <w:rFonts w:ascii="Arial" w:hAnsi="Arial" w:cs="Arial"/>
          <w:b/>
          <w:sz w:val="24"/>
          <w:szCs w:val="24"/>
        </w:rPr>
        <w:t>Karen K. Veerapen</w:t>
      </w:r>
      <w:r w:rsidR="008754D6">
        <w:rPr>
          <w:rFonts w:ascii="Arial" w:hAnsi="Arial" w:cs="Arial"/>
          <w:b/>
          <w:sz w:val="24"/>
          <w:szCs w:val="24"/>
        </w:rPr>
        <w:tab/>
      </w:r>
      <w:r>
        <w:rPr>
          <w:rFonts w:ascii="Arial" w:hAnsi="Arial" w:cs="Arial"/>
          <w:b/>
          <w:sz w:val="24"/>
          <w:szCs w:val="24"/>
        </w:rPr>
        <w:tab/>
      </w:r>
      <w:r w:rsidR="00AB3DEA" w:rsidRPr="005B080A">
        <w:rPr>
          <w:rFonts w:ascii="Arial" w:hAnsi="Arial" w:cs="Arial"/>
          <w:b/>
          <w:sz w:val="24"/>
          <w:szCs w:val="24"/>
        </w:rPr>
        <w:tab/>
        <w:t>Member</w:t>
      </w:r>
    </w:p>
    <w:p w14:paraId="1ED36740" w14:textId="47108F5E"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1F4404">
        <w:rPr>
          <w:rFonts w:ascii="Arial" w:hAnsi="Arial" w:cs="Arial"/>
          <w:b/>
          <w:sz w:val="24"/>
          <w:szCs w:val="24"/>
        </w:rPr>
        <w:t>Ghianeswar Gokhool</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28E99E4" w14:textId="77777777" w:rsidR="00C1515D" w:rsidRDefault="00C1515D"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78133403"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1F4404">
        <w:rPr>
          <w:rFonts w:ascii="Arial" w:hAnsi="Arial" w:cs="Arial"/>
          <w:b/>
          <w:sz w:val="24"/>
          <w:szCs w:val="24"/>
        </w:rPr>
        <w:t>Diovanni Cotte</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5EACDFA0" w:rsidR="00AB3DEA" w:rsidRDefault="001F4404" w:rsidP="00AB3DEA">
      <w:pPr>
        <w:ind w:left="1440" w:firstLine="720"/>
        <w:jc w:val="center"/>
        <w:rPr>
          <w:rFonts w:ascii="Arial" w:hAnsi="Arial" w:cs="Arial"/>
          <w:b/>
          <w:sz w:val="28"/>
          <w:szCs w:val="28"/>
        </w:rPr>
      </w:pPr>
      <w:r>
        <w:rPr>
          <w:rFonts w:ascii="Arial" w:hAnsi="Arial" w:cs="Arial"/>
          <w:b/>
          <w:sz w:val="24"/>
          <w:szCs w:val="24"/>
        </w:rPr>
        <w:t>Coll</w:t>
      </w:r>
      <w:r w:rsidR="008D44B1">
        <w:rPr>
          <w:rFonts w:ascii="Arial" w:hAnsi="Arial" w:cs="Arial"/>
          <w:b/>
          <w:sz w:val="24"/>
          <w:szCs w:val="24"/>
        </w:rPr>
        <w:t>è</w:t>
      </w:r>
      <w:r>
        <w:rPr>
          <w:rFonts w:ascii="Arial" w:hAnsi="Arial" w:cs="Arial"/>
          <w:b/>
          <w:sz w:val="24"/>
          <w:szCs w:val="24"/>
        </w:rPr>
        <w:t>ge de la Confiance</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4D76D71E" w14:textId="3404322A" w:rsidR="001F4404" w:rsidRDefault="00C1515D" w:rsidP="00C1515D">
      <w:pPr>
        <w:ind w:left="1418" w:hanging="1276"/>
        <w:jc w:val="center"/>
        <w:rPr>
          <w:rFonts w:ascii="Arial" w:hAnsi="Arial" w:cs="Arial"/>
          <w:b/>
          <w:sz w:val="24"/>
          <w:szCs w:val="24"/>
        </w:rPr>
      </w:pPr>
      <w:r w:rsidRPr="00C1515D">
        <w:rPr>
          <w:rFonts w:ascii="Arial" w:hAnsi="Arial" w:cs="Arial"/>
          <w:b/>
          <w:i/>
          <w:sz w:val="24"/>
          <w:szCs w:val="24"/>
        </w:rPr>
        <w:t>I</w:t>
      </w:r>
      <w:r>
        <w:rPr>
          <w:rFonts w:ascii="Arial" w:hAnsi="Arial" w:cs="Arial"/>
          <w:b/>
          <w:i/>
          <w:sz w:val="24"/>
          <w:szCs w:val="24"/>
        </w:rPr>
        <w:t xml:space="preserve">n </w:t>
      </w:r>
      <w:r w:rsidR="001F4404" w:rsidRPr="00C1515D">
        <w:rPr>
          <w:rFonts w:ascii="Arial" w:hAnsi="Arial" w:cs="Arial"/>
          <w:b/>
          <w:i/>
          <w:sz w:val="24"/>
          <w:szCs w:val="24"/>
        </w:rPr>
        <w:t>p</w:t>
      </w:r>
      <w:r>
        <w:rPr>
          <w:rFonts w:ascii="Arial" w:hAnsi="Arial" w:cs="Arial"/>
          <w:b/>
          <w:i/>
          <w:sz w:val="24"/>
          <w:szCs w:val="24"/>
        </w:rPr>
        <w:t xml:space="preserve">resence </w:t>
      </w:r>
      <w:r w:rsidR="001F4404" w:rsidRPr="00C1515D">
        <w:rPr>
          <w:rFonts w:ascii="Arial" w:hAnsi="Arial" w:cs="Arial"/>
          <w:b/>
          <w:i/>
          <w:sz w:val="24"/>
          <w:szCs w:val="24"/>
        </w:rPr>
        <w:t>o</w:t>
      </w:r>
      <w:r>
        <w:rPr>
          <w:rFonts w:ascii="Arial" w:hAnsi="Arial" w:cs="Arial"/>
          <w:b/>
          <w:i/>
          <w:sz w:val="24"/>
          <w:szCs w:val="24"/>
        </w:rPr>
        <w:t>f:</w:t>
      </w:r>
      <w:r w:rsidR="001F4404">
        <w:rPr>
          <w:rFonts w:ascii="Arial" w:hAnsi="Arial" w:cs="Arial"/>
          <w:b/>
          <w:sz w:val="24"/>
          <w:szCs w:val="24"/>
        </w:rPr>
        <w:t xml:space="preserve"> (1) Private Secondary Education Authority</w:t>
      </w:r>
      <w:r w:rsidR="006E7039">
        <w:rPr>
          <w:rFonts w:ascii="Arial" w:hAnsi="Arial" w:cs="Arial"/>
          <w:b/>
          <w:sz w:val="24"/>
          <w:szCs w:val="24"/>
        </w:rPr>
        <w:t xml:space="preserve"> (Co-Respondent No 1)</w:t>
      </w:r>
    </w:p>
    <w:p w14:paraId="584E1C1E" w14:textId="26536E72" w:rsidR="001F4404" w:rsidRDefault="001F4404" w:rsidP="00C1515D">
      <w:pPr>
        <w:ind w:left="1440" w:hanging="1582"/>
        <w:jc w:val="center"/>
        <w:rPr>
          <w:rFonts w:ascii="Arial" w:hAnsi="Arial" w:cs="Arial"/>
          <w:b/>
          <w:sz w:val="24"/>
          <w:szCs w:val="24"/>
        </w:rPr>
      </w:pPr>
      <w:r>
        <w:rPr>
          <w:rFonts w:ascii="Arial" w:hAnsi="Arial" w:cs="Arial"/>
          <w:b/>
          <w:sz w:val="24"/>
          <w:szCs w:val="24"/>
        </w:rPr>
        <w:t>(2) Mr Jocelyn Poudret</w:t>
      </w:r>
      <w:r w:rsidR="006E7039">
        <w:rPr>
          <w:rFonts w:ascii="Arial" w:hAnsi="Arial" w:cs="Arial"/>
          <w:b/>
          <w:sz w:val="24"/>
          <w:szCs w:val="24"/>
        </w:rPr>
        <w:t xml:space="preserve"> (Co-Respondent No 2)</w:t>
      </w:r>
    </w:p>
    <w:p w14:paraId="7697CBD0" w14:textId="77777777" w:rsidR="00E72B5F" w:rsidRDefault="00E72B5F" w:rsidP="00AB3DEA">
      <w:pPr>
        <w:jc w:val="both"/>
        <w:rPr>
          <w:rFonts w:ascii="Arial" w:hAnsi="Arial" w:cs="Arial"/>
          <w:sz w:val="24"/>
          <w:szCs w:val="24"/>
        </w:rPr>
      </w:pPr>
    </w:p>
    <w:p w14:paraId="58089533" w14:textId="2E0CF890"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625C6D">
        <w:rPr>
          <w:rFonts w:ascii="Arial" w:hAnsi="Arial" w:cs="Arial"/>
          <w:sz w:val="24"/>
          <w:szCs w:val="24"/>
        </w:rPr>
        <w:t xml:space="preserve">Co-Respondent No 2 was joined as a party to the proceedings by the Tribunal </w:t>
      </w:r>
      <w:r w:rsidR="000163D5">
        <w:rPr>
          <w:rFonts w:ascii="Arial" w:hAnsi="Arial" w:cs="Arial"/>
          <w:sz w:val="24"/>
          <w:szCs w:val="24"/>
        </w:rPr>
        <w:t xml:space="preserve">(he was already referred to by the Disputant and Co-Respondent No 1 in their </w:t>
      </w:r>
      <w:r w:rsidR="00CF34EE">
        <w:rPr>
          <w:rFonts w:ascii="Arial" w:hAnsi="Arial" w:cs="Arial"/>
          <w:sz w:val="24"/>
          <w:szCs w:val="24"/>
        </w:rPr>
        <w:t xml:space="preserve">initial </w:t>
      </w:r>
      <w:r w:rsidR="000163D5">
        <w:rPr>
          <w:rFonts w:ascii="Arial" w:hAnsi="Arial" w:cs="Arial"/>
          <w:sz w:val="24"/>
          <w:szCs w:val="24"/>
        </w:rPr>
        <w:t xml:space="preserve">Statement of Case and Statement of Defence respectively) since </w:t>
      </w:r>
      <w:r w:rsidR="00625C6D">
        <w:rPr>
          <w:rFonts w:ascii="Arial" w:hAnsi="Arial" w:cs="Arial"/>
          <w:sz w:val="24"/>
          <w:szCs w:val="24"/>
        </w:rPr>
        <w:t xml:space="preserve">the latter may be affected by an award of the Tribunal.  All the parties were assisted by </w:t>
      </w:r>
      <w:r>
        <w:rPr>
          <w:rFonts w:ascii="Arial" w:hAnsi="Arial" w:cs="Arial"/>
          <w:sz w:val="24"/>
          <w:szCs w:val="24"/>
        </w:rPr>
        <w:t>Counsel</w:t>
      </w:r>
      <w:r w:rsidR="00DD1AD7">
        <w:rPr>
          <w:rFonts w:ascii="Arial" w:hAnsi="Arial" w:cs="Arial"/>
          <w:sz w:val="24"/>
          <w:szCs w:val="24"/>
        </w:rPr>
        <w:t xml:space="preserve"> </w:t>
      </w:r>
      <w:r w:rsidR="00625C6D">
        <w:rPr>
          <w:rFonts w:ascii="Arial" w:hAnsi="Arial" w:cs="Arial"/>
          <w:sz w:val="24"/>
          <w:szCs w:val="24"/>
        </w:rPr>
        <w:t xml:space="preserve">except for Respondent whose stand </w:t>
      </w:r>
      <w:r w:rsidR="00A73D2B">
        <w:rPr>
          <w:rFonts w:ascii="Arial" w:hAnsi="Arial" w:cs="Arial"/>
          <w:sz w:val="24"/>
          <w:szCs w:val="24"/>
        </w:rPr>
        <w:t>i</w:t>
      </w:r>
      <w:r w:rsidR="00625C6D">
        <w:rPr>
          <w:rFonts w:ascii="Arial" w:hAnsi="Arial" w:cs="Arial"/>
          <w:sz w:val="24"/>
          <w:szCs w:val="24"/>
        </w:rPr>
        <w:t>s to abide by the decision of the Tribunal</w:t>
      </w:r>
      <w:r w:rsidR="00DB182F">
        <w:rPr>
          <w:rFonts w:ascii="Arial" w:hAnsi="Arial" w:cs="Arial"/>
          <w:sz w:val="24"/>
          <w:szCs w:val="24"/>
        </w:rPr>
        <w:t xml:space="preserve">.  </w:t>
      </w:r>
      <w:r w:rsidR="005A3B29">
        <w:rPr>
          <w:rFonts w:ascii="Arial" w:hAnsi="Arial" w:cs="Arial"/>
          <w:sz w:val="24"/>
          <w:szCs w:val="24"/>
        </w:rPr>
        <w:t xml:space="preserve">It is apposite to note that the Tribunal proceeded with the dispute on the basis that the employer of Disputant is the Manager of </w:t>
      </w:r>
      <w:r w:rsidR="005A3B29" w:rsidRPr="005A3B29">
        <w:rPr>
          <w:rFonts w:ascii="Arial" w:hAnsi="Arial" w:cs="Arial"/>
          <w:sz w:val="24"/>
          <w:szCs w:val="24"/>
        </w:rPr>
        <w:t>Collège de la Confiance</w:t>
      </w:r>
      <w:r w:rsidR="005A3B29">
        <w:rPr>
          <w:rFonts w:ascii="Arial" w:hAnsi="Arial" w:cs="Arial"/>
          <w:sz w:val="24"/>
          <w:szCs w:val="24"/>
        </w:rPr>
        <w:t xml:space="preserve"> and since the terms of reference of the dispute does refer to the Manager of </w:t>
      </w:r>
      <w:r w:rsidR="005A3B29" w:rsidRPr="005A3B29">
        <w:rPr>
          <w:rFonts w:ascii="Arial" w:hAnsi="Arial" w:cs="Arial"/>
          <w:sz w:val="24"/>
          <w:szCs w:val="24"/>
        </w:rPr>
        <w:t>Collège de la Confiance.</w:t>
      </w:r>
      <w:r w:rsidR="005A3B29">
        <w:rPr>
          <w:rFonts w:ascii="Arial" w:hAnsi="Arial" w:cs="Arial"/>
          <w:b/>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w:t>
      </w:r>
      <w:r w:rsidR="005A3B29">
        <w:rPr>
          <w:rFonts w:ascii="Arial" w:hAnsi="Arial" w:cs="Arial"/>
          <w:sz w:val="24"/>
          <w:szCs w:val="24"/>
        </w:rPr>
        <w:t xml:space="preserve">indeed </w:t>
      </w:r>
      <w:r>
        <w:rPr>
          <w:rFonts w:ascii="Arial" w:hAnsi="Arial" w:cs="Arial"/>
          <w:sz w:val="24"/>
          <w:szCs w:val="24"/>
        </w:rPr>
        <w:t xml:space="preserve">read as </w:t>
      </w:r>
      <w:r w:rsidRPr="00FB39E3">
        <w:rPr>
          <w:rFonts w:ascii="Arial" w:hAnsi="Arial" w:cs="Arial"/>
          <w:sz w:val="24"/>
          <w:szCs w:val="24"/>
        </w:rPr>
        <w:t xml:space="preserve">follows: </w:t>
      </w:r>
    </w:p>
    <w:p w14:paraId="1D39BF03" w14:textId="1903ABBB" w:rsidR="00DB182F" w:rsidRDefault="00DB182F" w:rsidP="004B2E65">
      <w:pPr>
        <w:jc w:val="both"/>
        <w:rPr>
          <w:rFonts w:ascii="Arial" w:hAnsi="Arial" w:cs="Arial"/>
          <w:sz w:val="24"/>
          <w:szCs w:val="24"/>
        </w:rPr>
      </w:pPr>
      <w:r>
        <w:rPr>
          <w:rFonts w:ascii="Arial" w:hAnsi="Arial" w:cs="Arial"/>
          <w:sz w:val="24"/>
          <w:szCs w:val="24"/>
        </w:rPr>
        <w:lastRenderedPageBreak/>
        <w:t>“</w:t>
      </w:r>
      <w:r w:rsidR="00625C6D" w:rsidRPr="00C56917">
        <w:rPr>
          <w:rFonts w:ascii="Arial" w:hAnsi="Arial" w:cs="Arial"/>
          <w:i/>
          <w:sz w:val="24"/>
          <w:szCs w:val="24"/>
        </w:rPr>
        <w:t xml:space="preserve">Whether the Manager of Collège de la Confiance </w:t>
      </w:r>
      <w:r w:rsidR="00C56917" w:rsidRPr="00C56917">
        <w:rPr>
          <w:rFonts w:ascii="Arial" w:hAnsi="Arial" w:cs="Arial"/>
          <w:i/>
          <w:sz w:val="24"/>
          <w:szCs w:val="24"/>
        </w:rPr>
        <w:t>should assign duties of Head of Department of Agriculture for the year 2021-2022 on a seniority basis in the respective Private Secondary School according to PRB 2016, Recommendation 5, OR on seniority reckoned as from the date of joining the mainstream according to a PSEA letter Ref ST/33/87 Vol. 15</w:t>
      </w:r>
      <w:r w:rsidR="00C56917">
        <w:rPr>
          <w:rFonts w:ascii="Arial" w:hAnsi="Arial" w:cs="Arial"/>
          <w:sz w:val="24"/>
          <w:szCs w:val="24"/>
        </w:rPr>
        <w:t>.</w:t>
      </w:r>
      <w:r w:rsidR="00196624">
        <w:rPr>
          <w:rFonts w:ascii="Arial" w:hAnsi="Arial" w:cs="Arial"/>
          <w:sz w:val="24"/>
          <w:szCs w:val="24"/>
        </w:rPr>
        <w:t>”</w:t>
      </w:r>
    </w:p>
    <w:p w14:paraId="4EB22F51" w14:textId="54101048" w:rsidR="00DA7FFB" w:rsidRPr="00F47A39" w:rsidRDefault="00F47A39" w:rsidP="00F47A39">
      <w:pPr>
        <w:jc w:val="both"/>
        <w:rPr>
          <w:rFonts w:ascii="Arial" w:hAnsi="Arial" w:cs="Arial"/>
          <w:sz w:val="24"/>
          <w:szCs w:val="24"/>
        </w:rPr>
      </w:pPr>
      <w:r w:rsidRPr="00F47A39">
        <w:rPr>
          <w:rFonts w:ascii="Arial" w:hAnsi="Arial" w:cs="Arial"/>
          <w:sz w:val="24"/>
          <w:szCs w:val="24"/>
        </w:rPr>
        <w:t xml:space="preserve">The Disputant </w:t>
      </w:r>
      <w:r>
        <w:rPr>
          <w:rFonts w:ascii="Arial" w:hAnsi="Arial" w:cs="Arial"/>
          <w:sz w:val="24"/>
          <w:szCs w:val="24"/>
        </w:rPr>
        <w:t xml:space="preserve">deposed before the Tribunal and he swore as to the correctness of the averments contained in his </w:t>
      </w:r>
      <w:r w:rsidR="00CF34EE">
        <w:rPr>
          <w:rFonts w:ascii="Arial" w:hAnsi="Arial" w:cs="Arial"/>
          <w:sz w:val="24"/>
          <w:szCs w:val="24"/>
        </w:rPr>
        <w:t xml:space="preserve">(amended) </w:t>
      </w:r>
      <w:r>
        <w:rPr>
          <w:rFonts w:ascii="Arial" w:hAnsi="Arial" w:cs="Arial"/>
          <w:sz w:val="24"/>
          <w:szCs w:val="24"/>
        </w:rPr>
        <w:t xml:space="preserve">Statement of Case.  </w:t>
      </w:r>
      <w:r w:rsidR="00EC2426">
        <w:rPr>
          <w:rFonts w:ascii="Arial" w:hAnsi="Arial" w:cs="Arial"/>
          <w:sz w:val="24"/>
          <w:szCs w:val="24"/>
        </w:rPr>
        <w:t xml:space="preserve">In cross-examination, he did not agree </w:t>
      </w:r>
      <w:r w:rsidR="00B95820">
        <w:rPr>
          <w:rFonts w:ascii="Arial" w:hAnsi="Arial" w:cs="Arial"/>
          <w:sz w:val="24"/>
          <w:szCs w:val="24"/>
        </w:rPr>
        <w:t>when it was put to him that</w:t>
      </w:r>
      <w:r w:rsidR="00EC2426">
        <w:rPr>
          <w:rFonts w:ascii="Arial" w:hAnsi="Arial" w:cs="Arial"/>
          <w:sz w:val="24"/>
          <w:szCs w:val="24"/>
        </w:rPr>
        <w:t xml:space="preserve"> years of service </w:t>
      </w:r>
      <w:r w:rsidR="00F940E8">
        <w:rPr>
          <w:rFonts w:ascii="Arial" w:hAnsi="Arial" w:cs="Arial"/>
          <w:sz w:val="24"/>
          <w:szCs w:val="24"/>
        </w:rPr>
        <w:t xml:space="preserve">in this case would be either </w:t>
      </w:r>
      <w:r w:rsidR="00EC2426">
        <w:rPr>
          <w:rFonts w:ascii="Arial" w:hAnsi="Arial" w:cs="Arial"/>
          <w:sz w:val="24"/>
          <w:szCs w:val="24"/>
        </w:rPr>
        <w:t xml:space="preserve">in relation to the pre-vocational stream or the mainstream.  </w:t>
      </w:r>
      <w:r w:rsidR="002B5B57">
        <w:rPr>
          <w:rFonts w:ascii="Arial" w:hAnsi="Arial" w:cs="Arial"/>
          <w:sz w:val="24"/>
          <w:szCs w:val="24"/>
        </w:rPr>
        <w:t xml:space="preserve">He did not agree that because he joined the mainstream in January 2020, he was thus not the most senior in the department of </w:t>
      </w:r>
      <w:r w:rsidR="005A3B29">
        <w:rPr>
          <w:rFonts w:ascii="Arial" w:hAnsi="Arial" w:cs="Arial"/>
          <w:sz w:val="24"/>
          <w:szCs w:val="24"/>
        </w:rPr>
        <w:t>A</w:t>
      </w:r>
      <w:r w:rsidR="002B5B57">
        <w:rPr>
          <w:rFonts w:ascii="Arial" w:hAnsi="Arial" w:cs="Arial"/>
          <w:sz w:val="24"/>
          <w:szCs w:val="24"/>
        </w:rPr>
        <w:t xml:space="preserve">griculture. He stated that he was </w:t>
      </w:r>
      <w:r w:rsidR="00B95820">
        <w:rPr>
          <w:rFonts w:ascii="Arial" w:hAnsi="Arial" w:cs="Arial"/>
          <w:sz w:val="24"/>
          <w:szCs w:val="24"/>
        </w:rPr>
        <w:t>a</w:t>
      </w:r>
      <w:r w:rsidR="002B5B57">
        <w:rPr>
          <w:rFonts w:ascii="Arial" w:hAnsi="Arial" w:cs="Arial"/>
          <w:sz w:val="24"/>
          <w:szCs w:val="24"/>
        </w:rPr>
        <w:t>t</w:t>
      </w:r>
      <w:r w:rsidR="00B95820">
        <w:rPr>
          <w:rFonts w:ascii="Arial" w:hAnsi="Arial" w:cs="Arial"/>
          <w:sz w:val="24"/>
          <w:szCs w:val="24"/>
        </w:rPr>
        <w:t xml:space="preserve"> t</w:t>
      </w:r>
      <w:r w:rsidR="002B5B57">
        <w:rPr>
          <w:rFonts w:ascii="Arial" w:hAnsi="Arial" w:cs="Arial"/>
          <w:sz w:val="24"/>
          <w:szCs w:val="24"/>
        </w:rPr>
        <w:t>he</w:t>
      </w:r>
      <w:r w:rsidR="00B95820">
        <w:rPr>
          <w:rFonts w:ascii="Arial" w:hAnsi="Arial" w:cs="Arial"/>
          <w:sz w:val="24"/>
          <w:szCs w:val="24"/>
        </w:rPr>
        <w:t xml:space="preserve"> Respondent</w:t>
      </w:r>
      <w:r w:rsidR="002B5B57">
        <w:rPr>
          <w:rFonts w:ascii="Arial" w:hAnsi="Arial" w:cs="Arial"/>
          <w:sz w:val="24"/>
          <w:szCs w:val="24"/>
        </w:rPr>
        <w:t xml:space="preserve"> since 2002 and was thus the most senior</w:t>
      </w:r>
      <w:r w:rsidR="00F41C6A">
        <w:rPr>
          <w:rFonts w:ascii="Arial" w:hAnsi="Arial" w:cs="Arial"/>
          <w:sz w:val="24"/>
          <w:szCs w:val="24"/>
        </w:rPr>
        <w:t xml:space="preserve"> in that department</w:t>
      </w:r>
      <w:r w:rsidR="002B5B57">
        <w:rPr>
          <w:rFonts w:ascii="Arial" w:hAnsi="Arial" w:cs="Arial"/>
          <w:sz w:val="24"/>
          <w:szCs w:val="24"/>
        </w:rPr>
        <w:t xml:space="preserve">.  The Disputant averred that he had a Teaching Licence to teach even before his eligibility certificate of 11 May 2021.  </w:t>
      </w:r>
      <w:r w:rsidR="00B95820">
        <w:rPr>
          <w:rFonts w:ascii="Arial" w:hAnsi="Arial" w:cs="Arial"/>
          <w:sz w:val="24"/>
          <w:szCs w:val="24"/>
        </w:rPr>
        <w:t>He stated that a</w:t>
      </w:r>
      <w:r w:rsidR="002B5B57">
        <w:rPr>
          <w:rFonts w:ascii="Arial" w:hAnsi="Arial" w:cs="Arial"/>
          <w:sz w:val="24"/>
          <w:szCs w:val="24"/>
        </w:rPr>
        <w:t xml:space="preserve">fter having obtained his degree, he was given a letter to annex to his Teaching Licence.  </w:t>
      </w:r>
      <w:r w:rsidR="00710B77">
        <w:rPr>
          <w:rFonts w:ascii="Arial" w:hAnsi="Arial" w:cs="Arial"/>
          <w:sz w:val="24"/>
          <w:szCs w:val="24"/>
        </w:rPr>
        <w:t xml:space="preserve">He agreed that in 2002 he joined Respondent and taught in the pre-vocational stream.  </w:t>
      </w:r>
      <w:r w:rsidR="00AE2B12">
        <w:rPr>
          <w:rFonts w:ascii="Arial" w:hAnsi="Arial" w:cs="Arial"/>
          <w:sz w:val="24"/>
          <w:szCs w:val="24"/>
        </w:rPr>
        <w:t>He could not say if Agriculture t</w:t>
      </w:r>
      <w:r w:rsidR="00C17C26">
        <w:rPr>
          <w:rFonts w:ascii="Arial" w:hAnsi="Arial" w:cs="Arial"/>
          <w:sz w:val="24"/>
          <w:szCs w:val="24"/>
        </w:rPr>
        <w:t>a</w:t>
      </w:r>
      <w:r w:rsidR="00AE2B12">
        <w:rPr>
          <w:rFonts w:ascii="Arial" w:hAnsi="Arial" w:cs="Arial"/>
          <w:sz w:val="24"/>
          <w:szCs w:val="24"/>
        </w:rPr>
        <w:t xml:space="preserve">ught in the mainstream </w:t>
      </w:r>
      <w:r w:rsidR="00C17C26">
        <w:rPr>
          <w:rFonts w:ascii="Arial" w:hAnsi="Arial" w:cs="Arial"/>
          <w:sz w:val="24"/>
          <w:szCs w:val="24"/>
        </w:rPr>
        <w:t xml:space="preserve">was of the same level as </w:t>
      </w:r>
      <w:r w:rsidR="00AE2B12">
        <w:rPr>
          <w:rFonts w:ascii="Arial" w:hAnsi="Arial" w:cs="Arial"/>
          <w:sz w:val="24"/>
          <w:szCs w:val="24"/>
        </w:rPr>
        <w:t xml:space="preserve">in the pre-vocational stream.  He maintained that he did Animal Farming, Animal Science and so on in a Foundation Course when doing his BSc in </w:t>
      </w:r>
      <w:r w:rsidR="00732CA9">
        <w:rPr>
          <w:rFonts w:ascii="Arial" w:hAnsi="Arial" w:cs="Arial"/>
          <w:sz w:val="24"/>
          <w:szCs w:val="24"/>
        </w:rPr>
        <w:t>Hortic</w:t>
      </w:r>
      <w:r w:rsidR="00AE2B12">
        <w:rPr>
          <w:rFonts w:ascii="Arial" w:hAnsi="Arial" w:cs="Arial"/>
          <w:sz w:val="24"/>
          <w:szCs w:val="24"/>
        </w:rPr>
        <w:t xml:space="preserve">ulture.  He did not agree </w:t>
      </w:r>
      <w:r w:rsidR="00B95820">
        <w:rPr>
          <w:rFonts w:ascii="Arial" w:hAnsi="Arial" w:cs="Arial"/>
          <w:sz w:val="24"/>
          <w:szCs w:val="24"/>
        </w:rPr>
        <w:t xml:space="preserve">when it was put to him that </w:t>
      </w:r>
      <w:r w:rsidR="00AE2B12">
        <w:rPr>
          <w:rFonts w:ascii="Arial" w:hAnsi="Arial" w:cs="Arial"/>
          <w:sz w:val="24"/>
          <w:szCs w:val="24"/>
        </w:rPr>
        <w:t xml:space="preserve">he was not eligible to be the Head of Department of Agriculture at the Respondent since his BSc in </w:t>
      </w:r>
      <w:r w:rsidR="00732CA9">
        <w:rPr>
          <w:rFonts w:ascii="Arial" w:hAnsi="Arial" w:cs="Arial"/>
          <w:sz w:val="24"/>
          <w:szCs w:val="24"/>
        </w:rPr>
        <w:t>Horti</w:t>
      </w:r>
      <w:r w:rsidR="00AE2B12">
        <w:rPr>
          <w:rFonts w:ascii="Arial" w:hAnsi="Arial" w:cs="Arial"/>
          <w:sz w:val="24"/>
          <w:szCs w:val="24"/>
        </w:rPr>
        <w:t xml:space="preserve">culture did not include Animal Farming and Animal Science.  </w:t>
      </w:r>
      <w:r w:rsidR="00710B77">
        <w:rPr>
          <w:rFonts w:ascii="Arial" w:hAnsi="Arial" w:cs="Arial"/>
          <w:sz w:val="24"/>
          <w:szCs w:val="24"/>
        </w:rPr>
        <w:t xml:space="preserve">  </w:t>
      </w:r>
      <w:r w:rsidR="002B5B57">
        <w:rPr>
          <w:rFonts w:ascii="Arial" w:hAnsi="Arial" w:cs="Arial"/>
          <w:sz w:val="24"/>
          <w:szCs w:val="24"/>
        </w:rPr>
        <w:t xml:space="preserve"> </w:t>
      </w:r>
      <w:r>
        <w:rPr>
          <w:rFonts w:ascii="Arial" w:hAnsi="Arial" w:cs="Arial"/>
          <w:sz w:val="24"/>
          <w:szCs w:val="24"/>
        </w:rPr>
        <w:t xml:space="preserve"> </w:t>
      </w:r>
      <w:r w:rsidR="008021E6" w:rsidRPr="00F47A39">
        <w:rPr>
          <w:rFonts w:ascii="Arial" w:hAnsi="Arial" w:cs="Arial"/>
          <w:sz w:val="24"/>
          <w:szCs w:val="24"/>
        </w:rPr>
        <w:tab/>
      </w:r>
    </w:p>
    <w:p w14:paraId="2979BFD2" w14:textId="3870DC9D" w:rsidR="00AA60B1" w:rsidRDefault="00AB7D3A" w:rsidP="00215B54">
      <w:pPr>
        <w:jc w:val="both"/>
        <w:rPr>
          <w:rFonts w:ascii="Arial" w:hAnsi="Arial" w:cs="Arial"/>
          <w:sz w:val="24"/>
          <w:szCs w:val="24"/>
        </w:rPr>
      </w:pPr>
      <w:r w:rsidRPr="00AB7D3A">
        <w:rPr>
          <w:rFonts w:ascii="Arial" w:hAnsi="Arial" w:cs="Arial"/>
          <w:sz w:val="24"/>
          <w:szCs w:val="24"/>
        </w:rPr>
        <w:t xml:space="preserve">In re-examination, he stated that the relevant </w:t>
      </w:r>
      <w:r w:rsidR="005A3B29">
        <w:rPr>
          <w:rFonts w:ascii="Arial" w:hAnsi="Arial" w:cs="Arial"/>
          <w:sz w:val="24"/>
          <w:szCs w:val="24"/>
        </w:rPr>
        <w:t>‘</w:t>
      </w:r>
      <w:r w:rsidRPr="00AB7D3A">
        <w:rPr>
          <w:rFonts w:ascii="Arial" w:hAnsi="Arial" w:cs="Arial"/>
          <w:sz w:val="24"/>
          <w:szCs w:val="24"/>
        </w:rPr>
        <w:t>grade</w:t>
      </w:r>
      <w:r w:rsidR="005A3B29">
        <w:rPr>
          <w:rFonts w:ascii="Arial" w:hAnsi="Arial" w:cs="Arial"/>
          <w:sz w:val="24"/>
          <w:szCs w:val="24"/>
        </w:rPr>
        <w:t>’</w:t>
      </w:r>
      <w:r w:rsidRPr="00AB7D3A">
        <w:rPr>
          <w:rFonts w:ascii="Arial" w:hAnsi="Arial" w:cs="Arial"/>
          <w:sz w:val="24"/>
          <w:szCs w:val="24"/>
        </w:rPr>
        <w:t xml:space="preserve"> is Educator and that </w:t>
      </w:r>
      <w:r w:rsidR="00B95820">
        <w:rPr>
          <w:rFonts w:ascii="Arial" w:hAnsi="Arial" w:cs="Arial"/>
          <w:sz w:val="24"/>
          <w:szCs w:val="24"/>
        </w:rPr>
        <w:t xml:space="preserve">it is not </w:t>
      </w:r>
      <w:r w:rsidRPr="00AB7D3A">
        <w:rPr>
          <w:rFonts w:ascii="Arial" w:hAnsi="Arial" w:cs="Arial"/>
          <w:sz w:val="24"/>
          <w:szCs w:val="24"/>
        </w:rPr>
        <w:t xml:space="preserve">grade 1, </w:t>
      </w:r>
      <w:r w:rsidR="00B95820">
        <w:rPr>
          <w:rFonts w:ascii="Arial" w:hAnsi="Arial" w:cs="Arial"/>
          <w:sz w:val="24"/>
          <w:szCs w:val="24"/>
        </w:rPr>
        <w:t xml:space="preserve">grade </w:t>
      </w:r>
      <w:r w:rsidRPr="00AB7D3A">
        <w:rPr>
          <w:rFonts w:ascii="Arial" w:hAnsi="Arial" w:cs="Arial"/>
          <w:sz w:val="24"/>
          <w:szCs w:val="24"/>
        </w:rPr>
        <w:t xml:space="preserve">2 or </w:t>
      </w:r>
      <w:r w:rsidR="00B95820">
        <w:rPr>
          <w:rFonts w:ascii="Arial" w:hAnsi="Arial" w:cs="Arial"/>
          <w:sz w:val="24"/>
          <w:szCs w:val="24"/>
        </w:rPr>
        <w:t xml:space="preserve">grade </w:t>
      </w:r>
      <w:r w:rsidRPr="00AB7D3A">
        <w:rPr>
          <w:rFonts w:ascii="Arial" w:hAnsi="Arial" w:cs="Arial"/>
          <w:sz w:val="24"/>
          <w:szCs w:val="24"/>
        </w:rPr>
        <w:t>3.</w:t>
      </w:r>
      <w:r w:rsidR="00AA60B1">
        <w:rPr>
          <w:rFonts w:ascii="Arial" w:hAnsi="Arial" w:cs="Arial"/>
          <w:sz w:val="24"/>
          <w:szCs w:val="24"/>
        </w:rPr>
        <w:t xml:space="preserve">  He produced a copy of a document showing the module outline of </w:t>
      </w:r>
      <w:r w:rsidR="00B95820">
        <w:rPr>
          <w:rFonts w:ascii="Arial" w:hAnsi="Arial" w:cs="Arial"/>
          <w:sz w:val="24"/>
          <w:szCs w:val="24"/>
        </w:rPr>
        <w:t>the</w:t>
      </w:r>
      <w:r w:rsidR="00AA60B1">
        <w:rPr>
          <w:rFonts w:ascii="Arial" w:hAnsi="Arial" w:cs="Arial"/>
          <w:sz w:val="24"/>
          <w:szCs w:val="24"/>
        </w:rPr>
        <w:t xml:space="preserve"> Foundation Year for his BSc (Hons) Horticulture.</w:t>
      </w:r>
    </w:p>
    <w:p w14:paraId="7FDDBC95" w14:textId="2F4482F0" w:rsidR="00AA60B1" w:rsidRDefault="006A501D" w:rsidP="00215B54">
      <w:pPr>
        <w:jc w:val="both"/>
        <w:rPr>
          <w:rFonts w:ascii="Arial" w:hAnsi="Arial" w:cs="Arial"/>
          <w:sz w:val="24"/>
          <w:szCs w:val="24"/>
        </w:rPr>
      </w:pPr>
      <w:r>
        <w:rPr>
          <w:rFonts w:ascii="Arial" w:hAnsi="Arial" w:cs="Arial"/>
          <w:sz w:val="24"/>
          <w:szCs w:val="24"/>
        </w:rPr>
        <w:t xml:space="preserve">The representative of Respondent did not wish to adduce evidence before the Tribunal.  </w:t>
      </w:r>
      <w:r w:rsidR="00AA60B1">
        <w:rPr>
          <w:rFonts w:ascii="Arial" w:hAnsi="Arial" w:cs="Arial"/>
          <w:sz w:val="24"/>
          <w:szCs w:val="24"/>
        </w:rPr>
        <w:t xml:space="preserve">The Principal Supervisor of Co-Respondent No 1 then deposed before the Tribunal and he </w:t>
      </w:r>
      <w:r w:rsidR="000E1D22">
        <w:rPr>
          <w:rFonts w:ascii="Arial" w:hAnsi="Arial" w:cs="Arial"/>
          <w:sz w:val="24"/>
          <w:szCs w:val="24"/>
        </w:rPr>
        <w:t xml:space="preserve">explained the difference between </w:t>
      </w:r>
      <w:r w:rsidR="008E4830">
        <w:rPr>
          <w:rFonts w:ascii="Arial" w:hAnsi="Arial" w:cs="Arial"/>
          <w:sz w:val="24"/>
          <w:szCs w:val="24"/>
        </w:rPr>
        <w:t>mainstream and pre-vocational stream.  He stated that they were very different and that at the level of Co-Respondent No 1</w:t>
      </w:r>
      <w:r w:rsidR="00B95820">
        <w:rPr>
          <w:rFonts w:ascii="Arial" w:hAnsi="Arial" w:cs="Arial"/>
          <w:sz w:val="24"/>
          <w:szCs w:val="24"/>
        </w:rPr>
        <w:t>,</w:t>
      </w:r>
      <w:r w:rsidR="008E4830">
        <w:rPr>
          <w:rFonts w:ascii="Arial" w:hAnsi="Arial" w:cs="Arial"/>
          <w:sz w:val="24"/>
          <w:szCs w:val="24"/>
        </w:rPr>
        <w:t xml:space="preserve"> authority has never been given to a person to work in both streams at the same time.  </w:t>
      </w:r>
      <w:r w:rsidR="00DE21FC">
        <w:rPr>
          <w:rFonts w:ascii="Arial" w:hAnsi="Arial" w:cs="Arial"/>
          <w:sz w:val="24"/>
          <w:szCs w:val="24"/>
        </w:rPr>
        <w:t xml:space="preserve">He stated that the ‘mainstream’ Educator and Pre-vocational Educator teach in a different context with respect to all aspects of education.  He referred to different curricula, aims and objectives, textbooks used, resources used, pedagogies for learning and frameworks for evaluation and assessment in </w:t>
      </w:r>
      <w:r w:rsidR="00C17C26">
        <w:rPr>
          <w:rFonts w:ascii="Arial" w:hAnsi="Arial" w:cs="Arial"/>
          <w:sz w:val="24"/>
          <w:szCs w:val="24"/>
        </w:rPr>
        <w:t xml:space="preserve">the two </w:t>
      </w:r>
      <w:r w:rsidR="00DE21FC">
        <w:rPr>
          <w:rFonts w:ascii="Arial" w:hAnsi="Arial" w:cs="Arial"/>
          <w:sz w:val="24"/>
          <w:szCs w:val="24"/>
        </w:rPr>
        <w:t>stream</w:t>
      </w:r>
      <w:r w:rsidR="00C17C26">
        <w:rPr>
          <w:rFonts w:ascii="Arial" w:hAnsi="Arial" w:cs="Arial"/>
          <w:sz w:val="24"/>
          <w:szCs w:val="24"/>
        </w:rPr>
        <w:t>s</w:t>
      </w:r>
      <w:r w:rsidR="00DE21FC">
        <w:rPr>
          <w:rFonts w:ascii="Arial" w:hAnsi="Arial" w:cs="Arial"/>
          <w:sz w:val="24"/>
          <w:szCs w:val="24"/>
        </w:rPr>
        <w:t xml:space="preserve">.  </w:t>
      </w:r>
      <w:r w:rsidR="008E4830">
        <w:rPr>
          <w:rFonts w:ascii="Arial" w:hAnsi="Arial" w:cs="Arial"/>
          <w:sz w:val="24"/>
          <w:szCs w:val="24"/>
        </w:rPr>
        <w:t>He also suggested that the P</w:t>
      </w:r>
      <w:r w:rsidR="00360742">
        <w:rPr>
          <w:rFonts w:ascii="Arial" w:hAnsi="Arial" w:cs="Arial"/>
          <w:sz w:val="24"/>
          <w:szCs w:val="24"/>
        </w:rPr>
        <w:t xml:space="preserve">ay Research </w:t>
      </w:r>
      <w:r w:rsidR="008E4830">
        <w:rPr>
          <w:rFonts w:ascii="Arial" w:hAnsi="Arial" w:cs="Arial"/>
          <w:sz w:val="24"/>
          <w:szCs w:val="24"/>
        </w:rPr>
        <w:t>B</w:t>
      </w:r>
      <w:r w:rsidR="00360742">
        <w:rPr>
          <w:rFonts w:ascii="Arial" w:hAnsi="Arial" w:cs="Arial"/>
          <w:sz w:val="24"/>
          <w:szCs w:val="24"/>
        </w:rPr>
        <w:t>ureau</w:t>
      </w:r>
      <w:r w:rsidR="0093744D">
        <w:rPr>
          <w:rFonts w:ascii="Arial" w:hAnsi="Arial" w:cs="Arial"/>
          <w:sz w:val="24"/>
          <w:szCs w:val="24"/>
        </w:rPr>
        <w:t xml:space="preserve"> (PRB)</w:t>
      </w:r>
      <w:r w:rsidR="005A3B29">
        <w:rPr>
          <w:rFonts w:ascii="Arial" w:hAnsi="Arial" w:cs="Arial"/>
          <w:sz w:val="24"/>
          <w:szCs w:val="24"/>
        </w:rPr>
        <w:t>, in</w:t>
      </w:r>
      <w:r w:rsidR="00360742">
        <w:rPr>
          <w:rFonts w:ascii="Arial" w:hAnsi="Arial" w:cs="Arial"/>
          <w:sz w:val="24"/>
          <w:szCs w:val="24"/>
        </w:rPr>
        <w:t xml:space="preserve"> the PRB Reports of 2003 and</w:t>
      </w:r>
      <w:r w:rsidR="008E4830">
        <w:rPr>
          <w:rFonts w:ascii="Arial" w:hAnsi="Arial" w:cs="Arial"/>
          <w:sz w:val="24"/>
          <w:szCs w:val="24"/>
        </w:rPr>
        <w:t xml:space="preserve"> 2016</w:t>
      </w:r>
      <w:r w:rsidR="00360742">
        <w:rPr>
          <w:rFonts w:ascii="Arial" w:hAnsi="Arial" w:cs="Arial"/>
          <w:sz w:val="24"/>
          <w:szCs w:val="24"/>
        </w:rPr>
        <w:t>,</w:t>
      </w:r>
      <w:r w:rsidR="008E4830">
        <w:rPr>
          <w:rFonts w:ascii="Arial" w:hAnsi="Arial" w:cs="Arial"/>
          <w:sz w:val="24"/>
          <w:szCs w:val="24"/>
        </w:rPr>
        <w:t xml:space="preserve"> distinguished between </w:t>
      </w:r>
      <w:r w:rsidR="00C17C26">
        <w:rPr>
          <w:rFonts w:ascii="Arial" w:hAnsi="Arial" w:cs="Arial"/>
          <w:sz w:val="24"/>
          <w:szCs w:val="24"/>
        </w:rPr>
        <w:t xml:space="preserve">Education Officer/ </w:t>
      </w:r>
      <w:r w:rsidR="008E4830">
        <w:rPr>
          <w:rFonts w:ascii="Arial" w:hAnsi="Arial" w:cs="Arial"/>
          <w:sz w:val="24"/>
          <w:szCs w:val="24"/>
        </w:rPr>
        <w:t xml:space="preserve">Educator in the mainstream and </w:t>
      </w:r>
      <w:r w:rsidR="001160D8">
        <w:rPr>
          <w:rFonts w:ascii="Arial" w:hAnsi="Arial" w:cs="Arial"/>
          <w:sz w:val="24"/>
          <w:szCs w:val="24"/>
        </w:rPr>
        <w:t xml:space="preserve">Education Officer (Pre-Vocational) / </w:t>
      </w:r>
      <w:r w:rsidR="008E4830">
        <w:rPr>
          <w:rFonts w:ascii="Arial" w:hAnsi="Arial" w:cs="Arial"/>
          <w:sz w:val="24"/>
          <w:szCs w:val="24"/>
        </w:rPr>
        <w:t xml:space="preserve">Educator </w:t>
      </w:r>
      <w:r w:rsidR="00B90FB0">
        <w:rPr>
          <w:rFonts w:ascii="Arial" w:hAnsi="Arial" w:cs="Arial"/>
          <w:sz w:val="24"/>
          <w:szCs w:val="24"/>
        </w:rPr>
        <w:t>(</w:t>
      </w:r>
      <w:r w:rsidR="008E4830">
        <w:rPr>
          <w:rFonts w:ascii="Arial" w:hAnsi="Arial" w:cs="Arial"/>
          <w:sz w:val="24"/>
          <w:szCs w:val="24"/>
        </w:rPr>
        <w:t>Secondary</w:t>
      </w:r>
      <w:r w:rsidR="00B90FB0">
        <w:rPr>
          <w:rFonts w:ascii="Arial" w:hAnsi="Arial" w:cs="Arial"/>
          <w:sz w:val="24"/>
          <w:szCs w:val="24"/>
        </w:rPr>
        <w:t>)</w:t>
      </w:r>
      <w:r w:rsidR="008E4830">
        <w:rPr>
          <w:rFonts w:ascii="Arial" w:hAnsi="Arial" w:cs="Arial"/>
          <w:sz w:val="24"/>
          <w:szCs w:val="24"/>
        </w:rPr>
        <w:t xml:space="preserve"> </w:t>
      </w:r>
      <w:r w:rsidR="001160D8">
        <w:rPr>
          <w:rFonts w:ascii="Arial" w:hAnsi="Arial" w:cs="Arial"/>
          <w:sz w:val="24"/>
          <w:szCs w:val="24"/>
        </w:rPr>
        <w:t>(</w:t>
      </w:r>
      <w:r w:rsidR="008E4830">
        <w:rPr>
          <w:rFonts w:ascii="Arial" w:hAnsi="Arial" w:cs="Arial"/>
          <w:sz w:val="24"/>
          <w:szCs w:val="24"/>
        </w:rPr>
        <w:t>Pre</w:t>
      </w:r>
      <w:r w:rsidR="00C17C26">
        <w:rPr>
          <w:rFonts w:ascii="Arial" w:hAnsi="Arial" w:cs="Arial"/>
          <w:sz w:val="24"/>
          <w:szCs w:val="24"/>
        </w:rPr>
        <w:t>v</w:t>
      </w:r>
      <w:r w:rsidR="008E4830">
        <w:rPr>
          <w:rFonts w:ascii="Arial" w:hAnsi="Arial" w:cs="Arial"/>
          <w:sz w:val="24"/>
          <w:szCs w:val="24"/>
        </w:rPr>
        <w:t>ocational</w:t>
      </w:r>
      <w:r w:rsidR="001160D8">
        <w:rPr>
          <w:rFonts w:ascii="Arial" w:hAnsi="Arial" w:cs="Arial"/>
          <w:sz w:val="24"/>
          <w:szCs w:val="24"/>
        </w:rPr>
        <w:t>)</w:t>
      </w:r>
      <w:r w:rsidR="008E4830">
        <w:rPr>
          <w:rFonts w:ascii="Arial" w:hAnsi="Arial" w:cs="Arial"/>
          <w:sz w:val="24"/>
          <w:szCs w:val="24"/>
        </w:rPr>
        <w:t xml:space="preserve">.   </w:t>
      </w:r>
      <w:r w:rsidR="00AA60B1">
        <w:rPr>
          <w:rFonts w:ascii="Arial" w:hAnsi="Arial" w:cs="Arial"/>
          <w:sz w:val="24"/>
          <w:szCs w:val="24"/>
        </w:rPr>
        <w:t xml:space="preserve">  </w:t>
      </w:r>
    </w:p>
    <w:p w14:paraId="3F43D2B7" w14:textId="526F01C8" w:rsidR="0015174D" w:rsidRDefault="004719A7" w:rsidP="00215B54">
      <w:pPr>
        <w:jc w:val="both"/>
        <w:rPr>
          <w:rFonts w:ascii="Arial" w:hAnsi="Arial" w:cs="Arial"/>
          <w:sz w:val="24"/>
          <w:szCs w:val="24"/>
        </w:rPr>
      </w:pPr>
      <w:r>
        <w:rPr>
          <w:rFonts w:ascii="Arial" w:hAnsi="Arial" w:cs="Arial"/>
          <w:sz w:val="24"/>
          <w:szCs w:val="24"/>
        </w:rPr>
        <w:t xml:space="preserve">The Principal Supervisor stated that Disputant was recruited as a </w:t>
      </w:r>
      <w:r w:rsidR="005A3B29">
        <w:rPr>
          <w:rFonts w:ascii="Arial" w:hAnsi="Arial" w:cs="Arial"/>
          <w:sz w:val="24"/>
          <w:szCs w:val="24"/>
        </w:rPr>
        <w:t>t</w:t>
      </w:r>
      <w:r>
        <w:rPr>
          <w:rFonts w:ascii="Arial" w:hAnsi="Arial" w:cs="Arial"/>
          <w:sz w:val="24"/>
          <w:szCs w:val="24"/>
        </w:rPr>
        <w:t xml:space="preserve">eacher of Pre-Vocational and that for seventeen years he continued to teach the package of subjects </w:t>
      </w:r>
      <w:r>
        <w:rPr>
          <w:rFonts w:ascii="Arial" w:hAnsi="Arial" w:cs="Arial"/>
          <w:sz w:val="24"/>
          <w:szCs w:val="24"/>
        </w:rPr>
        <w:lastRenderedPageBreak/>
        <w:t xml:space="preserve">specified for the </w:t>
      </w:r>
      <w:r w:rsidR="005A3B29">
        <w:rPr>
          <w:rFonts w:ascii="Arial" w:hAnsi="Arial" w:cs="Arial"/>
          <w:sz w:val="24"/>
          <w:szCs w:val="24"/>
        </w:rPr>
        <w:t>p</w:t>
      </w:r>
      <w:r>
        <w:rPr>
          <w:rFonts w:ascii="Arial" w:hAnsi="Arial" w:cs="Arial"/>
          <w:sz w:val="24"/>
          <w:szCs w:val="24"/>
        </w:rPr>
        <w:t>re-</w:t>
      </w:r>
      <w:r w:rsidR="005A3B29">
        <w:rPr>
          <w:rFonts w:ascii="Arial" w:hAnsi="Arial" w:cs="Arial"/>
          <w:sz w:val="24"/>
          <w:szCs w:val="24"/>
        </w:rPr>
        <w:t>v</w:t>
      </w:r>
      <w:r>
        <w:rPr>
          <w:rFonts w:ascii="Arial" w:hAnsi="Arial" w:cs="Arial"/>
          <w:sz w:val="24"/>
          <w:szCs w:val="24"/>
        </w:rPr>
        <w:t>ocational stream.  He was at no point reckoned as being a teacher of Agriculture in the mainstream department of Agriculture</w:t>
      </w:r>
      <w:r w:rsidR="001160D8">
        <w:rPr>
          <w:rFonts w:ascii="Arial" w:hAnsi="Arial" w:cs="Arial"/>
          <w:sz w:val="24"/>
          <w:szCs w:val="24"/>
        </w:rPr>
        <w:t>, which, according to him, was totally different.</w:t>
      </w:r>
      <w:r>
        <w:rPr>
          <w:rFonts w:ascii="Arial" w:hAnsi="Arial" w:cs="Arial"/>
          <w:sz w:val="24"/>
          <w:szCs w:val="24"/>
        </w:rPr>
        <w:t xml:space="preserve">  He was however eligible to be considered among </w:t>
      </w:r>
      <w:r w:rsidR="005A3B29">
        <w:rPr>
          <w:rFonts w:ascii="Arial" w:hAnsi="Arial" w:cs="Arial"/>
          <w:sz w:val="24"/>
          <w:szCs w:val="24"/>
        </w:rPr>
        <w:t>p</w:t>
      </w:r>
      <w:r>
        <w:rPr>
          <w:rFonts w:ascii="Arial" w:hAnsi="Arial" w:cs="Arial"/>
          <w:sz w:val="24"/>
          <w:szCs w:val="24"/>
        </w:rPr>
        <w:t>re-</w:t>
      </w:r>
      <w:r w:rsidR="005A3B29">
        <w:rPr>
          <w:rFonts w:ascii="Arial" w:hAnsi="Arial" w:cs="Arial"/>
          <w:sz w:val="24"/>
          <w:szCs w:val="24"/>
        </w:rPr>
        <w:t>v</w:t>
      </w:r>
      <w:r>
        <w:rPr>
          <w:rFonts w:ascii="Arial" w:hAnsi="Arial" w:cs="Arial"/>
          <w:sz w:val="24"/>
          <w:szCs w:val="24"/>
        </w:rPr>
        <w:t xml:space="preserve">ocational </w:t>
      </w:r>
      <w:r w:rsidR="001160D8">
        <w:rPr>
          <w:rFonts w:ascii="Arial" w:hAnsi="Arial" w:cs="Arial"/>
          <w:sz w:val="24"/>
          <w:szCs w:val="24"/>
        </w:rPr>
        <w:t>t</w:t>
      </w:r>
      <w:r>
        <w:rPr>
          <w:rFonts w:ascii="Arial" w:hAnsi="Arial" w:cs="Arial"/>
          <w:sz w:val="24"/>
          <w:szCs w:val="24"/>
        </w:rPr>
        <w:t xml:space="preserve">eachers for a position of special Head of Department allocated to the </w:t>
      </w:r>
      <w:r w:rsidR="005A3B29">
        <w:rPr>
          <w:rFonts w:ascii="Arial" w:hAnsi="Arial" w:cs="Arial"/>
          <w:sz w:val="24"/>
          <w:szCs w:val="24"/>
        </w:rPr>
        <w:t>p</w:t>
      </w:r>
      <w:r>
        <w:rPr>
          <w:rFonts w:ascii="Arial" w:hAnsi="Arial" w:cs="Arial"/>
          <w:sz w:val="24"/>
          <w:szCs w:val="24"/>
        </w:rPr>
        <w:t>re-</w:t>
      </w:r>
      <w:r w:rsidR="005A3B29">
        <w:rPr>
          <w:rFonts w:ascii="Arial" w:hAnsi="Arial" w:cs="Arial"/>
          <w:sz w:val="24"/>
          <w:szCs w:val="24"/>
        </w:rPr>
        <w:t>v</w:t>
      </w:r>
      <w:r>
        <w:rPr>
          <w:rFonts w:ascii="Arial" w:hAnsi="Arial" w:cs="Arial"/>
          <w:sz w:val="24"/>
          <w:szCs w:val="24"/>
        </w:rPr>
        <w:t xml:space="preserve">ocational sector.  In the year 2018, the Government came with a program of nine-year continuous basic education, and the </w:t>
      </w:r>
      <w:r w:rsidR="005A3B29">
        <w:rPr>
          <w:rFonts w:ascii="Arial" w:hAnsi="Arial" w:cs="Arial"/>
          <w:sz w:val="24"/>
          <w:szCs w:val="24"/>
        </w:rPr>
        <w:t>‘p</w:t>
      </w:r>
      <w:r>
        <w:rPr>
          <w:rFonts w:ascii="Arial" w:hAnsi="Arial" w:cs="Arial"/>
          <w:sz w:val="24"/>
          <w:szCs w:val="24"/>
        </w:rPr>
        <w:t>re-</w:t>
      </w:r>
      <w:r w:rsidR="005A3B29">
        <w:rPr>
          <w:rFonts w:ascii="Arial" w:hAnsi="Arial" w:cs="Arial"/>
          <w:sz w:val="24"/>
          <w:szCs w:val="24"/>
        </w:rPr>
        <w:t>v</w:t>
      </w:r>
      <w:r>
        <w:rPr>
          <w:rFonts w:ascii="Arial" w:hAnsi="Arial" w:cs="Arial"/>
          <w:sz w:val="24"/>
          <w:szCs w:val="24"/>
        </w:rPr>
        <w:t>ocational</w:t>
      </w:r>
      <w:r w:rsidR="005A3B29">
        <w:rPr>
          <w:rFonts w:ascii="Arial" w:hAnsi="Arial" w:cs="Arial"/>
          <w:sz w:val="24"/>
          <w:szCs w:val="24"/>
        </w:rPr>
        <w:t>’</w:t>
      </w:r>
      <w:r>
        <w:rPr>
          <w:rFonts w:ascii="Arial" w:hAnsi="Arial" w:cs="Arial"/>
          <w:sz w:val="24"/>
          <w:szCs w:val="24"/>
        </w:rPr>
        <w:t xml:space="preserve"> started to phase out.  He stated that Government came with a plan to redeploy </w:t>
      </w:r>
      <w:r w:rsidR="00B90FB0">
        <w:rPr>
          <w:rFonts w:ascii="Arial" w:hAnsi="Arial" w:cs="Arial"/>
          <w:sz w:val="24"/>
          <w:szCs w:val="24"/>
        </w:rPr>
        <w:t xml:space="preserve">as many teachers of the </w:t>
      </w:r>
      <w:r w:rsidR="005A3B29">
        <w:rPr>
          <w:rFonts w:ascii="Arial" w:hAnsi="Arial" w:cs="Arial"/>
          <w:sz w:val="24"/>
          <w:szCs w:val="24"/>
        </w:rPr>
        <w:t>p</w:t>
      </w:r>
      <w:r w:rsidR="00B90FB0">
        <w:rPr>
          <w:rFonts w:ascii="Arial" w:hAnsi="Arial" w:cs="Arial"/>
          <w:sz w:val="24"/>
          <w:szCs w:val="24"/>
        </w:rPr>
        <w:t>re-</w:t>
      </w:r>
      <w:r w:rsidR="005A3B29">
        <w:rPr>
          <w:rFonts w:ascii="Arial" w:hAnsi="Arial" w:cs="Arial"/>
          <w:sz w:val="24"/>
          <w:szCs w:val="24"/>
        </w:rPr>
        <w:t>v</w:t>
      </w:r>
      <w:r w:rsidR="00B90FB0">
        <w:rPr>
          <w:rFonts w:ascii="Arial" w:hAnsi="Arial" w:cs="Arial"/>
          <w:sz w:val="24"/>
          <w:szCs w:val="24"/>
        </w:rPr>
        <w:t xml:space="preserve">ocational stream as possible, </w:t>
      </w:r>
      <w:r>
        <w:rPr>
          <w:rFonts w:ascii="Arial" w:hAnsi="Arial" w:cs="Arial"/>
          <w:sz w:val="24"/>
          <w:szCs w:val="24"/>
        </w:rPr>
        <w:t>in the mainstream.  He stated that the teaching licence of Disputant was issued as an exceptional measure to allow the latter to teach certain modules in the mainstream</w:t>
      </w:r>
      <w:r w:rsidR="005F2228">
        <w:rPr>
          <w:rFonts w:ascii="Arial" w:hAnsi="Arial" w:cs="Arial"/>
          <w:sz w:val="24"/>
          <w:szCs w:val="24"/>
        </w:rPr>
        <w:t xml:space="preserve">.  To avoid redundancy </w:t>
      </w:r>
      <w:r w:rsidR="004241FA">
        <w:rPr>
          <w:rFonts w:ascii="Arial" w:hAnsi="Arial" w:cs="Arial"/>
          <w:sz w:val="24"/>
          <w:szCs w:val="24"/>
        </w:rPr>
        <w:t>and</w:t>
      </w:r>
      <w:r w:rsidR="005F2228">
        <w:rPr>
          <w:rFonts w:ascii="Arial" w:hAnsi="Arial" w:cs="Arial"/>
          <w:sz w:val="24"/>
          <w:szCs w:val="24"/>
        </w:rPr>
        <w:t xml:space="preserve"> redeployment in another school, the latter was allowed to remain at the Respondent whilst being redeployed in the mainstream.  </w:t>
      </w:r>
    </w:p>
    <w:p w14:paraId="3A465F52" w14:textId="4127F67F" w:rsidR="008112EC" w:rsidRDefault="0015174D" w:rsidP="00215B54">
      <w:pPr>
        <w:jc w:val="both"/>
        <w:rPr>
          <w:rFonts w:ascii="Arial" w:hAnsi="Arial" w:cs="Arial"/>
          <w:sz w:val="24"/>
          <w:szCs w:val="24"/>
        </w:rPr>
      </w:pPr>
      <w:r>
        <w:rPr>
          <w:rFonts w:ascii="Arial" w:hAnsi="Arial" w:cs="Arial"/>
          <w:sz w:val="24"/>
          <w:szCs w:val="24"/>
        </w:rPr>
        <w:t xml:space="preserve">The Principal Supervisor </w:t>
      </w:r>
      <w:r w:rsidR="005F2228">
        <w:rPr>
          <w:rFonts w:ascii="Arial" w:hAnsi="Arial" w:cs="Arial"/>
          <w:sz w:val="24"/>
          <w:szCs w:val="24"/>
        </w:rPr>
        <w:t xml:space="preserve">produced a copy of </w:t>
      </w:r>
      <w:r>
        <w:rPr>
          <w:rFonts w:ascii="Arial" w:hAnsi="Arial" w:cs="Arial"/>
          <w:sz w:val="24"/>
          <w:szCs w:val="24"/>
        </w:rPr>
        <w:t>a circular emanating from Co-Respondent No 1 which contained guidelines for designation of Heads of Departments</w:t>
      </w:r>
      <w:r w:rsidR="005F2228">
        <w:rPr>
          <w:rFonts w:ascii="Arial" w:hAnsi="Arial" w:cs="Arial"/>
          <w:sz w:val="24"/>
          <w:szCs w:val="24"/>
        </w:rPr>
        <w:t xml:space="preserve"> (Doc B).</w:t>
      </w:r>
      <w:r>
        <w:rPr>
          <w:rFonts w:ascii="Arial" w:hAnsi="Arial" w:cs="Arial"/>
          <w:sz w:val="24"/>
          <w:szCs w:val="24"/>
        </w:rPr>
        <w:t xml:space="preserve">  He stated that </w:t>
      </w:r>
      <w:r w:rsidR="001160D8">
        <w:rPr>
          <w:rFonts w:ascii="Arial" w:hAnsi="Arial" w:cs="Arial"/>
          <w:sz w:val="24"/>
          <w:szCs w:val="24"/>
        </w:rPr>
        <w:t xml:space="preserve">the criterion of </w:t>
      </w:r>
      <w:r>
        <w:rPr>
          <w:rFonts w:ascii="Arial" w:hAnsi="Arial" w:cs="Arial"/>
          <w:sz w:val="24"/>
          <w:szCs w:val="24"/>
        </w:rPr>
        <w:t xml:space="preserve">seniority is governed by a number of factors for a person to be appointed as Head of Department.  The first one is service in a particular school since experience in previous schools cannot be carried forward and is not transferable to the school where the officer is then posted.  Secondly, time spent in </w:t>
      </w:r>
      <w:r w:rsidR="00D77A82">
        <w:rPr>
          <w:rFonts w:ascii="Arial" w:hAnsi="Arial" w:cs="Arial"/>
          <w:sz w:val="24"/>
          <w:szCs w:val="24"/>
        </w:rPr>
        <w:t>the relevant</w:t>
      </w:r>
      <w:r>
        <w:rPr>
          <w:rFonts w:ascii="Arial" w:hAnsi="Arial" w:cs="Arial"/>
          <w:sz w:val="24"/>
          <w:szCs w:val="24"/>
        </w:rPr>
        <w:t xml:space="preserve"> grade is </w:t>
      </w:r>
      <w:r w:rsidR="004C7E5B">
        <w:rPr>
          <w:rFonts w:ascii="Arial" w:hAnsi="Arial" w:cs="Arial"/>
          <w:sz w:val="24"/>
          <w:szCs w:val="24"/>
        </w:rPr>
        <w:t>considered</w:t>
      </w:r>
      <w:r>
        <w:rPr>
          <w:rFonts w:ascii="Arial" w:hAnsi="Arial" w:cs="Arial"/>
          <w:sz w:val="24"/>
          <w:szCs w:val="24"/>
        </w:rPr>
        <w:t>.</w:t>
      </w:r>
      <w:r w:rsidR="00D77A82">
        <w:rPr>
          <w:rFonts w:ascii="Arial" w:hAnsi="Arial" w:cs="Arial"/>
          <w:sz w:val="24"/>
          <w:szCs w:val="24"/>
        </w:rPr>
        <w:t xml:space="preserve">  Thirdly, if a person </w:t>
      </w:r>
      <w:r w:rsidR="001160D8">
        <w:rPr>
          <w:rFonts w:ascii="Arial" w:hAnsi="Arial" w:cs="Arial"/>
          <w:sz w:val="24"/>
          <w:szCs w:val="24"/>
        </w:rPr>
        <w:t>wa</w:t>
      </w:r>
      <w:r w:rsidR="00D77A82">
        <w:rPr>
          <w:rFonts w:ascii="Arial" w:hAnsi="Arial" w:cs="Arial"/>
          <w:sz w:val="24"/>
          <w:szCs w:val="24"/>
        </w:rPr>
        <w:t xml:space="preserve">s not fully qualified at a certain point, </w:t>
      </w:r>
      <w:r w:rsidR="001160D8">
        <w:rPr>
          <w:rFonts w:ascii="Arial" w:hAnsi="Arial" w:cs="Arial"/>
          <w:sz w:val="24"/>
          <w:szCs w:val="24"/>
        </w:rPr>
        <w:t xml:space="preserve">then </w:t>
      </w:r>
      <w:r w:rsidR="00D77A82">
        <w:rPr>
          <w:rFonts w:ascii="Arial" w:hAnsi="Arial" w:cs="Arial"/>
          <w:sz w:val="24"/>
          <w:szCs w:val="24"/>
        </w:rPr>
        <w:t>only the period as from when he obtained the relevant qualifications w</w:t>
      </w:r>
      <w:r w:rsidR="001160D8">
        <w:rPr>
          <w:rFonts w:ascii="Arial" w:hAnsi="Arial" w:cs="Arial"/>
          <w:sz w:val="24"/>
          <w:szCs w:val="24"/>
        </w:rPr>
        <w:t>ould</w:t>
      </w:r>
      <w:r w:rsidR="00D77A82">
        <w:rPr>
          <w:rFonts w:ascii="Arial" w:hAnsi="Arial" w:cs="Arial"/>
          <w:sz w:val="24"/>
          <w:szCs w:val="24"/>
        </w:rPr>
        <w:t xml:space="preserve"> be considered.  He added that the date of appointment is not necessarily an overriding criterion when determining seniority.  The Principal Supervisor also suggested that Head of Department means Head of a </w:t>
      </w:r>
      <w:r w:rsidR="005A3B29">
        <w:rPr>
          <w:rFonts w:ascii="Arial" w:hAnsi="Arial" w:cs="Arial"/>
          <w:sz w:val="24"/>
          <w:szCs w:val="24"/>
        </w:rPr>
        <w:t>‘s</w:t>
      </w:r>
      <w:r w:rsidR="00D77A82">
        <w:rPr>
          <w:rFonts w:ascii="Arial" w:hAnsi="Arial" w:cs="Arial"/>
          <w:sz w:val="24"/>
          <w:szCs w:val="24"/>
        </w:rPr>
        <w:t>ubject</w:t>
      </w:r>
      <w:r w:rsidR="005A3B29">
        <w:rPr>
          <w:rFonts w:ascii="Arial" w:hAnsi="Arial" w:cs="Arial"/>
          <w:sz w:val="24"/>
          <w:szCs w:val="24"/>
        </w:rPr>
        <w:t>’</w:t>
      </w:r>
      <w:r w:rsidR="00D77A82">
        <w:rPr>
          <w:rFonts w:ascii="Arial" w:hAnsi="Arial" w:cs="Arial"/>
          <w:sz w:val="24"/>
          <w:szCs w:val="24"/>
        </w:rPr>
        <w:t xml:space="preserve"> Department in the mainstream, so that seniority would be determined in relation to the years spent in teaching that subject in the mainstream.  </w:t>
      </w:r>
      <w:r w:rsidR="00353880">
        <w:rPr>
          <w:rFonts w:ascii="Arial" w:hAnsi="Arial" w:cs="Arial"/>
          <w:sz w:val="24"/>
          <w:szCs w:val="24"/>
        </w:rPr>
        <w:t xml:space="preserve">He stated that Disputant was not absorbed in the mainstream on the basis of a vacancy occurring in the mainstream but that provision </w:t>
      </w:r>
      <w:r w:rsidR="004C7E5B">
        <w:rPr>
          <w:rFonts w:ascii="Arial" w:hAnsi="Arial" w:cs="Arial"/>
          <w:sz w:val="24"/>
          <w:szCs w:val="24"/>
        </w:rPr>
        <w:t xml:space="preserve">was made </w:t>
      </w:r>
      <w:r w:rsidR="00353880">
        <w:rPr>
          <w:rFonts w:ascii="Arial" w:hAnsi="Arial" w:cs="Arial"/>
          <w:sz w:val="24"/>
          <w:szCs w:val="24"/>
        </w:rPr>
        <w:t xml:space="preserve">for </w:t>
      </w:r>
      <w:r w:rsidR="004C7E5B">
        <w:rPr>
          <w:rFonts w:ascii="Arial" w:hAnsi="Arial" w:cs="Arial"/>
          <w:sz w:val="24"/>
          <w:szCs w:val="24"/>
        </w:rPr>
        <w:t>the latter</w:t>
      </w:r>
      <w:r w:rsidR="00353880">
        <w:rPr>
          <w:rFonts w:ascii="Arial" w:hAnsi="Arial" w:cs="Arial"/>
          <w:sz w:val="24"/>
          <w:szCs w:val="24"/>
        </w:rPr>
        <w:t xml:space="preserve"> to integrate </w:t>
      </w:r>
      <w:r w:rsidR="008112EC">
        <w:rPr>
          <w:rFonts w:ascii="Arial" w:hAnsi="Arial" w:cs="Arial"/>
          <w:sz w:val="24"/>
          <w:szCs w:val="24"/>
        </w:rPr>
        <w:t xml:space="preserve">the mainstream.  He added that there were already other teachers in the </w:t>
      </w:r>
      <w:r w:rsidR="005A3B29">
        <w:rPr>
          <w:rFonts w:ascii="Arial" w:hAnsi="Arial" w:cs="Arial"/>
          <w:sz w:val="24"/>
          <w:szCs w:val="24"/>
        </w:rPr>
        <w:t>d</w:t>
      </w:r>
      <w:r w:rsidR="008112EC">
        <w:rPr>
          <w:rFonts w:ascii="Arial" w:hAnsi="Arial" w:cs="Arial"/>
          <w:sz w:val="24"/>
          <w:szCs w:val="24"/>
        </w:rPr>
        <w:t>epartment of Agriculture at Respondent so that Disputant did not even have a full time-table for Agriculture.  Among the other teachers, there were people who have been Head of Department for years and which were more experienced with the function</w:t>
      </w:r>
      <w:r w:rsidR="00EC2D3E">
        <w:rPr>
          <w:rFonts w:ascii="Arial" w:hAnsi="Arial" w:cs="Arial"/>
          <w:sz w:val="24"/>
          <w:szCs w:val="24"/>
        </w:rPr>
        <w:t>s</w:t>
      </w:r>
      <w:r w:rsidR="008112EC">
        <w:rPr>
          <w:rFonts w:ascii="Arial" w:hAnsi="Arial" w:cs="Arial"/>
          <w:sz w:val="24"/>
          <w:szCs w:val="24"/>
        </w:rPr>
        <w:t xml:space="preserve"> of the department to lead the department.</w:t>
      </w:r>
    </w:p>
    <w:p w14:paraId="1F5E7417" w14:textId="0EE03B09" w:rsidR="0015139D" w:rsidRDefault="00922A25" w:rsidP="00215B54">
      <w:pPr>
        <w:jc w:val="both"/>
        <w:rPr>
          <w:rFonts w:ascii="Arial" w:hAnsi="Arial" w:cs="Arial"/>
          <w:sz w:val="24"/>
          <w:szCs w:val="24"/>
        </w:rPr>
      </w:pPr>
      <w:r>
        <w:rPr>
          <w:rFonts w:ascii="Arial" w:hAnsi="Arial" w:cs="Arial"/>
          <w:sz w:val="24"/>
          <w:szCs w:val="24"/>
        </w:rPr>
        <w:t xml:space="preserve">In cross-examination, </w:t>
      </w:r>
      <w:r w:rsidR="00AE6014">
        <w:rPr>
          <w:rFonts w:ascii="Arial" w:hAnsi="Arial" w:cs="Arial"/>
          <w:sz w:val="24"/>
          <w:szCs w:val="24"/>
        </w:rPr>
        <w:t xml:space="preserve">the Principal Supervisor stated that “QB” is a qualification bar between those Educators having a </w:t>
      </w:r>
      <w:r w:rsidR="005A3B29">
        <w:rPr>
          <w:rFonts w:ascii="Arial" w:hAnsi="Arial" w:cs="Arial"/>
          <w:sz w:val="24"/>
          <w:szCs w:val="24"/>
        </w:rPr>
        <w:t>t</w:t>
      </w:r>
      <w:r w:rsidR="00AE6014">
        <w:rPr>
          <w:rFonts w:ascii="Arial" w:hAnsi="Arial" w:cs="Arial"/>
          <w:sz w:val="24"/>
          <w:szCs w:val="24"/>
        </w:rPr>
        <w:t xml:space="preserve">eacher’s </w:t>
      </w:r>
      <w:r w:rsidR="005A3B29">
        <w:rPr>
          <w:rFonts w:ascii="Arial" w:hAnsi="Arial" w:cs="Arial"/>
          <w:sz w:val="24"/>
          <w:szCs w:val="24"/>
        </w:rPr>
        <w:t>d</w:t>
      </w:r>
      <w:r w:rsidR="00AE6014">
        <w:rPr>
          <w:rFonts w:ascii="Arial" w:hAnsi="Arial" w:cs="Arial"/>
          <w:sz w:val="24"/>
          <w:szCs w:val="24"/>
        </w:rPr>
        <w:t xml:space="preserve">iploma and those Educators having a degree.  </w:t>
      </w:r>
      <w:r w:rsidR="00D9613F">
        <w:rPr>
          <w:rFonts w:ascii="Arial" w:hAnsi="Arial" w:cs="Arial"/>
          <w:sz w:val="24"/>
          <w:szCs w:val="24"/>
        </w:rPr>
        <w:t>Educators</w:t>
      </w:r>
      <w:r w:rsidR="00AE6014">
        <w:rPr>
          <w:rFonts w:ascii="Arial" w:hAnsi="Arial" w:cs="Arial"/>
          <w:sz w:val="24"/>
          <w:szCs w:val="24"/>
        </w:rPr>
        <w:t xml:space="preserve"> </w:t>
      </w:r>
      <w:r w:rsidR="00D9613F">
        <w:rPr>
          <w:rFonts w:ascii="Arial" w:hAnsi="Arial" w:cs="Arial"/>
          <w:sz w:val="24"/>
          <w:szCs w:val="24"/>
        </w:rPr>
        <w:t>holding</w:t>
      </w:r>
      <w:r w:rsidR="00AE6014">
        <w:rPr>
          <w:rFonts w:ascii="Arial" w:hAnsi="Arial" w:cs="Arial"/>
          <w:sz w:val="24"/>
          <w:szCs w:val="24"/>
        </w:rPr>
        <w:t xml:space="preserve"> a degree cross the QB.  </w:t>
      </w:r>
      <w:r w:rsidR="00B91176">
        <w:rPr>
          <w:rFonts w:ascii="Arial" w:hAnsi="Arial" w:cs="Arial"/>
          <w:sz w:val="24"/>
          <w:szCs w:val="24"/>
        </w:rPr>
        <w:t xml:space="preserve">He agreed that the PRB Report 2016 is binding on Co-Respondent No 1.  He however did not agree that the criteria </w:t>
      </w:r>
      <w:r w:rsidR="00A625DB">
        <w:rPr>
          <w:rFonts w:ascii="Arial" w:hAnsi="Arial" w:cs="Arial"/>
          <w:sz w:val="24"/>
          <w:szCs w:val="24"/>
        </w:rPr>
        <w:t xml:space="preserve">for seniority in the mainstream have </w:t>
      </w:r>
      <w:r w:rsidR="00981DC7">
        <w:rPr>
          <w:rFonts w:ascii="Arial" w:hAnsi="Arial" w:cs="Arial"/>
          <w:sz w:val="24"/>
          <w:szCs w:val="24"/>
        </w:rPr>
        <w:t xml:space="preserve">only </w:t>
      </w:r>
      <w:r w:rsidR="00A625DB">
        <w:rPr>
          <w:rFonts w:ascii="Arial" w:hAnsi="Arial" w:cs="Arial"/>
          <w:sz w:val="24"/>
          <w:szCs w:val="24"/>
        </w:rPr>
        <w:t>been listed in the PRB Report.  He suggested that as per Annex 2 to Doc B, a number of criteria which are not found in the PRB Report have been elaborated by Co-Respondent No 1 so that Co-Respondent No 1 can implement the decision in different ‘</w:t>
      </w:r>
      <w:r w:rsidR="00A625DB" w:rsidRPr="00A625DB">
        <w:rPr>
          <w:rFonts w:ascii="Arial" w:hAnsi="Arial" w:cs="Arial"/>
          <w:i/>
          <w:sz w:val="24"/>
          <w:szCs w:val="24"/>
        </w:rPr>
        <w:t>cas de figures</w:t>
      </w:r>
      <w:r w:rsidR="00A625DB">
        <w:rPr>
          <w:rFonts w:ascii="Arial" w:hAnsi="Arial" w:cs="Arial"/>
          <w:i/>
          <w:sz w:val="24"/>
          <w:szCs w:val="24"/>
        </w:rPr>
        <w:t>’</w:t>
      </w:r>
      <w:r w:rsidR="00A625DB">
        <w:rPr>
          <w:rFonts w:ascii="Arial" w:hAnsi="Arial" w:cs="Arial"/>
          <w:sz w:val="24"/>
          <w:szCs w:val="24"/>
        </w:rPr>
        <w:t>.</w:t>
      </w:r>
      <w:r w:rsidR="000B074C">
        <w:rPr>
          <w:rFonts w:ascii="Arial" w:hAnsi="Arial" w:cs="Arial"/>
          <w:sz w:val="24"/>
          <w:szCs w:val="24"/>
        </w:rPr>
        <w:t xml:space="preserve">  The Principal Supervisor conceded that the phasing out of the pre-vocational stream brought situations which were not covered by the PRB.  </w:t>
      </w:r>
      <w:r w:rsidR="000B074C">
        <w:rPr>
          <w:rFonts w:ascii="Arial" w:hAnsi="Arial" w:cs="Arial"/>
          <w:sz w:val="24"/>
          <w:szCs w:val="24"/>
        </w:rPr>
        <w:lastRenderedPageBreak/>
        <w:t xml:space="preserve">He added that Co-Respondent No 1 is both the </w:t>
      </w:r>
      <w:r w:rsidR="005A3B29">
        <w:rPr>
          <w:rFonts w:ascii="Arial" w:hAnsi="Arial" w:cs="Arial"/>
          <w:sz w:val="24"/>
          <w:szCs w:val="24"/>
        </w:rPr>
        <w:t>r</w:t>
      </w:r>
      <w:r w:rsidR="000B074C">
        <w:rPr>
          <w:rFonts w:ascii="Arial" w:hAnsi="Arial" w:cs="Arial"/>
          <w:sz w:val="24"/>
          <w:szCs w:val="24"/>
        </w:rPr>
        <w:t xml:space="preserve">egulator and the </w:t>
      </w:r>
      <w:r w:rsidR="005A3B29">
        <w:rPr>
          <w:rFonts w:ascii="Arial" w:hAnsi="Arial" w:cs="Arial"/>
          <w:sz w:val="24"/>
          <w:szCs w:val="24"/>
        </w:rPr>
        <w:t>p</w:t>
      </w:r>
      <w:r w:rsidR="000B074C">
        <w:rPr>
          <w:rFonts w:ascii="Arial" w:hAnsi="Arial" w:cs="Arial"/>
          <w:sz w:val="24"/>
          <w:szCs w:val="24"/>
        </w:rPr>
        <w:t xml:space="preserve">aying </w:t>
      </w:r>
      <w:r w:rsidR="005A3B29">
        <w:rPr>
          <w:rFonts w:ascii="Arial" w:hAnsi="Arial" w:cs="Arial"/>
          <w:sz w:val="24"/>
          <w:szCs w:val="24"/>
        </w:rPr>
        <w:t>a</w:t>
      </w:r>
      <w:r w:rsidR="000B074C">
        <w:rPr>
          <w:rFonts w:ascii="Arial" w:hAnsi="Arial" w:cs="Arial"/>
          <w:sz w:val="24"/>
          <w:szCs w:val="24"/>
        </w:rPr>
        <w:t xml:space="preserve">gent and that if the Manager appoints </w:t>
      </w:r>
      <w:r w:rsidR="005A3B29">
        <w:rPr>
          <w:rFonts w:ascii="Arial" w:hAnsi="Arial" w:cs="Arial"/>
          <w:sz w:val="24"/>
          <w:szCs w:val="24"/>
        </w:rPr>
        <w:t>Disputant as Head of Department</w:t>
      </w:r>
      <w:r w:rsidR="000B074C">
        <w:rPr>
          <w:rFonts w:ascii="Arial" w:hAnsi="Arial" w:cs="Arial"/>
          <w:sz w:val="24"/>
          <w:szCs w:val="24"/>
        </w:rPr>
        <w:t xml:space="preserve">, Co-Respondent No 1 </w:t>
      </w:r>
      <w:r w:rsidR="005A3B29">
        <w:rPr>
          <w:rFonts w:ascii="Arial" w:hAnsi="Arial" w:cs="Arial"/>
          <w:sz w:val="24"/>
          <w:szCs w:val="24"/>
        </w:rPr>
        <w:t xml:space="preserve">may decide </w:t>
      </w:r>
      <w:r w:rsidR="000B074C">
        <w:rPr>
          <w:rFonts w:ascii="Arial" w:hAnsi="Arial" w:cs="Arial"/>
          <w:sz w:val="24"/>
          <w:szCs w:val="24"/>
        </w:rPr>
        <w:t xml:space="preserve">not </w:t>
      </w:r>
      <w:r w:rsidR="005A3B29">
        <w:rPr>
          <w:rFonts w:ascii="Arial" w:hAnsi="Arial" w:cs="Arial"/>
          <w:sz w:val="24"/>
          <w:szCs w:val="24"/>
        </w:rPr>
        <w:t xml:space="preserve">to </w:t>
      </w:r>
      <w:r w:rsidR="000B074C">
        <w:rPr>
          <w:rFonts w:ascii="Arial" w:hAnsi="Arial" w:cs="Arial"/>
          <w:sz w:val="24"/>
          <w:szCs w:val="24"/>
        </w:rPr>
        <w:t xml:space="preserve">release grants towards the payment of his allocation.  </w:t>
      </w:r>
      <w:r w:rsidR="0096563E">
        <w:rPr>
          <w:rFonts w:ascii="Arial" w:hAnsi="Arial" w:cs="Arial"/>
          <w:sz w:val="24"/>
          <w:szCs w:val="24"/>
        </w:rPr>
        <w:t xml:space="preserve">He did not agree </w:t>
      </w:r>
      <w:r w:rsidR="00981DC7">
        <w:rPr>
          <w:rFonts w:ascii="Arial" w:hAnsi="Arial" w:cs="Arial"/>
          <w:sz w:val="24"/>
          <w:szCs w:val="24"/>
        </w:rPr>
        <w:t xml:space="preserve">when it was put to him </w:t>
      </w:r>
      <w:r w:rsidR="0096563E">
        <w:rPr>
          <w:rFonts w:ascii="Arial" w:hAnsi="Arial" w:cs="Arial"/>
          <w:sz w:val="24"/>
          <w:szCs w:val="24"/>
        </w:rPr>
        <w:t>that the letter at Annex 9 to the Statement of Case of Disputant was entirely incorrect</w:t>
      </w:r>
      <w:r w:rsidR="00981DC7">
        <w:rPr>
          <w:rFonts w:ascii="Arial" w:hAnsi="Arial" w:cs="Arial"/>
          <w:sz w:val="24"/>
          <w:szCs w:val="24"/>
        </w:rPr>
        <w:t>.  He</w:t>
      </w:r>
      <w:r w:rsidR="0096563E">
        <w:rPr>
          <w:rFonts w:ascii="Arial" w:hAnsi="Arial" w:cs="Arial"/>
          <w:sz w:val="24"/>
          <w:szCs w:val="24"/>
        </w:rPr>
        <w:t xml:space="preserve"> </w:t>
      </w:r>
      <w:r w:rsidR="00981DC7">
        <w:rPr>
          <w:rFonts w:ascii="Arial" w:hAnsi="Arial" w:cs="Arial"/>
          <w:sz w:val="24"/>
          <w:szCs w:val="24"/>
        </w:rPr>
        <w:t>added</w:t>
      </w:r>
      <w:r w:rsidR="0096563E">
        <w:rPr>
          <w:rFonts w:ascii="Arial" w:hAnsi="Arial" w:cs="Arial"/>
          <w:sz w:val="24"/>
          <w:szCs w:val="24"/>
        </w:rPr>
        <w:t xml:space="preserve"> that the letter was to be read as an advice to the Manager of Respondent.     </w:t>
      </w:r>
      <w:r w:rsidR="00A625DB">
        <w:rPr>
          <w:rFonts w:ascii="Arial" w:hAnsi="Arial" w:cs="Arial"/>
          <w:sz w:val="24"/>
          <w:szCs w:val="24"/>
        </w:rPr>
        <w:t xml:space="preserve">  </w:t>
      </w:r>
    </w:p>
    <w:p w14:paraId="059860C3" w14:textId="74F560A8" w:rsidR="0015139D" w:rsidRDefault="00DC7A09" w:rsidP="00215B54">
      <w:pPr>
        <w:jc w:val="both"/>
        <w:rPr>
          <w:rFonts w:ascii="Arial" w:hAnsi="Arial" w:cs="Arial"/>
          <w:sz w:val="24"/>
          <w:szCs w:val="24"/>
        </w:rPr>
      </w:pPr>
      <w:r>
        <w:rPr>
          <w:rFonts w:ascii="Arial" w:hAnsi="Arial" w:cs="Arial"/>
          <w:sz w:val="24"/>
          <w:szCs w:val="24"/>
        </w:rPr>
        <w:t xml:space="preserve">A senior lecturer </w:t>
      </w:r>
      <w:r w:rsidR="00BA58C8">
        <w:rPr>
          <w:rFonts w:ascii="Arial" w:hAnsi="Arial" w:cs="Arial"/>
          <w:sz w:val="24"/>
          <w:szCs w:val="24"/>
        </w:rPr>
        <w:t xml:space="preserve">working </w:t>
      </w:r>
      <w:r>
        <w:rPr>
          <w:rFonts w:ascii="Arial" w:hAnsi="Arial" w:cs="Arial"/>
          <w:sz w:val="24"/>
          <w:szCs w:val="24"/>
        </w:rPr>
        <w:t xml:space="preserve">at the </w:t>
      </w:r>
      <w:r w:rsidR="00BA58C8">
        <w:rPr>
          <w:rFonts w:ascii="Arial" w:hAnsi="Arial" w:cs="Arial"/>
          <w:sz w:val="24"/>
          <w:szCs w:val="24"/>
        </w:rPr>
        <w:t>F</w:t>
      </w:r>
      <w:r>
        <w:rPr>
          <w:rFonts w:ascii="Arial" w:hAnsi="Arial" w:cs="Arial"/>
          <w:sz w:val="24"/>
          <w:szCs w:val="24"/>
        </w:rPr>
        <w:t xml:space="preserve">aculty of Agriculture of the University of Mauritius then deposed as a witness for Co-Respondent No 2.  </w:t>
      </w:r>
      <w:r w:rsidR="00D2646C">
        <w:rPr>
          <w:rFonts w:ascii="Arial" w:hAnsi="Arial" w:cs="Arial"/>
          <w:sz w:val="24"/>
          <w:szCs w:val="24"/>
        </w:rPr>
        <w:t xml:space="preserve">He stated that the BSc Agriculture and BSc Horticulture </w:t>
      </w:r>
      <w:r w:rsidR="00BA58C8">
        <w:rPr>
          <w:rFonts w:ascii="Arial" w:hAnsi="Arial" w:cs="Arial"/>
          <w:sz w:val="24"/>
          <w:szCs w:val="24"/>
        </w:rPr>
        <w:t>from</w:t>
      </w:r>
      <w:r w:rsidR="00D2646C">
        <w:rPr>
          <w:rFonts w:ascii="Arial" w:hAnsi="Arial" w:cs="Arial"/>
          <w:sz w:val="24"/>
          <w:szCs w:val="24"/>
        </w:rPr>
        <w:t xml:space="preserve"> the University of Mauritius are not equivalent.  He added that in Horticulture you deal only with plants whilst in Agriculture, you deal with animal science and production and crop science and production.  He stated that there is a common first year for the two modules so that someone with </w:t>
      </w:r>
      <w:r w:rsidR="00981DC7">
        <w:rPr>
          <w:rFonts w:ascii="Arial" w:hAnsi="Arial" w:cs="Arial"/>
          <w:sz w:val="24"/>
          <w:szCs w:val="24"/>
        </w:rPr>
        <w:t>a</w:t>
      </w:r>
      <w:r w:rsidR="00D2646C">
        <w:rPr>
          <w:rFonts w:ascii="Arial" w:hAnsi="Arial" w:cs="Arial"/>
          <w:sz w:val="24"/>
          <w:szCs w:val="24"/>
        </w:rPr>
        <w:t xml:space="preserve"> BSc Horticulture </w:t>
      </w:r>
      <w:r w:rsidR="00981DC7">
        <w:rPr>
          <w:rFonts w:ascii="Arial" w:hAnsi="Arial" w:cs="Arial"/>
          <w:sz w:val="24"/>
          <w:szCs w:val="24"/>
        </w:rPr>
        <w:t xml:space="preserve">from the University of Mauritius </w:t>
      </w:r>
      <w:r w:rsidR="00D2646C">
        <w:rPr>
          <w:rFonts w:ascii="Arial" w:hAnsi="Arial" w:cs="Arial"/>
          <w:sz w:val="24"/>
          <w:szCs w:val="24"/>
        </w:rPr>
        <w:t xml:space="preserve">would cover part of animal science and production in the first year only. </w:t>
      </w:r>
    </w:p>
    <w:p w14:paraId="43B58496" w14:textId="51A365B9" w:rsidR="003A2DB9" w:rsidRDefault="00C77734" w:rsidP="00215B54">
      <w:pPr>
        <w:jc w:val="both"/>
        <w:rPr>
          <w:rFonts w:ascii="Arial" w:hAnsi="Arial" w:cs="Arial"/>
          <w:sz w:val="24"/>
          <w:szCs w:val="24"/>
        </w:rPr>
      </w:pPr>
      <w:r>
        <w:rPr>
          <w:rFonts w:ascii="Arial" w:hAnsi="Arial" w:cs="Arial"/>
          <w:sz w:val="24"/>
          <w:szCs w:val="24"/>
        </w:rPr>
        <w:t xml:space="preserve">Co-Respondent No 2 then deposed before the Tribunal and </w:t>
      </w:r>
      <w:r w:rsidR="00AD66F9">
        <w:rPr>
          <w:rFonts w:ascii="Arial" w:hAnsi="Arial" w:cs="Arial"/>
          <w:sz w:val="24"/>
          <w:szCs w:val="24"/>
        </w:rPr>
        <w:t xml:space="preserve">he stated that he joined the Respondent in January 2010. </w:t>
      </w:r>
      <w:r>
        <w:rPr>
          <w:rFonts w:ascii="Arial" w:hAnsi="Arial" w:cs="Arial"/>
          <w:sz w:val="24"/>
          <w:szCs w:val="24"/>
        </w:rPr>
        <w:t xml:space="preserve"> </w:t>
      </w:r>
      <w:r w:rsidR="00AD66F9">
        <w:rPr>
          <w:rFonts w:ascii="Arial" w:hAnsi="Arial" w:cs="Arial"/>
          <w:sz w:val="24"/>
          <w:szCs w:val="24"/>
        </w:rPr>
        <w:t xml:space="preserve">He graduated from the University of Mauritius in January 2002 with a BSc in Agriculture.  </w:t>
      </w:r>
      <w:r w:rsidR="008E36CA">
        <w:rPr>
          <w:rFonts w:ascii="Arial" w:hAnsi="Arial" w:cs="Arial"/>
          <w:sz w:val="24"/>
          <w:szCs w:val="24"/>
        </w:rPr>
        <w:t xml:space="preserve">He produced copies of his eligibility certificate to teach (Doc C) and degree certificate (Doc C1).  As from 2013, he was appointed as Head of Department.  He stated that a colleague </w:t>
      </w:r>
      <w:r w:rsidR="0021084E">
        <w:rPr>
          <w:rFonts w:ascii="Arial" w:hAnsi="Arial" w:cs="Arial"/>
          <w:sz w:val="24"/>
          <w:szCs w:val="24"/>
        </w:rPr>
        <w:t>resigned</w:t>
      </w:r>
      <w:r w:rsidR="008E36CA">
        <w:rPr>
          <w:rFonts w:ascii="Arial" w:hAnsi="Arial" w:cs="Arial"/>
          <w:sz w:val="24"/>
          <w:szCs w:val="24"/>
        </w:rPr>
        <w:t xml:space="preserve"> and he was proposed the post of Head of Department as he was already teaching in the mainstream and </w:t>
      </w:r>
      <w:r w:rsidR="00981DC7">
        <w:rPr>
          <w:rFonts w:ascii="Arial" w:hAnsi="Arial" w:cs="Arial"/>
          <w:sz w:val="24"/>
          <w:szCs w:val="24"/>
        </w:rPr>
        <w:t xml:space="preserve">his </w:t>
      </w:r>
      <w:r w:rsidR="008E36CA">
        <w:rPr>
          <w:rFonts w:ascii="Arial" w:hAnsi="Arial" w:cs="Arial"/>
          <w:sz w:val="24"/>
          <w:szCs w:val="24"/>
        </w:rPr>
        <w:t xml:space="preserve">two other colleagues </w:t>
      </w:r>
      <w:r w:rsidR="0021084E">
        <w:rPr>
          <w:rFonts w:ascii="Arial" w:hAnsi="Arial" w:cs="Arial"/>
          <w:sz w:val="24"/>
          <w:szCs w:val="24"/>
        </w:rPr>
        <w:t xml:space="preserve">(in the mainstream) </w:t>
      </w:r>
      <w:r w:rsidR="008E36CA">
        <w:rPr>
          <w:rFonts w:ascii="Arial" w:hAnsi="Arial" w:cs="Arial"/>
          <w:sz w:val="24"/>
          <w:szCs w:val="24"/>
        </w:rPr>
        <w:t xml:space="preserve">only joined Respondent after him.  He explained the duties of a Head of Department and stated that as Head of Department he relies mainly on the Cambridge O-level syllabus.  </w:t>
      </w:r>
      <w:r w:rsidR="006654CE">
        <w:rPr>
          <w:rFonts w:ascii="Arial" w:hAnsi="Arial" w:cs="Arial"/>
          <w:sz w:val="24"/>
          <w:szCs w:val="24"/>
        </w:rPr>
        <w:t xml:space="preserve">He produced a copy of the Cambridge O level syllabus for Agriculture (Doc D) and </w:t>
      </w:r>
      <w:r w:rsidR="00981DC7">
        <w:rPr>
          <w:rFonts w:ascii="Arial" w:hAnsi="Arial" w:cs="Arial"/>
          <w:sz w:val="24"/>
          <w:szCs w:val="24"/>
        </w:rPr>
        <w:t xml:space="preserve">a </w:t>
      </w:r>
      <w:r w:rsidR="006654CE">
        <w:rPr>
          <w:rFonts w:ascii="Arial" w:hAnsi="Arial" w:cs="Arial"/>
          <w:sz w:val="24"/>
          <w:szCs w:val="24"/>
        </w:rPr>
        <w:t xml:space="preserve">copy of his own student’s transcript at the University of Mauritius (Doc E).  </w:t>
      </w:r>
    </w:p>
    <w:p w14:paraId="4724ADC7" w14:textId="2DD3CF44" w:rsidR="00CB4883" w:rsidRDefault="003A2DB9" w:rsidP="00215B54">
      <w:pPr>
        <w:jc w:val="both"/>
        <w:rPr>
          <w:rFonts w:ascii="Arial" w:hAnsi="Arial" w:cs="Arial"/>
          <w:sz w:val="24"/>
          <w:szCs w:val="24"/>
        </w:rPr>
      </w:pPr>
      <w:r>
        <w:rPr>
          <w:rFonts w:ascii="Arial" w:hAnsi="Arial" w:cs="Arial"/>
          <w:sz w:val="24"/>
          <w:szCs w:val="24"/>
        </w:rPr>
        <w:t xml:space="preserve">The Tribunal has examined all the evidence on record including the submissions of all counsel.  </w:t>
      </w:r>
      <w:r w:rsidR="00096999">
        <w:rPr>
          <w:rFonts w:ascii="Arial" w:hAnsi="Arial" w:cs="Arial"/>
          <w:sz w:val="24"/>
          <w:szCs w:val="24"/>
        </w:rPr>
        <w:t xml:space="preserve">Counsel for Disputant referred to the terms of reference of the dispute and suggested that the Tribunal should not go beyond what is required as per the terms of reference and that the Tribunal only had to decide whether assignment of duties of Head of Department of Agriculture by the Manager of Respondent should be as per Recommendation 5 of the PRB Report </w:t>
      </w:r>
      <w:r w:rsidR="00CB4883">
        <w:rPr>
          <w:rFonts w:ascii="Arial" w:hAnsi="Arial" w:cs="Arial"/>
          <w:sz w:val="24"/>
          <w:szCs w:val="24"/>
        </w:rPr>
        <w:t xml:space="preserve">2016 </w:t>
      </w:r>
      <w:r w:rsidR="00096999">
        <w:rPr>
          <w:rFonts w:ascii="Arial" w:hAnsi="Arial" w:cs="Arial"/>
          <w:sz w:val="24"/>
          <w:szCs w:val="24"/>
        </w:rPr>
        <w:t>or seniority reckoned</w:t>
      </w:r>
      <w:r w:rsidR="003448C5">
        <w:rPr>
          <w:rFonts w:ascii="Arial" w:hAnsi="Arial" w:cs="Arial"/>
          <w:sz w:val="24"/>
          <w:szCs w:val="24"/>
        </w:rPr>
        <w:t xml:space="preserve"> as from the date of joining the mainstream according to the letter of Co-Respondent No 1 Ref ST/33/87 Vol. 15.  The Tribunal allowed evidence which could shed light on the dispute.  Indeed, the said letter of Co-Respondent No 1 bearing reference ST/33/87 Vol. 15</w:t>
      </w:r>
      <w:r w:rsidR="00FE2BC7">
        <w:rPr>
          <w:rFonts w:ascii="Arial" w:hAnsi="Arial" w:cs="Arial"/>
          <w:sz w:val="24"/>
          <w:szCs w:val="24"/>
        </w:rPr>
        <w:t xml:space="preserve"> (Annex 9 to the Statement of Case of Disputant) </w:t>
      </w:r>
      <w:r w:rsidR="00A24139">
        <w:rPr>
          <w:rFonts w:ascii="Arial" w:hAnsi="Arial" w:cs="Arial"/>
          <w:sz w:val="24"/>
          <w:szCs w:val="24"/>
        </w:rPr>
        <w:t xml:space="preserve">is in reply </w:t>
      </w:r>
      <w:r w:rsidR="00FE2BC7">
        <w:rPr>
          <w:rFonts w:ascii="Arial" w:hAnsi="Arial" w:cs="Arial"/>
          <w:sz w:val="24"/>
          <w:szCs w:val="24"/>
        </w:rPr>
        <w:t xml:space="preserve">to a letter dated 30 June 2021 emanating from </w:t>
      </w:r>
      <w:r w:rsidR="00A24139">
        <w:rPr>
          <w:rFonts w:ascii="Arial" w:hAnsi="Arial" w:cs="Arial"/>
          <w:sz w:val="24"/>
          <w:szCs w:val="24"/>
        </w:rPr>
        <w:t>Respondent and refers essentially to Disputant and Co-Respondent No 2.</w:t>
      </w:r>
      <w:r w:rsidR="00BE684A">
        <w:rPr>
          <w:rFonts w:ascii="Arial" w:hAnsi="Arial" w:cs="Arial"/>
          <w:sz w:val="24"/>
          <w:szCs w:val="24"/>
        </w:rPr>
        <w:t xml:space="preserve">  Also, the Tribunal has ruled in several cases (</w:t>
      </w:r>
      <w:r w:rsidR="006E7039" w:rsidRPr="006E7039">
        <w:rPr>
          <w:rFonts w:ascii="Arial" w:hAnsi="Arial" w:cs="Arial"/>
          <w:b/>
          <w:sz w:val="24"/>
          <w:szCs w:val="24"/>
        </w:rPr>
        <w:t xml:space="preserve">vide Mr Ugadiran Mooneeapen </w:t>
      </w:r>
      <w:r w:rsidR="00C129A0">
        <w:rPr>
          <w:rFonts w:ascii="Arial" w:hAnsi="Arial" w:cs="Arial"/>
          <w:b/>
          <w:sz w:val="24"/>
          <w:szCs w:val="24"/>
        </w:rPr>
        <w:t>A</w:t>
      </w:r>
      <w:r w:rsidR="006E7039" w:rsidRPr="006E7039">
        <w:rPr>
          <w:rFonts w:ascii="Arial" w:hAnsi="Arial" w:cs="Arial"/>
          <w:b/>
          <w:sz w:val="24"/>
          <w:szCs w:val="24"/>
        </w:rPr>
        <w:t>nd Mauritius Institute of Training and Development, ERT/RN 35/12</w:t>
      </w:r>
      <w:r w:rsidR="006E7039">
        <w:rPr>
          <w:rFonts w:ascii="Arial" w:hAnsi="Arial" w:cs="Arial"/>
          <w:b/>
          <w:sz w:val="24"/>
          <w:szCs w:val="24"/>
        </w:rPr>
        <w:t>;</w:t>
      </w:r>
      <w:r w:rsidR="006E7039" w:rsidRPr="006E7039">
        <w:rPr>
          <w:rFonts w:ascii="Arial" w:hAnsi="Arial" w:cs="Arial"/>
          <w:b/>
          <w:sz w:val="24"/>
          <w:szCs w:val="24"/>
        </w:rPr>
        <w:t xml:space="preserve"> Mr Abdool Rashid Johar </w:t>
      </w:r>
      <w:r w:rsidR="00C129A0">
        <w:rPr>
          <w:rFonts w:ascii="Arial" w:hAnsi="Arial" w:cs="Arial"/>
          <w:b/>
          <w:sz w:val="24"/>
          <w:szCs w:val="24"/>
        </w:rPr>
        <w:t>A</w:t>
      </w:r>
      <w:r w:rsidR="006E7039" w:rsidRPr="006E7039">
        <w:rPr>
          <w:rFonts w:ascii="Arial" w:hAnsi="Arial" w:cs="Arial"/>
          <w:b/>
          <w:sz w:val="24"/>
          <w:szCs w:val="24"/>
        </w:rPr>
        <w:t>nd Cargo Handling Corporation Ltd ERT/RN 93/12</w:t>
      </w:r>
      <w:r w:rsidR="006E7039">
        <w:t xml:space="preserve"> </w:t>
      </w:r>
      <w:r w:rsidR="006E7039" w:rsidRPr="006E7039">
        <w:rPr>
          <w:rFonts w:ascii="Arial" w:hAnsi="Arial" w:cs="Arial"/>
          <w:sz w:val="24"/>
          <w:szCs w:val="24"/>
        </w:rPr>
        <w:t xml:space="preserve">and </w:t>
      </w:r>
      <w:r w:rsidR="006E7039" w:rsidRPr="006E7039">
        <w:rPr>
          <w:rFonts w:ascii="Arial" w:hAnsi="Arial" w:cs="Arial"/>
          <w:b/>
          <w:sz w:val="24"/>
          <w:szCs w:val="24"/>
        </w:rPr>
        <w:t>Mr Yousouf Ibne Abdulla Cheddy And Ministry of Labour, Industrial Relations, Employment &amp; Training</w:t>
      </w:r>
      <w:r w:rsidR="006E7039">
        <w:rPr>
          <w:rFonts w:ascii="Arial" w:hAnsi="Arial" w:cs="Arial"/>
          <w:b/>
          <w:sz w:val="24"/>
          <w:szCs w:val="24"/>
        </w:rPr>
        <w:t xml:space="preserve">, </w:t>
      </w:r>
      <w:r w:rsidR="006E7039" w:rsidRPr="006E7039">
        <w:rPr>
          <w:rFonts w:ascii="Arial" w:hAnsi="Arial" w:cs="Arial"/>
          <w:b/>
          <w:sz w:val="24"/>
          <w:szCs w:val="24"/>
        </w:rPr>
        <w:t>ERT/RN 120/15</w:t>
      </w:r>
      <w:r w:rsidR="00BE684A">
        <w:rPr>
          <w:rFonts w:ascii="Arial" w:hAnsi="Arial" w:cs="Arial"/>
          <w:sz w:val="24"/>
          <w:szCs w:val="24"/>
        </w:rPr>
        <w:t xml:space="preserve">) that it does not </w:t>
      </w:r>
      <w:r w:rsidR="006E7039">
        <w:rPr>
          <w:rFonts w:ascii="Arial" w:hAnsi="Arial" w:cs="Arial"/>
          <w:sz w:val="24"/>
          <w:szCs w:val="24"/>
        </w:rPr>
        <w:t>generally give</w:t>
      </w:r>
      <w:r w:rsidR="00BE684A">
        <w:rPr>
          <w:rFonts w:ascii="Arial" w:hAnsi="Arial" w:cs="Arial"/>
          <w:sz w:val="24"/>
          <w:szCs w:val="24"/>
        </w:rPr>
        <w:t xml:space="preserve"> declaratory awards.  Indeed, the Tribunal </w:t>
      </w:r>
      <w:r w:rsidR="00BE684A">
        <w:rPr>
          <w:rFonts w:ascii="Arial" w:hAnsi="Arial" w:cs="Arial"/>
          <w:sz w:val="24"/>
          <w:szCs w:val="24"/>
        </w:rPr>
        <w:lastRenderedPageBreak/>
        <w:t>deals with practical issues and delivers awards which shall</w:t>
      </w:r>
      <w:r w:rsidR="00B67B2D">
        <w:rPr>
          <w:rFonts w:ascii="Arial" w:hAnsi="Arial" w:cs="Arial"/>
          <w:sz w:val="24"/>
          <w:szCs w:val="24"/>
        </w:rPr>
        <w:t>, as per section 72(1) of the Act,</w:t>
      </w:r>
      <w:r w:rsidR="00BE684A">
        <w:rPr>
          <w:rFonts w:ascii="Arial" w:hAnsi="Arial" w:cs="Arial"/>
          <w:sz w:val="24"/>
          <w:szCs w:val="24"/>
        </w:rPr>
        <w:t xml:space="preserve"> be published in the Gazette and shall take effect on the date of </w:t>
      </w:r>
      <w:r w:rsidR="00B67B2D">
        <w:rPr>
          <w:rFonts w:ascii="Arial" w:hAnsi="Arial" w:cs="Arial"/>
          <w:sz w:val="24"/>
          <w:szCs w:val="24"/>
        </w:rPr>
        <w:t>their</w:t>
      </w:r>
      <w:r w:rsidR="00BE684A">
        <w:rPr>
          <w:rFonts w:ascii="Arial" w:hAnsi="Arial" w:cs="Arial"/>
          <w:sz w:val="24"/>
          <w:szCs w:val="24"/>
        </w:rPr>
        <w:t xml:space="preserve"> publication in the Gazette (unless the award</w:t>
      </w:r>
      <w:r w:rsidR="00B67B2D">
        <w:rPr>
          <w:rFonts w:ascii="Arial" w:hAnsi="Arial" w:cs="Arial"/>
          <w:sz w:val="24"/>
          <w:szCs w:val="24"/>
        </w:rPr>
        <w:t>s</w:t>
      </w:r>
      <w:r w:rsidR="00BE684A">
        <w:rPr>
          <w:rFonts w:ascii="Arial" w:hAnsi="Arial" w:cs="Arial"/>
          <w:sz w:val="24"/>
          <w:szCs w:val="24"/>
        </w:rPr>
        <w:t xml:space="preserve"> expressly provide </w:t>
      </w:r>
      <w:r w:rsidR="00CB4883">
        <w:rPr>
          <w:rFonts w:ascii="Arial" w:hAnsi="Arial" w:cs="Arial"/>
          <w:sz w:val="24"/>
          <w:szCs w:val="24"/>
        </w:rPr>
        <w:t>otherwise</w:t>
      </w:r>
      <w:r w:rsidR="00BE684A">
        <w:rPr>
          <w:rFonts w:ascii="Arial" w:hAnsi="Arial" w:cs="Arial"/>
          <w:sz w:val="24"/>
          <w:szCs w:val="24"/>
        </w:rPr>
        <w:t xml:space="preserve">).  </w:t>
      </w:r>
      <w:r w:rsidR="009B52C4">
        <w:rPr>
          <w:rFonts w:ascii="Arial" w:hAnsi="Arial" w:cs="Arial"/>
          <w:sz w:val="24"/>
          <w:szCs w:val="24"/>
        </w:rPr>
        <w:t>The rationale for publication of an award of the Tribunal in the Gazette can be gathered from section 72(1)(e) of the Act which provides that in respect of an award under sections 56(5) and 70(1) (which is the case here), (3) and (4)</w:t>
      </w:r>
      <w:r w:rsidR="003161A4">
        <w:rPr>
          <w:rFonts w:ascii="Arial" w:hAnsi="Arial" w:cs="Arial"/>
          <w:sz w:val="24"/>
          <w:szCs w:val="24"/>
        </w:rPr>
        <w:t xml:space="preserve">, the award shall be an implied term of every contract of employment between workers and employers to whom the award applies.  </w:t>
      </w:r>
    </w:p>
    <w:p w14:paraId="04D4DE3F" w14:textId="01A67354" w:rsidR="0069747F" w:rsidRDefault="00CB4883" w:rsidP="00215B54">
      <w:pPr>
        <w:jc w:val="both"/>
        <w:rPr>
          <w:rFonts w:ascii="Arial" w:hAnsi="Arial" w:cs="Arial"/>
          <w:sz w:val="24"/>
          <w:szCs w:val="24"/>
        </w:rPr>
      </w:pPr>
      <w:r>
        <w:rPr>
          <w:rFonts w:ascii="Arial" w:hAnsi="Arial" w:cs="Arial"/>
          <w:sz w:val="24"/>
          <w:szCs w:val="24"/>
        </w:rPr>
        <w:t>The terms of reference, as worded, indeed</w:t>
      </w:r>
      <w:r w:rsidR="00047798">
        <w:rPr>
          <w:rFonts w:ascii="Arial" w:hAnsi="Arial" w:cs="Arial"/>
          <w:sz w:val="24"/>
          <w:szCs w:val="24"/>
        </w:rPr>
        <w:t xml:space="preserve">, do not allow for an award which shall be an implied term of the contract of employment of </w:t>
      </w:r>
      <w:r w:rsidR="00C129A0">
        <w:rPr>
          <w:rFonts w:ascii="Arial" w:hAnsi="Arial" w:cs="Arial"/>
          <w:sz w:val="24"/>
          <w:szCs w:val="24"/>
        </w:rPr>
        <w:t xml:space="preserve">the </w:t>
      </w:r>
      <w:r w:rsidR="00047798">
        <w:rPr>
          <w:rFonts w:ascii="Arial" w:hAnsi="Arial" w:cs="Arial"/>
          <w:sz w:val="24"/>
          <w:szCs w:val="24"/>
        </w:rPr>
        <w:t xml:space="preserve">Disputant.  An award with the said terms of reference will be of a declaratory nature.  However, there is more to it and the terms of reference include </w:t>
      </w:r>
      <w:r w:rsidR="004F54C6">
        <w:rPr>
          <w:rFonts w:ascii="Arial" w:hAnsi="Arial" w:cs="Arial"/>
          <w:sz w:val="24"/>
          <w:szCs w:val="24"/>
        </w:rPr>
        <w:t>an</w:t>
      </w:r>
      <w:r w:rsidR="00047798">
        <w:rPr>
          <w:rFonts w:ascii="Arial" w:hAnsi="Arial" w:cs="Arial"/>
          <w:sz w:val="24"/>
          <w:szCs w:val="24"/>
        </w:rPr>
        <w:t xml:space="preserve"> assumption that the two propositions are mutually exclusive</w:t>
      </w:r>
      <w:r w:rsidR="00C129A0">
        <w:rPr>
          <w:rFonts w:ascii="Arial" w:hAnsi="Arial" w:cs="Arial"/>
          <w:sz w:val="24"/>
          <w:szCs w:val="24"/>
        </w:rPr>
        <w:t xml:space="preserve"> (and which may not necessarily be the case)</w:t>
      </w:r>
      <w:r w:rsidR="00047798">
        <w:rPr>
          <w:rFonts w:ascii="Arial" w:hAnsi="Arial" w:cs="Arial"/>
          <w:sz w:val="24"/>
          <w:szCs w:val="24"/>
        </w:rPr>
        <w:t xml:space="preserve">.  Also, an award </w:t>
      </w:r>
      <w:r w:rsidR="0014180E">
        <w:rPr>
          <w:rFonts w:ascii="Arial" w:hAnsi="Arial" w:cs="Arial"/>
          <w:sz w:val="24"/>
          <w:szCs w:val="24"/>
        </w:rPr>
        <w:t xml:space="preserve">delivered following </w:t>
      </w:r>
      <w:r w:rsidR="00D50876">
        <w:rPr>
          <w:rFonts w:ascii="Arial" w:hAnsi="Arial" w:cs="Arial"/>
          <w:sz w:val="24"/>
          <w:szCs w:val="24"/>
        </w:rPr>
        <w:t xml:space="preserve">strictly </w:t>
      </w:r>
      <w:r w:rsidR="00047798">
        <w:rPr>
          <w:rFonts w:ascii="Arial" w:hAnsi="Arial" w:cs="Arial"/>
          <w:sz w:val="24"/>
          <w:szCs w:val="24"/>
        </w:rPr>
        <w:t xml:space="preserve">the </w:t>
      </w:r>
      <w:r w:rsidR="0014180E">
        <w:rPr>
          <w:rFonts w:ascii="Arial" w:hAnsi="Arial" w:cs="Arial"/>
          <w:sz w:val="24"/>
          <w:szCs w:val="24"/>
        </w:rPr>
        <w:t xml:space="preserve">present </w:t>
      </w:r>
      <w:r w:rsidR="00047798">
        <w:rPr>
          <w:rFonts w:ascii="Arial" w:hAnsi="Arial" w:cs="Arial"/>
          <w:sz w:val="24"/>
          <w:szCs w:val="24"/>
        </w:rPr>
        <w:t>ter</w:t>
      </w:r>
      <w:r w:rsidR="0014180E">
        <w:rPr>
          <w:rFonts w:ascii="Arial" w:hAnsi="Arial" w:cs="Arial"/>
          <w:sz w:val="24"/>
          <w:szCs w:val="24"/>
        </w:rPr>
        <w:t xml:space="preserve">ms of reference </w:t>
      </w:r>
      <w:r w:rsidR="00D50876">
        <w:rPr>
          <w:rFonts w:ascii="Arial" w:hAnsi="Arial" w:cs="Arial"/>
          <w:sz w:val="24"/>
          <w:szCs w:val="24"/>
        </w:rPr>
        <w:t>(</w:t>
      </w:r>
      <w:r w:rsidR="00713DEE">
        <w:rPr>
          <w:rFonts w:ascii="Arial" w:hAnsi="Arial" w:cs="Arial"/>
          <w:sz w:val="24"/>
          <w:szCs w:val="24"/>
        </w:rPr>
        <w:t xml:space="preserve">an award which </w:t>
      </w:r>
      <w:r w:rsidR="00884C5C">
        <w:rPr>
          <w:rFonts w:ascii="Arial" w:hAnsi="Arial" w:cs="Arial"/>
          <w:sz w:val="24"/>
          <w:szCs w:val="24"/>
        </w:rPr>
        <w:t xml:space="preserve">otherwise </w:t>
      </w:r>
      <w:r w:rsidR="00713DEE">
        <w:rPr>
          <w:rFonts w:ascii="Arial" w:hAnsi="Arial" w:cs="Arial"/>
          <w:sz w:val="24"/>
          <w:szCs w:val="24"/>
        </w:rPr>
        <w:t xml:space="preserve">goes outside the terms of reference will be </w:t>
      </w:r>
      <w:r w:rsidR="00D50876" w:rsidRPr="00D50876">
        <w:rPr>
          <w:rFonts w:ascii="Arial" w:hAnsi="Arial" w:cs="Arial"/>
          <w:i/>
          <w:sz w:val="24"/>
          <w:szCs w:val="24"/>
        </w:rPr>
        <w:t>ultra petita</w:t>
      </w:r>
      <w:r w:rsidR="00713DEE">
        <w:rPr>
          <w:rFonts w:ascii="Arial" w:hAnsi="Arial" w:cs="Arial"/>
          <w:i/>
          <w:sz w:val="24"/>
          <w:szCs w:val="24"/>
        </w:rPr>
        <w:t xml:space="preserve"> </w:t>
      </w:r>
      <w:r w:rsidR="00713DEE" w:rsidRPr="00713DEE">
        <w:rPr>
          <w:rFonts w:ascii="Arial" w:hAnsi="Arial" w:cs="Arial"/>
          <w:sz w:val="24"/>
          <w:szCs w:val="24"/>
        </w:rPr>
        <w:t>and</w:t>
      </w:r>
      <w:r w:rsidR="00713DEE">
        <w:rPr>
          <w:rFonts w:ascii="Arial" w:hAnsi="Arial" w:cs="Arial"/>
          <w:i/>
          <w:sz w:val="24"/>
          <w:szCs w:val="24"/>
        </w:rPr>
        <w:t xml:space="preserve"> </w:t>
      </w:r>
      <w:r w:rsidR="00713DEE">
        <w:rPr>
          <w:rFonts w:ascii="Arial" w:hAnsi="Arial" w:cs="Arial"/>
          <w:sz w:val="24"/>
          <w:szCs w:val="24"/>
        </w:rPr>
        <w:t>may be quashed</w:t>
      </w:r>
      <w:r w:rsidR="00D50876">
        <w:rPr>
          <w:rFonts w:ascii="Arial" w:hAnsi="Arial" w:cs="Arial"/>
          <w:sz w:val="24"/>
          <w:szCs w:val="24"/>
        </w:rPr>
        <w:t xml:space="preserve">, </w:t>
      </w:r>
      <w:r w:rsidR="00D50876" w:rsidRPr="00713DEE">
        <w:rPr>
          <w:rFonts w:ascii="Arial" w:hAnsi="Arial" w:cs="Arial"/>
          <w:i/>
          <w:sz w:val="24"/>
          <w:szCs w:val="24"/>
        </w:rPr>
        <w:t>vide</w:t>
      </w:r>
      <w:r w:rsidR="00D50876">
        <w:rPr>
          <w:rFonts w:ascii="Arial" w:hAnsi="Arial" w:cs="Arial"/>
          <w:sz w:val="24"/>
          <w:szCs w:val="24"/>
        </w:rPr>
        <w:t xml:space="preserve"> </w:t>
      </w:r>
      <w:r w:rsidR="004F54C6" w:rsidRPr="004F54C6">
        <w:rPr>
          <w:rFonts w:ascii="Arial" w:hAnsi="Arial" w:cs="Arial"/>
          <w:b/>
          <w:sz w:val="24"/>
          <w:szCs w:val="24"/>
        </w:rPr>
        <w:t>S.Baccus &amp; Ors vs. The Permanent Arbitration Tribunal 1986 MR 272</w:t>
      </w:r>
      <w:r w:rsidR="004F54C6">
        <w:rPr>
          <w:rFonts w:ascii="Arial" w:hAnsi="Arial" w:cs="Arial"/>
          <w:sz w:val="24"/>
          <w:szCs w:val="24"/>
        </w:rPr>
        <w:t>)</w:t>
      </w:r>
      <w:r w:rsidR="00D50876">
        <w:rPr>
          <w:rFonts w:ascii="Arial" w:hAnsi="Arial" w:cs="Arial"/>
          <w:sz w:val="24"/>
          <w:szCs w:val="24"/>
        </w:rPr>
        <w:t xml:space="preserve"> </w:t>
      </w:r>
      <w:r w:rsidR="0014180E">
        <w:rPr>
          <w:rFonts w:ascii="Arial" w:hAnsi="Arial" w:cs="Arial"/>
          <w:sz w:val="24"/>
          <w:szCs w:val="24"/>
        </w:rPr>
        <w:t xml:space="preserve">may be futile since the term “on a seniority basis in the respective Private Secondary Schools and in the grade” as used in Recommendation 5 of the </w:t>
      </w:r>
      <w:r w:rsidR="00D50876">
        <w:rPr>
          <w:rFonts w:ascii="Arial" w:hAnsi="Arial" w:cs="Arial"/>
          <w:sz w:val="24"/>
          <w:szCs w:val="24"/>
        </w:rPr>
        <w:t xml:space="preserve">PRB Report 2016 (Volume 2, Part II) </w:t>
      </w:r>
      <w:r w:rsidR="00713DEE">
        <w:rPr>
          <w:rFonts w:ascii="Arial" w:hAnsi="Arial" w:cs="Arial"/>
          <w:sz w:val="24"/>
          <w:szCs w:val="24"/>
        </w:rPr>
        <w:t>may</w:t>
      </w:r>
      <w:r w:rsidR="0014180E">
        <w:rPr>
          <w:rFonts w:ascii="Arial" w:hAnsi="Arial" w:cs="Arial"/>
          <w:sz w:val="24"/>
          <w:szCs w:val="24"/>
        </w:rPr>
        <w:t xml:space="preserve"> still need to be</w:t>
      </w:r>
      <w:r w:rsidR="00D50876">
        <w:rPr>
          <w:rFonts w:ascii="Arial" w:hAnsi="Arial" w:cs="Arial"/>
          <w:sz w:val="24"/>
          <w:szCs w:val="24"/>
        </w:rPr>
        <w:t xml:space="preserve"> interpreted.  Indeed, for the purposes of assignment of duties of Head of Department, </w:t>
      </w:r>
      <w:r w:rsidR="00884C5C">
        <w:rPr>
          <w:rFonts w:ascii="Arial" w:hAnsi="Arial" w:cs="Arial"/>
          <w:sz w:val="24"/>
          <w:szCs w:val="24"/>
        </w:rPr>
        <w:t>the</w:t>
      </w:r>
      <w:r w:rsidR="00D50876">
        <w:rPr>
          <w:rFonts w:ascii="Arial" w:hAnsi="Arial" w:cs="Arial"/>
          <w:sz w:val="24"/>
          <w:szCs w:val="24"/>
        </w:rPr>
        <w:t xml:space="preserve"> said Recommendation 5 </w:t>
      </w:r>
      <w:r w:rsidR="00884C5C">
        <w:rPr>
          <w:rFonts w:ascii="Arial" w:hAnsi="Arial" w:cs="Arial"/>
          <w:sz w:val="24"/>
          <w:szCs w:val="24"/>
        </w:rPr>
        <w:t>cannot be</w:t>
      </w:r>
      <w:r w:rsidR="00D50876">
        <w:rPr>
          <w:rFonts w:ascii="Arial" w:hAnsi="Arial" w:cs="Arial"/>
          <w:sz w:val="24"/>
          <w:szCs w:val="24"/>
        </w:rPr>
        <w:t xml:space="preserve"> considered as standing alone</w:t>
      </w:r>
      <w:r w:rsidR="00884C5C">
        <w:rPr>
          <w:rFonts w:ascii="Arial" w:hAnsi="Arial" w:cs="Arial"/>
          <w:sz w:val="24"/>
          <w:szCs w:val="24"/>
        </w:rPr>
        <w:t xml:space="preserve"> (though we bear in mind that the Recommendation provides that assignment of duties should “continue to be made”)</w:t>
      </w:r>
      <w:r w:rsidR="00D50876">
        <w:rPr>
          <w:rFonts w:ascii="Arial" w:hAnsi="Arial" w:cs="Arial"/>
          <w:sz w:val="24"/>
          <w:szCs w:val="24"/>
        </w:rPr>
        <w:t xml:space="preserve">, </w:t>
      </w:r>
      <w:r w:rsidR="00884C5C">
        <w:rPr>
          <w:rFonts w:ascii="Arial" w:hAnsi="Arial" w:cs="Arial"/>
          <w:sz w:val="24"/>
          <w:szCs w:val="24"/>
        </w:rPr>
        <w:t xml:space="preserve">and </w:t>
      </w:r>
      <w:r w:rsidR="008D3F86">
        <w:rPr>
          <w:rFonts w:ascii="Arial" w:hAnsi="Arial" w:cs="Arial"/>
          <w:sz w:val="24"/>
          <w:szCs w:val="24"/>
        </w:rPr>
        <w:t xml:space="preserve">should </w:t>
      </w:r>
      <w:r w:rsidR="00884C5C">
        <w:rPr>
          <w:rFonts w:ascii="Arial" w:hAnsi="Arial" w:cs="Arial"/>
          <w:sz w:val="24"/>
          <w:szCs w:val="24"/>
        </w:rPr>
        <w:t xml:space="preserve">necessarily </w:t>
      </w:r>
      <w:r w:rsidR="008D3F86">
        <w:rPr>
          <w:rFonts w:ascii="Arial" w:hAnsi="Arial" w:cs="Arial"/>
          <w:sz w:val="24"/>
          <w:szCs w:val="24"/>
        </w:rPr>
        <w:t xml:space="preserve">be interpreted so that, for example, </w:t>
      </w:r>
      <w:r w:rsidR="00120E82">
        <w:rPr>
          <w:rFonts w:ascii="Arial" w:hAnsi="Arial" w:cs="Arial"/>
          <w:sz w:val="24"/>
          <w:szCs w:val="24"/>
        </w:rPr>
        <w:t xml:space="preserve">two or more Educators (Private Secondary Schools) teaching, say, Mathematics may </w:t>
      </w:r>
      <w:r w:rsidR="008D3F86">
        <w:rPr>
          <w:rFonts w:ascii="Arial" w:hAnsi="Arial" w:cs="Arial"/>
          <w:sz w:val="24"/>
          <w:szCs w:val="24"/>
        </w:rPr>
        <w:t xml:space="preserve">not be </w:t>
      </w:r>
      <w:r w:rsidR="00120E82">
        <w:rPr>
          <w:rFonts w:ascii="Arial" w:hAnsi="Arial" w:cs="Arial"/>
          <w:sz w:val="24"/>
          <w:szCs w:val="24"/>
        </w:rPr>
        <w:t>assigned duties of Heads of Department</w:t>
      </w:r>
      <w:r w:rsidR="008D3F86">
        <w:rPr>
          <w:rFonts w:ascii="Arial" w:hAnsi="Arial" w:cs="Arial"/>
          <w:sz w:val="24"/>
          <w:szCs w:val="24"/>
        </w:rPr>
        <w:t>s because of their seniority in Collège de la Confiance in the grade of Educators (Private Secondary Schools).</w:t>
      </w:r>
      <w:r w:rsidR="00120E82">
        <w:rPr>
          <w:rFonts w:ascii="Arial" w:hAnsi="Arial" w:cs="Arial"/>
          <w:sz w:val="24"/>
          <w:szCs w:val="24"/>
        </w:rPr>
        <w:t xml:space="preserve">  ‘Seniority in the respective Private Secondary Schools and in the grade’ is </w:t>
      </w:r>
      <w:r w:rsidR="00DB5D9F">
        <w:rPr>
          <w:rFonts w:ascii="Arial" w:hAnsi="Arial" w:cs="Arial"/>
          <w:sz w:val="24"/>
          <w:szCs w:val="24"/>
        </w:rPr>
        <w:t xml:space="preserve">certainly </w:t>
      </w:r>
      <w:r w:rsidR="00120E82">
        <w:rPr>
          <w:rFonts w:ascii="Arial" w:hAnsi="Arial" w:cs="Arial"/>
          <w:sz w:val="24"/>
          <w:szCs w:val="24"/>
        </w:rPr>
        <w:t xml:space="preserve">not enough and there are </w:t>
      </w:r>
      <w:r w:rsidR="00DB5D9F">
        <w:rPr>
          <w:rFonts w:ascii="Arial" w:hAnsi="Arial" w:cs="Arial"/>
          <w:sz w:val="24"/>
          <w:szCs w:val="24"/>
        </w:rPr>
        <w:t xml:space="preserve">necessarily </w:t>
      </w:r>
      <w:r w:rsidR="00120E82">
        <w:rPr>
          <w:rFonts w:ascii="Arial" w:hAnsi="Arial" w:cs="Arial"/>
          <w:sz w:val="24"/>
          <w:szCs w:val="24"/>
        </w:rPr>
        <w:t xml:space="preserve">implied conditions such as </w:t>
      </w:r>
      <w:r w:rsidR="00DB5D9F">
        <w:rPr>
          <w:rFonts w:ascii="Arial" w:hAnsi="Arial" w:cs="Arial"/>
          <w:sz w:val="24"/>
          <w:szCs w:val="24"/>
        </w:rPr>
        <w:t xml:space="preserve">that an Educator (Private Secondary Schools) cannot be assigned duties of Head of Department, irrespective of seniority, if he is not teaching subjects concerned with that Department.  Now, where does one stop?  Can the Manager of the Private </w:t>
      </w:r>
      <w:r w:rsidR="0069747F">
        <w:rPr>
          <w:rFonts w:ascii="Arial" w:hAnsi="Arial" w:cs="Arial"/>
          <w:sz w:val="24"/>
          <w:szCs w:val="24"/>
        </w:rPr>
        <w:t>Secondary School</w:t>
      </w:r>
      <w:r w:rsidR="00DB5D9F">
        <w:rPr>
          <w:rFonts w:ascii="Arial" w:hAnsi="Arial" w:cs="Arial"/>
          <w:sz w:val="24"/>
          <w:szCs w:val="24"/>
        </w:rPr>
        <w:t xml:space="preserve"> </w:t>
      </w:r>
      <w:r w:rsidR="0069747F">
        <w:rPr>
          <w:rFonts w:ascii="Arial" w:hAnsi="Arial" w:cs="Arial"/>
          <w:sz w:val="24"/>
          <w:szCs w:val="24"/>
        </w:rPr>
        <w:t xml:space="preserve">assign duties </w:t>
      </w:r>
      <w:r w:rsidR="0004780C">
        <w:rPr>
          <w:rFonts w:ascii="Arial" w:hAnsi="Arial" w:cs="Arial"/>
          <w:sz w:val="24"/>
          <w:szCs w:val="24"/>
        </w:rPr>
        <w:t xml:space="preserve">(against payment of a headship allowance) </w:t>
      </w:r>
      <w:r w:rsidR="0069747F">
        <w:rPr>
          <w:rFonts w:ascii="Arial" w:hAnsi="Arial" w:cs="Arial"/>
          <w:sz w:val="24"/>
          <w:szCs w:val="24"/>
        </w:rPr>
        <w:t>of Head of Department of English Language, Head of Department of Literature in English and Head of Department of English General Paper?  The answer w</w:t>
      </w:r>
      <w:r w:rsidR="004B4641">
        <w:rPr>
          <w:rFonts w:ascii="Arial" w:hAnsi="Arial" w:cs="Arial"/>
          <w:sz w:val="24"/>
          <w:szCs w:val="24"/>
        </w:rPr>
        <w:t>ill</w:t>
      </w:r>
      <w:r w:rsidR="0069747F">
        <w:rPr>
          <w:rFonts w:ascii="Arial" w:hAnsi="Arial" w:cs="Arial"/>
          <w:sz w:val="24"/>
          <w:szCs w:val="24"/>
        </w:rPr>
        <w:t xml:space="preserve"> be found elsewhere and will depend on guidelines prepared by Co-Respondent No 1 (vide Annex 2 to Doc B).  </w:t>
      </w:r>
    </w:p>
    <w:p w14:paraId="164EDF2C" w14:textId="77777777" w:rsidR="00AA4316" w:rsidRDefault="008F0006" w:rsidP="00AA4316">
      <w:pPr>
        <w:jc w:val="both"/>
        <w:rPr>
          <w:rFonts w:ascii="Arial" w:hAnsi="Arial" w:cs="Arial"/>
          <w:sz w:val="24"/>
          <w:szCs w:val="24"/>
        </w:rPr>
      </w:pPr>
      <w:r>
        <w:rPr>
          <w:rFonts w:ascii="Arial" w:hAnsi="Arial" w:cs="Arial"/>
          <w:sz w:val="24"/>
          <w:szCs w:val="24"/>
        </w:rPr>
        <w:t xml:space="preserve">The Tribunal will refer to </w:t>
      </w:r>
      <w:r w:rsidR="00AA4316">
        <w:rPr>
          <w:rFonts w:ascii="Arial" w:hAnsi="Arial" w:cs="Arial"/>
          <w:sz w:val="24"/>
          <w:szCs w:val="24"/>
        </w:rPr>
        <w:t>T</w:t>
      </w:r>
      <w:r>
        <w:rPr>
          <w:rFonts w:ascii="Arial" w:hAnsi="Arial" w:cs="Arial"/>
          <w:sz w:val="24"/>
          <w:szCs w:val="24"/>
        </w:rPr>
        <w:t xml:space="preserve">he </w:t>
      </w:r>
      <w:r w:rsidR="00AA4316">
        <w:rPr>
          <w:rFonts w:ascii="Arial" w:hAnsi="Arial" w:cs="Arial"/>
          <w:sz w:val="24"/>
          <w:szCs w:val="24"/>
        </w:rPr>
        <w:t>Private Secondary Education Authority Act, as amended which provides as follows:</w:t>
      </w:r>
    </w:p>
    <w:p w14:paraId="444F1B48" w14:textId="6AD4665C" w:rsidR="00C14DCF" w:rsidRPr="008F0006" w:rsidRDefault="00617A57" w:rsidP="00AA4316">
      <w:pPr>
        <w:jc w:val="both"/>
        <w:rPr>
          <w:rFonts w:ascii="Arial" w:eastAsia="Times New Roman" w:hAnsi="Arial" w:cs="Arial"/>
          <w:b/>
          <w:i/>
          <w:color w:val="000000"/>
          <w:sz w:val="24"/>
          <w:szCs w:val="24"/>
          <w:lang w:val="en-GB" w:eastAsia="en-GB"/>
        </w:rPr>
      </w:pPr>
      <w:r w:rsidRPr="00617A57">
        <w:rPr>
          <w:rFonts w:ascii="Arial" w:eastAsia="Times New Roman" w:hAnsi="Arial" w:cs="Arial"/>
          <w:b/>
          <w:i/>
          <w:color w:val="000000"/>
          <w:sz w:val="24"/>
          <w:szCs w:val="24"/>
          <w:lang w:val="en-GB" w:eastAsia="en-GB"/>
        </w:rPr>
        <w:t>4</w:t>
      </w:r>
      <w:r w:rsidR="00C14DCF" w:rsidRPr="008F0006">
        <w:rPr>
          <w:rFonts w:ascii="Arial" w:eastAsia="Times New Roman" w:hAnsi="Arial" w:cs="Arial"/>
          <w:b/>
          <w:i/>
          <w:color w:val="000000"/>
          <w:sz w:val="24"/>
          <w:szCs w:val="24"/>
          <w:lang w:val="en-GB" w:eastAsia="en-GB"/>
        </w:rPr>
        <w:t xml:space="preserve">. </w:t>
      </w:r>
      <w:r w:rsidRPr="00617A57">
        <w:rPr>
          <w:rFonts w:ascii="Arial" w:eastAsia="Times New Roman" w:hAnsi="Arial" w:cs="Arial"/>
          <w:b/>
          <w:i/>
          <w:color w:val="000000"/>
          <w:sz w:val="24"/>
          <w:szCs w:val="24"/>
          <w:lang w:val="en-GB" w:eastAsia="en-GB"/>
        </w:rPr>
        <w:t>Objects of the Authority</w:t>
      </w:r>
    </w:p>
    <w:p w14:paraId="216E44AD" w14:textId="77777777" w:rsidR="00C14DCF" w:rsidRPr="008F0006" w:rsidRDefault="00C14DCF" w:rsidP="00617A57">
      <w:pPr>
        <w:spacing w:after="0" w:line="240" w:lineRule="auto"/>
        <w:rPr>
          <w:rFonts w:ascii="Arial" w:eastAsia="Times New Roman" w:hAnsi="Arial" w:cs="Arial"/>
          <w:i/>
          <w:color w:val="000000"/>
          <w:sz w:val="24"/>
          <w:szCs w:val="24"/>
          <w:lang w:val="en-GB" w:eastAsia="en-GB"/>
        </w:rPr>
      </w:pPr>
    </w:p>
    <w:p w14:paraId="190D35CA" w14:textId="77777777" w:rsidR="00C14DCF" w:rsidRPr="008F0006" w:rsidRDefault="00617A57" w:rsidP="00617A57">
      <w:pPr>
        <w:spacing w:after="0" w:line="240" w:lineRule="auto"/>
        <w:rPr>
          <w:rFonts w:ascii="Arial" w:eastAsia="Times New Roman" w:hAnsi="Arial" w:cs="Arial"/>
          <w:i/>
          <w:color w:val="000000"/>
          <w:sz w:val="24"/>
          <w:szCs w:val="24"/>
          <w:lang w:val="en-GB" w:eastAsia="en-GB"/>
        </w:rPr>
      </w:pPr>
      <w:r w:rsidRPr="00617A57">
        <w:rPr>
          <w:rFonts w:ascii="Arial" w:eastAsia="Times New Roman" w:hAnsi="Arial" w:cs="Arial"/>
          <w:i/>
          <w:color w:val="000000"/>
          <w:sz w:val="24"/>
          <w:szCs w:val="24"/>
          <w:lang w:val="en-GB" w:eastAsia="en-GB"/>
        </w:rPr>
        <w:t>The Authority shall be responsible for —</w:t>
      </w:r>
    </w:p>
    <w:p w14:paraId="66AD238D" w14:textId="77777777" w:rsidR="00C14DCF" w:rsidRPr="008F0006" w:rsidRDefault="00617A57" w:rsidP="00617A57">
      <w:pPr>
        <w:spacing w:after="0" w:line="240" w:lineRule="auto"/>
        <w:rPr>
          <w:rFonts w:ascii="Arial" w:eastAsia="Times New Roman" w:hAnsi="Arial" w:cs="Arial"/>
          <w:i/>
          <w:color w:val="000000"/>
          <w:sz w:val="24"/>
          <w:szCs w:val="24"/>
          <w:lang w:val="en-GB" w:eastAsia="en-GB"/>
        </w:rPr>
      </w:pPr>
      <w:r w:rsidRPr="00617A57">
        <w:rPr>
          <w:rFonts w:ascii="Arial" w:eastAsia="Times New Roman" w:hAnsi="Arial" w:cs="Arial"/>
          <w:i/>
          <w:color w:val="000000"/>
          <w:sz w:val="24"/>
          <w:szCs w:val="24"/>
          <w:lang w:val="en-GB" w:eastAsia="en-GB"/>
        </w:rPr>
        <w:t>(a)</w:t>
      </w:r>
      <w:r w:rsidR="00C14DCF" w:rsidRPr="008F0006">
        <w:rPr>
          <w:rFonts w:ascii="Arial" w:eastAsia="Times New Roman" w:hAnsi="Arial" w:cs="Arial"/>
          <w:i/>
          <w:color w:val="000000"/>
          <w:sz w:val="24"/>
          <w:szCs w:val="24"/>
          <w:lang w:val="en-GB" w:eastAsia="en-GB"/>
        </w:rPr>
        <w:t>…</w:t>
      </w:r>
    </w:p>
    <w:p w14:paraId="148CC6A5" w14:textId="77777777" w:rsidR="00C14DCF" w:rsidRPr="008F0006" w:rsidRDefault="00C14DCF" w:rsidP="00617A57">
      <w:pPr>
        <w:spacing w:after="0" w:line="240" w:lineRule="auto"/>
        <w:rPr>
          <w:rFonts w:ascii="Arial" w:eastAsia="Times New Roman" w:hAnsi="Arial" w:cs="Arial"/>
          <w:i/>
          <w:color w:val="000000"/>
          <w:sz w:val="24"/>
          <w:szCs w:val="24"/>
          <w:lang w:val="en-GB" w:eastAsia="en-GB"/>
        </w:rPr>
      </w:pPr>
    </w:p>
    <w:p w14:paraId="352D581F" w14:textId="38C9C558" w:rsidR="00C14DCF" w:rsidRPr="008F0006" w:rsidRDefault="00C14DCF" w:rsidP="00C14DCF">
      <w:pPr>
        <w:spacing w:after="0" w:line="240" w:lineRule="auto"/>
        <w:jc w:val="both"/>
        <w:rPr>
          <w:rFonts w:ascii="Arial" w:eastAsia="Times New Roman" w:hAnsi="Arial" w:cs="Arial"/>
          <w:i/>
          <w:color w:val="000000"/>
          <w:sz w:val="24"/>
          <w:szCs w:val="24"/>
          <w:lang w:val="en-GB" w:eastAsia="en-GB"/>
        </w:rPr>
      </w:pPr>
      <w:r w:rsidRPr="008F0006">
        <w:rPr>
          <w:rFonts w:ascii="Arial" w:eastAsia="Times New Roman" w:hAnsi="Arial" w:cs="Arial"/>
          <w:i/>
          <w:color w:val="000000"/>
          <w:sz w:val="24"/>
          <w:szCs w:val="24"/>
          <w:lang w:val="en-GB" w:eastAsia="en-GB"/>
        </w:rPr>
        <w:t>(</w:t>
      </w:r>
      <w:r w:rsidR="00617A57" w:rsidRPr="00617A57">
        <w:rPr>
          <w:rFonts w:ascii="Arial" w:eastAsia="Times New Roman" w:hAnsi="Arial" w:cs="Arial"/>
          <w:i/>
          <w:color w:val="000000"/>
          <w:sz w:val="24"/>
          <w:szCs w:val="24"/>
          <w:lang w:val="en-GB" w:eastAsia="en-GB"/>
        </w:rPr>
        <w:t>d)</w:t>
      </w:r>
      <w:r w:rsidRPr="008F0006">
        <w:rPr>
          <w:rFonts w:ascii="Arial" w:eastAsia="Times New Roman" w:hAnsi="Arial" w:cs="Arial"/>
          <w:i/>
          <w:color w:val="000000"/>
          <w:sz w:val="24"/>
          <w:szCs w:val="24"/>
          <w:lang w:val="en-GB" w:eastAsia="en-GB"/>
        </w:rPr>
        <w:t xml:space="preserve"> </w:t>
      </w:r>
      <w:r w:rsidR="00617A57" w:rsidRPr="00617A57">
        <w:rPr>
          <w:rFonts w:ascii="Arial" w:eastAsia="Times New Roman" w:hAnsi="Arial" w:cs="Arial"/>
          <w:i/>
          <w:color w:val="000000"/>
          <w:sz w:val="24"/>
          <w:szCs w:val="24"/>
          <w:lang w:val="en-GB" w:eastAsia="en-GB"/>
        </w:rPr>
        <w:t>ensuring that the terms and conditions of employment of staff, in secondary  or  pre-vocational schools</w:t>
      </w:r>
      <w:r w:rsidR="008F0006" w:rsidRPr="008F0006">
        <w:rPr>
          <w:rFonts w:ascii="Arial" w:eastAsia="Times New Roman" w:hAnsi="Arial" w:cs="Arial"/>
          <w:i/>
          <w:color w:val="000000"/>
          <w:sz w:val="24"/>
          <w:szCs w:val="24"/>
          <w:lang w:val="en-GB" w:eastAsia="en-GB"/>
        </w:rPr>
        <w:t xml:space="preserve"> </w:t>
      </w:r>
      <w:r w:rsidR="00617A57" w:rsidRPr="00617A57">
        <w:rPr>
          <w:rFonts w:ascii="Arial" w:eastAsia="Times New Roman" w:hAnsi="Arial" w:cs="Arial"/>
          <w:i/>
          <w:color w:val="000000"/>
          <w:sz w:val="24"/>
          <w:szCs w:val="24"/>
          <w:lang w:val="en-GB" w:eastAsia="en-GB"/>
        </w:rPr>
        <w:t>comply with the relevant laws, rules, guidelines and directives;</w:t>
      </w:r>
    </w:p>
    <w:p w14:paraId="67C760EE" w14:textId="2FA48C6C" w:rsidR="00C14DCF" w:rsidRPr="008F0006" w:rsidRDefault="00617A57" w:rsidP="00C14DCF">
      <w:pPr>
        <w:spacing w:after="0" w:line="240" w:lineRule="auto"/>
        <w:jc w:val="both"/>
        <w:rPr>
          <w:rFonts w:ascii="Arial" w:eastAsia="Times New Roman" w:hAnsi="Arial" w:cs="Arial"/>
          <w:i/>
          <w:color w:val="000000"/>
          <w:sz w:val="24"/>
          <w:szCs w:val="24"/>
          <w:lang w:val="en-GB" w:eastAsia="en-GB"/>
        </w:rPr>
      </w:pPr>
      <w:r w:rsidRPr="00617A57">
        <w:rPr>
          <w:rFonts w:ascii="Arial" w:eastAsia="Times New Roman" w:hAnsi="Arial" w:cs="Arial"/>
          <w:i/>
          <w:color w:val="000000"/>
          <w:sz w:val="24"/>
          <w:szCs w:val="24"/>
          <w:lang w:val="en-GB" w:eastAsia="en-GB"/>
        </w:rPr>
        <w:t>(e)</w:t>
      </w:r>
      <w:r w:rsidR="00701A55">
        <w:rPr>
          <w:rFonts w:ascii="Arial" w:eastAsia="Times New Roman" w:hAnsi="Arial" w:cs="Arial"/>
          <w:i/>
          <w:color w:val="000000"/>
          <w:sz w:val="24"/>
          <w:szCs w:val="24"/>
          <w:lang w:val="en-GB" w:eastAsia="en-GB"/>
        </w:rPr>
        <w:t xml:space="preserve"> </w:t>
      </w:r>
      <w:r w:rsidRPr="00617A57">
        <w:rPr>
          <w:rFonts w:ascii="Arial" w:eastAsia="Times New Roman" w:hAnsi="Arial" w:cs="Arial"/>
          <w:i/>
          <w:color w:val="000000"/>
          <w:sz w:val="24"/>
          <w:szCs w:val="24"/>
          <w:lang w:val="en-GB" w:eastAsia="en-GB"/>
        </w:rPr>
        <w:t>the  payment  of  grants  to</w:t>
      </w:r>
      <w:r w:rsidR="00C14DCF" w:rsidRPr="008F0006">
        <w:rPr>
          <w:rFonts w:ascii="Arial" w:eastAsia="Times New Roman" w:hAnsi="Arial" w:cs="Arial"/>
          <w:i/>
          <w:color w:val="000000"/>
          <w:sz w:val="24"/>
          <w:szCs w:val="24"/>
          <w:lang w:val="en-GB" w:eastAsia="en-GB"/>
        </w:rPr>
        <w:t xml:space="preserve"> </w:t>
      </w:r>
      <w:r w:rsidRPr="00617A57">
        <w:rPr>
          <w:rFonts w:ascii="Arial" w:eastAsia="Times New Roman" w:hAnsi="Arial" w:cs="Arial"/>
          <w:i/>
          <w:color w:val="000000"/>
          <w:sz w:val="24"/>
          <w:szCs w:val="24"/>
          <w:lang w:val="en-GB" w:eastAsia="en-GB"/>
        </w:rPr>
        <w:t>secondary  and  pre-vocational  schools and  ensuring  that  the  grants  are  being  used  for  the  intended purposes;</w:t>
      </w:r>
    </w:p>
    <w:p w14:paraId="748E0E04" w14:textId="23E4B3F3" w:rsidR="00617A57" w:rsidRPr="00617A57" w:rsidRDefault="00617A57" w:rsidP="00C14DCF">
      <w:pPr>
        <w:spacing w:after="0" w:line="240" w:lineRule="auto"/>
        <w:jc w:val="both"/>
        <w:rPr>
          <w:rFonts w:ascii="Arial" w:eastAsia="Times New Roman" w:hAnsi="Arial" w:cs="Arial"/>
          <w:i/>
          <w:color w:val="000000"/>
          <w:sz w:val="24"/>
          <w:szCs w:val="24"/>
          <w:lang w:val="en-GB" w:eastAsia="en-GB"/>
        </w:rPr>
      </w:pPr>
      <w:r w:rsidRPr="00617A57">
        <w:rPr>
          <w:rFonts w:ascii="Arial" w:eastAsia="Times New Roman" w:hAnsi="Arial" w:cs="Arial"/>
          <w:i/>
          <w:color w:val="000000"/>
          <w:sz w:val="24"/>
          <w:szCs w:val="24"/>
          <w:lang w:val="en-GB" w:eastAsia="en-GB"/>
        </w:rPr>
        <w:t>(f)</w:t>
      </w:r>
      <w:r w:rsidR="00C14DCF" w:rsidRPr="008F0006">
        <w:rPr>
          <w:rFonts w:ascii="Arial" w:eastAsia="Times New Roman" w:hAnsi="Arial" w:cs="Arial"/>
          <w:i/>
          <w:color w:val="000000"/>
          <w:sz w:val="24"/>
          <w:szCs w:val="24"/>
          <w:lang w:val="en-GB" w:eastAsia="en-GB"/>
        </w:rPr>
        <w:t xml:space="preserve"> </w:t>
      </w:r>
      <w:r w:rsidRPr="00617A57">
        <w:rPr>
          <w:rFonts w:ascii="Arial" w:eastAsia="Times New Roman" w:hAnsi="Arial" w:cs="Arial"/>
          <w:i/>
          <w:color w:val="000000"/>
          <w:sz w:val="24"/>
          <w:szCs w:val="24"/>
          <w:lang w:val="en-GB" w:eastAsia="en-GB"/>
        </w:rPr>
        <w:t>the  registration  and  inspection  of  secondary  or  pre-vocational schools,</w:t>
      </w:r>
      <w:r w:rsidR="00C14DCF" w:rsidRPr="008F0006">
        <w:rPr>
          <w:rFonts w:ascii="Arial" w:eastAsia="Times New Roman" w:hAnsi="Arial" w:cs="Arial"/>
          <w:i/>
          <w:color w:val="000000"/>
          <w:sz w:val="24"/>
          <w:szCs w:val="24"/>
          <w:lang w:val="en-GB" w:eastAsia="en-GB"/>
        </w:rPr>
        <w:t xml:space="preserve"> </w:t>
      </w:r>
      <w:r w:rsidRPr="00617A57">
        <w:rPr>
          <w:rFonts w:ascii="Arial" w:eastAsia="Times New Roman" w:hAnsi="Arial" w:cs="Arial"/>
          <w:i/>
          <w:color w:val="000000"/>
          <w:sz w:val="24"/>
          <w:szCs w:val="24"/>
          <w:lang w:val="en-GB" w:eastAsia="en-GB"/>
        </w:rPr>
        <w:t>their  managers,  rectors  and  members  of  teaching  and non-teaching staff.</w:t>
      </w:r>
    </w:p>
    <w:p w14:paraId="54C85941" w14:textId="77777777" w:rsidR="00AD0374" w:rsidRPr="008F0006" w:rsidRDefault="00AD0374" w:rsidP="00C14DCF">
      <w:pPr>
        <w:jc w:val="both"/>
        <w:rPr>
          <w:rFonts w:ascii="Arial" w:hAnsi="Arial" w:cs="Arial"/>
          <w:sz w:val="24"/>
          <w:szCs w:val="24"/>
        </w:rPr>
      </w:pPr>
    </w:p>
    <w:p w14:paraId="56B284A2" w14:textId="77777777" w:rsidR="00C14DCF" w:rsidRPr="008F0006" w:rsidRDefault="00C14DCF" w:rsidP="00C14DCF">
      <w:pPr>
        <w:shd w:val="clear" w:color="auto" w:fill="FFFFFF"/>
        <w:spacing w:after="0" w:line="240" w:lineRule="auto"/>
        <w:rPr>
          <w:rFonts w:ascii="Arial" w:eastAsia="Times New Roman" w:hAnsi="Arial" w:cs="Arial"/>
          <w:b/>
          <w:i/>
          <w:sz w:val="24"/>
          <w:szCs w:val="24"/>
          <w:lang w:val="en-GB" w:eastAsia="en-GB"/>
        </w:rPr>
      </w:pPr>
      <w:r w:rsidRPr="00C14DCF">
        <w:rPr>
          <w:rFonts w:ascii="Arial" w:eastAsia="Times New Roman" w:hAnsi="Arial" w:cs="Arial"/>
          <w:b/>
          <w:i/>
          <w:sz w:val="24"/>
          <w:szCs w:val="24"/>
          <w:lang w:val="en-GB" w:eastAsia="en-GB"/>
        </w:rPr>
        <w:t>5. Functions of Authority</w:t>
      </w:r>
    </w:p>
    <w:p w14:paraId="56F879D4" w14:textId="77777777" w:rsidR="00C14DCF" w:rsidRPr="008F0006" w:rsidRDefault="00C14DCF" w:rsidP="00C14DCF">
      <w:pPr>
        <w:shd w:val="clear" w:color="auto" w:fill="FFFFFF"/>
        <w:spacing w:after="0" w:line="240" w:lineRule="auto"/>
        <w:rPr>
          <w:rFonts w:ascii="Arial" w:eastAsia="Times New Roman" w:hAnsi="Arial" w:cs="Arial"/>
          <w:i/>
          <w:sz w:val="24"/>
          <w:szCs w:val="24"/>
          <w:lang w:val="en-GB" w:eastAsia="en-GB"/>
        </w:rPr>
      </w:pPr>
    </w:p>
    <w:p w14:paraId="1566ABFC" w14:textId="77777777" w:rsidR="00C14DCF" w:rsidRPr="008F0006" w:rsidRDefault="00C14DCF" w:rsidP="00C14DCF">
      <w:pPr>
        <w:shd w:val="clear" w:color="auto" w:fill="FFFFFF"/>
        <w:spacing w:after="0" w:line="240" w:lineRule="auto"/>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The Authority shall have such functions as may be necessary to effectively further its objects and shall, in particular –</w:t>
      </w:r>
    </w:p>
    <w:p w14:paraId="2C61D2A0" w14:textId="57AB8CD1" w:rsidR="00C14DCF" w:rsidRPr="008F0006" w:rsidRDefault="00C14DCF" w:rsidP="00C14DCF">
      <w:pPr>
        <w:pStyle w:val="ListParagraph"/>
        <w:numPr>
          <w:ilvl w:val="0"/>
          <w:numId w:val="22"/>
        </w:numPr>
        <w:shd w:val="clear" w:color="auto" w:fill="FFFFFF"/>
        <w:spacing w:after="0" w:line="240" w:lineRule="auto"/>
        <w:rPr>
          <w:rFonts w:ascii="Arial" w:eastAsia="Times New Roman" w:hAnsi="Arial" w:cs="Arial"/>
          <w:i/>
          <w:sz w:val="24"/>
          <w:szCs w:val="24"/>
          <w:lang w:val="en-GB" w:eastAsia="en-GB"/>
        </w:rPr>
      </w:pPr>
      <w:r w:rsidRPr="008F0006">
        <w:rPr>
          <w:rFonts w:ascii="Arial" w:eastAsia="Times New Roman" w:hAnsi="Arial" w:cs="Arial"/>
          <w:i/>
          <w:sz w:val="24"/>
          <w:szCs w:val="24"/>
          <w:lang w:val="en-GB" w:eastAsia="en-GB"/>
        </w:rPr>
        <w:t>…</w:t>
      </w:r>
    </w:p>
    <w:p w14:paraId="451527FA" w14:textId="0CF92E09" w:rsidR="00C14DCF" w:rsidRPr="008F0006" w:rsidRDefault="00C14DCF" w:rsidP="00C14DCF">
      <w:pPr>
        <w:pStyle w:val="ListParagraph"/>
        <w:numPr>
          <w:ilvl w:val="0"/>
          <w:numId w:val="22"/>
        </w:numPr>
        <w:shd w:val="clear" w:color="auto" w:fill="FFFFFF"/>
        <w:spacing w:after="0" w:line="240" w:lineRule="auto"/>
        <w:rPr>
          <w:rFonts w:ascii="Arial" w:eastAsia="Times New Roman" w:hAnsi="Arial" w:cs="Arial"/>
          <w:i/>
          <w:sz w:val="24"/>
          <w:szCs w:val="24"/>
          <w:lang w:val="en-GB" w:eastAsia="en-GB"/>
        </w:rPr>
      </w:pPr>
      <w:r w:rsidRPr="008F0006">
        <w:rPr>
          <w:rFonts w:ascii="Arial" w:eastAsia="Times New Roman" w:hAnsi="Arial" w:cs="Arial"/>
          <w:i/>
          <w:sz w:val="24"/>
          <w:szCs w:val="24"/>
          <w:lang w:val="en-GB" w:eastAsia="en-GB"/>
        </w:rPr>
        <w:t>…</w:t>
      </w:r>
    </w:p>
    <w:p w14:paraId="2D32649D" w14:textId="3A04C36F" w:rsidR="00C14DCF" w:rsidRPr="008F0006" w:rsidRDefault="00C14DCF" w:rsidP="00A14B19">
      <w:pPr>
        <w:shd w:val="clear" w:color="auto" w:fill="FFFFFF"/>
        <w:spacing w:after="0" w:line="240" w:lineRule="auto"/>
        <w:ind w:left="1276" w:hanging="556"/>
        <w:jc w:val="both"/>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(c)</w:t>
      </w:r>
      <w:r w:rsidR="00EE7D12" w:rsidRPr="008F0006">
        <w:rPr>
          <w:rFonts w:ascii="Arial" w:eastAsia="Times New Roman" w:hAnsi="Arial" w:cs="Arial"/>
          <w:i/>
          <w:sz w:val="24"/>
          <w:szCs w:val="24"/>
          <w:lang w:val="en-GB" w:eastAsia="en-GB"/>
        </w:rPr>
        <w:tab/>
      </w:r>
      <w:r w:rsidRPr="00C14DCF">
        <w:rPr>
          <w:rFonts w:ascii="Arial" w:eastAsia="Times New Roman" w:hAnsi="Arial" w:cs="Arial"/>
          <w:i/>
          <w:sz w:val="24"/>
          <w:szCs w:val="24"/>
          <w:lang w:val="en-GB" w:eastAsia="en-GB"/>
        </w:rPr>
        <w:t>deal with matters relating to secondary and pre-vocational schools, their managers, rectors and members of teaching and non-teaching staff;</w:t>
      </w:r>
    </w:p>
    <w:p w14:paraId="251EBFB2" w14:textId="2A0096AB" w:rsidR="00C14DCF" w:rsidRPr="008F0006" w:rsidRDefault="00C14DCF" w:rsidP="00F504C4">
      <w:pPr>
        <w:shd w:val="clear" w:color="auto" w:fill="FFFFFF"/>
        <w:spacing w:after="0" w:line="240" w:lineRule="auto"/>
        <w:ind w:left="1276" w:hanging="556"/>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(d)</w:t>
      </w:r>
      <w:r w:rsidRPr="008F0006">
        <w:rPr>
          <w:rFonts w:ascii="Arial" w:eastAsia="Times New Roman" w:hAnsi="Arial" w:cs="Arial"/>
          <w:i/>
          <w:sz w:val="24"/>
          <w:szCs w:val="24"/>
          <w:lang w:val="en-GB" w:eastAsia="en-GB"/>
        </w:rPr>
        <w:tab/>
      </w:r>
      <w:r w:rsidRPr="00C14DCF">
        <w:rPr>
          <w:rFonts w:ascii="Arial" w:eastAsia="Times New Roman" w:hAnsi="Arial" w:cs="Arial"/>
          <w:i/>
          <w:sz w:val="24"/>
          <w:szCs w:val="24"/>
          <w:lang w:val="en-GB" w:eastAsia="en-GB"/>
        </w:rPr>
        <w:t>formulate appropriate policies, make rules, issue guidelines and directives, and set standards and conditions –</w:t>
      </w:r>
    </w:p>
    <w:p w14:paraId="73A0DA19" w14:textId="4E67D015" w:rsidR="00C14DCF" w:rsidRPr="008F0006" w:rsidRDefault="00C14DCF" w:rsidP="00EE7D12">
      <w:pPr>
        <w:shd w:val="clear" w:color="auto" w:fill="FFFFFF"/>
        <w:spacing w:after="0" w:line="240" w:lineRule="auto"/>
        <w:ind w:left="1843" w:hanging="403"/>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(i)</w:t>
      </w:r>
      <w:r w:rsidRPr="008F0006">
        <w:rPr>
          <w:rFonts w:ascii="Arial" w:eastAsia="Times New Roman" w:hAnsi="Arial" w:cs="Arial"/>
          <w:i/>
          <w:sz w:val="24"/>
          <w:szCs w:val="24"/>
          <w:lang w:val="en-GB" w:eastAsia="en-GB"/>
        </w:rPr>
        <w:t xml:space="preserve"> </w:t>
      </w:r>
      <w:r w:rsidRPr="00C14DCF">
        <w:rPr>
          <w:rFonts w:ascii="Arial" w:eastAsia="Times New Roman" w:hAnsi="Arial" w:cs="Arial"/>
          <w:i/>
          <w:sz w:val="24"/>
          <w:szCs w:val="24"/>
          <w:lang w:val="en-GB" w:eastAsia="en-GB"/>
        </w:rPr>
        <w:t>for promoting and enhancing quality education in secondary schools;</w:t>
      </w:r>
    </w:p>
    <w:p w14:paraId="1C3605A2" w14:textId="03417502" w:rsidR="00EE7D12" w:rsidRPr="008F0006" w:rsidRDefault="00C14DCF" w:rsidP="00EE7D12">
      <w:pPr>
        <w:shd w:val="clear" w:color="auto" w:fill="FFFFFF"/>
        <w:spacing w:after="0" w:line="240" w:lineRule="auto"/>
        <w:ind w:left="720" w:firstLine="720"/>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(ii)</w:t>
      </w:r>
      <w:r w:rsidR="00EE7D12" w:rsidRPr="008F0006">
        <w:rPr>
          <w:rFonts w:ascii="Arial" w:eastAsia="Times New Roman" w:hAnsi="Arial" w:cs="Arial"/>
          <w:i/>
          <w:sz w:val="24"/>
          <w:szCs w:val="24"/>
          <w:lang w:val="en-GB" w:eastAsia="en-GB"/>
        </w:rPr>
        <w:t>…</w:t>
      </w:r>
    </w:p>
    <w:p w14:paraId="0F5932B0" w14:textId="7AC7A415" w:rsidR="00C14DCF" w:rsidRPr="008F0006" w:rsidRDefault="00C14DCF" w:rsidP="00C14DCF">
      <w:pPr>
        <w:shd w:val="clear" w:color="auto" w:fill="FFFFFF"/>
        <w:spacing w:after="0" w:line="240" w:lineRule="auto"/>
        <w:ind w:left="720" w:firstLine="720"/>
        <w:rPr>
          <w:rFonts w:ascii="Arial" w:eastAsia="Times New Roman" w:hAnsi="Arial" w:cs="Arial"/>
          <w:i/>
          <w:sz w:val="24"/>
          <w:szCs w:val="24"/>
          <w:lang w:val="en-GB" w:eastAsia="en-GB"/>
        </w:rPr>
      </w:pPr>
    </w:p>
    <w:p w14:paraId="604666EA" w14:textId="4D2A16C7" w:rsidR="00C14DCF" w:rsidRPr="008F0006" w:rsidRDefault="00C14DCF" w:rsidP="00A14B19">
      <w:pPr>
        <w:shd w:val="clear" w:color="auto" w:fill="FFFFFF"/>
        <w:spacing w:after="0" w:line="240" w:lineRule="auto"/>
        <w:ind w:left="1418" w:hanging="709"/>
        <w:jc w:val="both"/>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(e)</w:t>
      </w:r>
      <w:r w:rsidR="00EE7D12" w:rsidRPr="008F0006">
        <w:rPr>
          <w:rFonts w:ascii="Arial" w:eastAsia="Times New Roman" w:hAnsi="Arial" w:cs="Arial"/>
          <w:i/>
          <w:sz w:val="24"/>
          <w:szCs w:val="24"/>
          <w:lang w:val="en-GB" w:eastAsia="en-GB"/>
        </w:rPr>
        <w:tab/>
      </w:r>
      <w:r w:rsidRPr="00C14DCF">
        <w:rPr>
          <w:rFonts w:ascii="Arial" w:eastAsia="Times New Roman" w:hAnsi="Arial" w:cs="Arial"/>
          <w:i/>
          <w:sz w:val="24"/>
          <w:szCs w:val="24"/>
          <w:lang w:val="en-GB" w:eastAsia="en-GB"/>
        </w:rPr>
        <w:t>undertake inspection and periodic quality audits in academic, infrastructural and other areas related to school management;</w:t>
      </w:r>
    </w:p>
    <w:p w14:paraId="43D9C383" w14:textId="2F3268B1" w:rsidR="00C14DCF" w:rsidRPr="008F0006" w:rsidRDefault="00C14DCF" w:rsidP="00F504C4">
      <w:pPr>
        <w:shd w:val="clear" w:color="auto" w:fill="FFFFFF"/>
        <w:spacing w:after="0" w:line="240" w:lineRule="auto"/>
        <w:ind w:left="1418" w:hanging="709"/>
        <w:jc w:val="both"/>
        <w:rPr>
          <w:rFonts w:ascii="Arial" w:eastAsia="Times New Roman" w:hAnsi="Arial" w:cs="Arial"/>
          <w:i/>
          <w:sz w:val="24"/>
          <w:szCs w:val="24"/>
          <w:lang w:val="en-GB" w:eastAsia="en-GB"/>
        </w:rPr>
      </w:pPr>
      <w:r w:rsidRPr="00C14DCF">
        <w:rPr>
          <w:rFonts w:ascii="Arial" w:eastAsia="Times New Roman" w:hAnsi="Arial" w:cs="Arial"/>
          <w:i/>
          <w:sz w:val="24"/>
          <w:szCs w:val="24"/>
          <w:lang w:val="en-GB" w:eastAsia="en-GB"/>
        </w:rPr>
        <w:t>(f)</w:t>
      </w:r>
      <w:r w:rsidR="00A14B19" w:rsidRPr="008F0006">
        <w:rPr>
          <w:rFonts w:ascii="Arial" w:eastAsia="Times New Roman" w:hAnsi="Arial" w:cs="Arial"/>
          <w:i/>
          <w:sz w:val="24"/>
          <w:szCs w:val="24"/>
          <w:lang w:val="en-GB" w:eastAsia="en-GB"/>
        </w:rPr>
        <w:tab/>
      </w:r>
      <w:r w:rsidRPr="00C14DCF">
        <w:rPr>
          <w:rFonts w:ascii="Arial" w:eastAsia="Times New Roman" w:hAnsi="Arial" w:cs="Arial"/>
          <w:i/>
          <w:sz w:val="24"/>
          <w:szCs w:val="24"/>
          <w:lang w:val="en-GB" w:eastAsia="en-GB"/>
        </w:rPr>
        <w:t>ensure that secondary and pre-vocational schools are managed in accordance  with relevant  laws,  rules,  guidelines,  directives  and standards;</w:t>
      </w:r>
    </w:p>
    <w:p w14:paraId="03E24314" w14:textId="31DB02BC" w:rsidR="00C14DCF" w:rsidRPr="008F0006" w:rsidRDefault="00C14DCF" w:rsidP="00EE7D12">
      <w:pPr>
        <w:shd w:val="clear" w:color="auto" w:fill="FFFFFF"/>
        <w:spacing w:after="0" w:line="240" w:lineRule="auto"/>
        <w:ind w:left="720" w:hanging="11"/>
        <w:rPr>
          <w:rFonts w:ascii="Arial" w:eastAsia="Times New Roman" w:hAnsi="Arial" w:cs="Arial"/>
          <w:i/>
          <w:color w:val="000000"/>
          <w:sz w:val="24"/>
          <w:szCs w:val="24"/>
          <w:lang w:val="en-GB" w:eastAsia="en-GB"/>
        </w:rPr>
      </w:pPr>
      <w:r w:rsidRPr="00C14DCF">
        <w:rPr>
          <w:rFonts w:ascii="Arial" w:eastAsia="Times New Roman" w:hAnsi="Arial" w:cs="Arial"/>
          <w:i/>
          <w:sz w:val="24"/>
          <w:szCs w:val="24"/>
          <w:lang w:val="en-GB" w:eastAsia="en-GB"/>
        </w:rPr>
        <w:t>(g)</w:t>
      </w:r>
      <w:r w:rsidR="00EE7D12" w:rsidRPr="008F0006">
        <w:rPr>
          <w:rFonts w:ascii="Arial" w:eastAsia="Times New Roman" w:hAnsi="Arial" w:cs="Arial"/>
          <w:i/>
          <w:sz w:val="24"/>
          <w:szCs w:val="24"/>
          <w:lang w:val="en-GB" w:eastAsia="en-GB"/>
        </w:rPr>
        <w:tab/>
        <w:t>…</w:t>
      </w:r>
    </w:p>
    <w:p w14:paraId="2E327291" w14:textId="77777777" w:rsidR="00C14DCF" w:rsidRPr="008F0006" w:rsidRDefault="00C14DCF" w:rsidP="00C14DCF">
      <w:pPr>
        <w:shd w:val="clear" w:color="auto" w:fill="FFFFFF"/>
        <w:spacing w:after="0" w:line="240" w:lineRule="auto"/>
        <w:rPr>
          <w:rFonts w:ascii="Arial" w:eastAsia="Times New Roman" w:hAnsi="Arial" w:cs="Arial"/>
          <w:i/>
          <w:color w:val="000000"/>
          <w:sz w:val="24"/>
          <w:szCs w:val="24"/>
          <w:lang w:val="en-GB" w:eastAsia="en-GB"/>
        </w:rPr>
      </w:pPr>
    </w:p>
    <w:p w14:paraId="6061F8AB" w14:textId="77777777" w:rsidR="00C14DCF" w:rsidRPr="008F0006" w:rsidRDefault="00C14DCF" w:rsidP="00C14DCF">
      <w:pPr>
        <w:shd w:val="clear" w:color="auto" w:fill="FFFFFF"/>
        <w:spacing w:after="0" w:line="240" w:lineRule="auto"/>
        <w:rPr>
          <w:rFonts w:ascii="Arial" w:eastAsia="Times New Roman" w:hAnsi="Arial" w:cs="Arial"/>
          <w:b/>
          <w:i/>
          <w:color w:val="000000"/>
          <w:sz w:val="24"/>
          <w:szCs w:val="24"/>
          <w:lang w:val="en-GB" w:eastAsia="en-GB"/>
        </w:rPr>
      </w:pPr>
      <w:r w:rsidRPr="00C14DCF">
        <w:rPr>
          <w:rFonts w:ascii="Arial" w:eastAsia="Times New Roman" w:hAnsi="Arial" w:cs="Arial"/>
          <w:b/>
          <w:i/>
          <w:color w:val="000000"/>
          <w:sz w:val="24"/>
          <w:szCs w:val="24"/>
          <w:lang w:val="en-GB" w:eastAsia="en-GB"/>
        </w:rPr>
        <w:t>5A. Powers of Authority</w:t>
      </w:r>
    </w:p>
    <w:p w14:paraId="21493E6E" w14:textId="77777777" w:rsidR="00A14B19" w:rsidRPr="008F0006" w:rsidRDefault="00A14B19" w:rsidP="00C14DCF">
      <w:pPr>
        <w:shd w:val="clear" w:color="auto" w:fill="FFFFFF"/>
        <w:spacing w:after="0" w:line="240" w:lineRule="auto"/>
        <w:rPr>
          <w:rFonts w:ascii="Arial" w:eastAsia="Times New Roman" w:hAnsi="Arial" w:cs="Arial"/>
          <w:i/>
          <w:color w:val="000000"/>
          <w:sz w:val="24"/>
          <w:szCs w:val="24"/>
          <w:lang w:val="en-GB" w:eastAsia="en-GB"/>
        </w:rPr>
      </w:pPr>
    </w:p>
    <w:p w14:paraId="11ECC147" w14:textId="48A80C89" w:rsidR="00A14B19" w:rsidRPr="008F0006" w:rsidRDefault="00C14DCF" w:rsidP="00A14B19">
      <w:pPr>
        <w:shd w:val="clear" w:color="auto" w:fill="FFFFFF"/>
        <w:spacing w:after="0" w:line="240" w:lineRule="auto"/>
        <w:ind w:firstLine="720"/>
        <w:rPr>
          <w:rFonts w:ascii="Arial" w:eastAsia="Times New Roman" w:hAnsi="Arial" w:cs="Arial"/>
          <w:i/>
          <w:color w:val="000000"/>
          <w:sz w:val="24"/>
          <w:szCs w:val="24"/>
          <w:lang w:val="en-GB" w:eastAsia="en-GB"/>
        </w:rPr>
      </w:pPr>
      <w:r w:rsidRPr="00C14DCF">
        <w:rPr>
          <w:rFonts w:ascii="Arial" w:eastAsia="Times New Roman" w:hAnsi="Arial" w:cs="Arial"/>
          <w:i/>
          <w:color w:val="000000"/>
          <w:sz w:val="24"/>
          <w:szCs w:val="24"/>
          <w:lang w:val="en-GB" w:eastAsia="en-GB"/>
        </w:rPr>
        <w:t xml:space="preserve">(1) </w:t>
      </w:r>
      <w:r w:rsidR="00A14B19" w:rsidRPr="008F0006">
        <w:rPr>
          <w:rFonts w:ascii="Arial" w:eastAsia="Times New Roman" w:hAnsi="Arial" w:cs="Arial"/>
          <w:i/>
          <w:color w:val="000000"/>
          <w:sz w:val="24"/>
          <w:szCs w:val="24"/>
          <w:lang w:val="en-GB" w:eastAsia="en-GB"/>
        </w:rPr>
        <w:tab/>
      </w:r>
      <w:r w:rsidRPr="00C14DCF">
        <w:rPr>
          <w:rFonts w:ascii="Arial" w:eastAsia="Times New Roman" w:hAnsi="Arial" w:cs="Arial"/>
          <w:i/>
          <w:color w:val="000000"/>
          <w:sz w:val="24"/>
          <w:szCs w:val="24"/>
          <w:lang w:val="en-GB" w:eastAsia="en-GB"/>
        </w:rPr>
        <w:t>The Authority –</w:t>
      </w:r>
    </w:p>
    <w:p w14:paraId="23D8CFC0" w14:textId="77777777" w:rsidR="00A14B19" w:rsidRPr="008F0006" w:rsidRDefault="00C14DCF" w:rsidP="00A14B19">
      <w:pPr>
        <w:shd w:val="clear" w:color="auto" w:fill="FFFFFF"/>
        <w:spacing w:after="0" w:line="240" w:lineRule="auto"/>
        <w:ind w:left="1985" w:hanging="545"/>
        <w:rPr>
          <w:rFonts w:ascii="Arial" w:eastAsia="Times New Roman" w:hAnsi="Arial" w:cs="Arial"/>
          <w:i/>
          <w:color w:val="000000"/>
          <w:sz w:val="24"/>
          <w:szCs w:val="24"/>
          <w:lang w:val="en-GB" w:eastAsia="en-GB"/>
        </w:rPr>
      </w:pPr>
      <w:r w:rsidRPr="00C14DCF">
        <w:rPr>
          <w:rFonts w:ascii="Arial" w:eastAsia="Times New Roman" w:hAnsi="Arial" w:cs="Arial"/>
          <w:i/>
          <w:color w:val="000000"/>
          <w:sz w:val="24"/>
          <w:szCs w:val="24"/>
          <w:lang w:val="en-GB" w:eastAsia="en-GB"/>
        </w:rPr>
        <w:t>(a)</w:t>
      </w:r>
      <w:r w:rsidR="00A14B19" w:rsidRPr="008F0006">
        <w:rPr>
          <w:rFonts w:ascii="Arial" w:eastAsia="Times New Roman" w:hAnsi="Arial" w:cs="Arial"/>
          <w:i/>
          <w:color w:val="000000"/>
          <w:sz w:val="24"/>
          <w:szCs w:val="24"/>
          <w:lang w:val="en-GB" w:eastAsia="en-GB"/>
        </w:rPr>
        <w:t xml:space="preserve"> </w:t>
      </w:r>
      <w:r w:rsidR="00A14B19" w:rsidRPr="008F0006">
        <w:rPr>
          <w:rFonts w:ascii="Arial" w:eastAsia="Times New Roman" w:hAnsi="Arial" w:cs="Arial"/>
          <w:i/>
          <w:color w:val="000000"/>
          <w:sz w:val="24"/>
          <w:szCs w:val="24"/>
          <w:lang w:val="en-GB" w:eastAsia="en-GB"/>
        </w:rPr>
        <w:tab/>
      </w:r>
      <w:r w:rsidRPr="00C14DCF">
        <w:rPr>
          <w:rFonts w:ascii="Arial" w:eastAsia="Times New Roman" w:hAnsi="Arial" w:cs="Arial"/>
          <w:i/>
          <w:color w:val="000000"/>
          <w:sz w:val="24"/>
          <w:szCs w:val="24"/>
          <w:lang w:val="en-GB" w:eastAsia="en-GB"/>
        </w:rPr>
        <w:t>shall  have  such  powers  as  may  be  necessary  to  make rules,  issue  guidelines  and  directives,  and  set  standards and  conditions  to  enable  it  to  effectively  discharge  its functions   and   take   appropriate   action   to   ensure   that secondary  and  pre-vocational  schools  comply  with  the rules, guidelines, directives, standards and conditions; and</w:t>
      </w:r>
    </w:p>
    <w:p w14:paraId="740EC367" w14:textId="500BDBCB" w:rsidR="00A14B19" w:rsidRPr="008F0006" w:rsidRDefault="00C14DCF" w:rsidP="00A14B19">
      <w:pPr>
        <w:shd w:val="clear" w:color="auto" w:fill="FFFFFF"/>
        <w:spacing w:after="0" w:line="240" w:lineRule="auto"/>
        <w:ind w:left="1985" w:hanging="545"/>
        <w:rPr>
          <w:rFonts w:ascii="Arial" w:eastAsia="Times New Roman" w:hAnsi="Arial" w:cs="Arial"/>
          <w:i/>
          <w:color w:val="000000"/>
          <w:sz w:val="24"/>
          <w:szCs w:val="24"/>
          <w:lang w:val="en-GB" w:eastAsia="en-GB"/>
        </w:rPr>
      </w:pPr>
      <w:r w:rsidRPr="00C14DCF">
        <w:rPr>
          <w:rFonts w:ascii="Arial" w:eastAsia="Times New Roman" w:hAnsi="Arial" w:cs="Arial"/>
          <w:i/>
          <w:color w:val="000000"/>
          <w:sz w:val="24"/>
          <w:szCs w:val="24"/>
          <w:lang w:val="en-GB" w:eastAsia="en-GB"/>
        </w:rPr>
        <w:t>(b)</w:t>
      </w:r>
      <w:r w:rsidR="00A14B19" w:rsidRPr="008F0006">
        <w:rPr>
          <w:rFonts w:ascii="Arial" w:eastAsia="Times New Roman" w:hAnsi="Arial" w:cs="Arial"/>
          <w:i/>
          <w:color w:val="000000"/>
          <w:sz w:val="24"/>
          <w:szCs w:val="24"/>
          <w:lang w:val="en-GB" w:eastAsia="en-GB"/>
        </w:rPr>
        <w:tab/>
      </w:r>
      <w:r w:rsidR="008F0006" w:rsidRPr="008F0006">
        <w:rPr>
          <w:rFonts w:ascii="Arial" w:eastAsia="Times New Roman" w:hAnsi="Arial" w:cs="Arial"/>
          <w:i/>
          <w:color w:val="000000"/>
          <w:sz w:val="24"/>
          <w:szCs w:val="24"/>
          <w:lang w:val="en-GB" w:eastAsia="en-GB"/>
        </w:rPr>
        <w:t>…</w:t>
      </w:r>
    </w:p>
    <w:p w14:paraId="5AA4EAAC" w14:textId="77777777" w:rsidR="00C14DCF" w:rsidRPr="008F0006" w:rsidRDefault="00C14DCF" w:rsidP="00C14DCF">
      <w:pPr>
        <w:jc w:val="both"/>
        <w:rPr>
          <w:rFonts w:ascii="Arial" w:hAnsi="Arial" w:cs="Arial"/>
          <w:sz w:val="24"/>
          <w:szCs w:val="24"/>
        </w:rPr>
      </w:pPr>
    </w:p>
    <w:p w14:paraId="6F936A87" w14:textId="56BDEDF4" w:rsidR="00701A55" w:rsidRDefault="004B4641" w:rsidP="00215B54">
      <w:pPr>
        <w:jc w:val="both"/>
        <w:rPr>
          <w:rFonts w:ascii="Arial" w:hAnsi="Arial" w:cs="Arial"/>
          <w:i/>
          <w:sz w:val="24"/>
          <w:szCs w:val="24"/>
        </w:rPr>
      </w:pPr>
      <w:r>
        <w:rPr>
          <w:rFonts w:ascii="Arial" w:hAnsi="Arial" w:cs="Arial"/>
          <w:sz w:val="24"/>
          <w:szCs w:val="24"/>
        </w:rPr>
        <w:t xml:space="preserve">The </w:t>
      </w:r>
      <w:r w:rsidR="001948CE">
        <w:rPr>
          <w:rFonts w:ascii="Arial" w:hAnsi="Arial" w:cs="Arial"/>
          <w:sz w:val="24"/>
          <w:szCs w:val="24"/>
        </w:rPr>
        <w:t xml:space="preserve">Tribunal takes note that the </w:t>
      </w:r>
      <w:r>
        <w:rPr>
          <w:rFonts w:ascii="Arial" w:hAnsi="Arial" w:cs="Arial"/>
          <w:sz w:val="24"/>
          <w:szCs w:val="24"/>
        </w:rPr>
        <w:t>PRB</w:t>
      </w:r>
      <w:r w:rsidR="001948CE">
        <w:rPr>
          <w:rFonts w:ascii="Arial" w:hAnsi="Arial" w:cs="Arial"/>
          <w:sz w:val="24"/>
          <w:szCs w:val="24"/>
        </w:rPr>
        <w:t>,</w:t>
      </w:r>
      <w:r>
        <w:rPr>
          <w:rFonts w:ascii="Arial" w:hAnsi="Arial" w:cs="Arial"/>
          <w:sz w:val="24"/>
          <w:szCs w:val="24"/>
        </w:rPr>
        <w:t xml:space="preserve"> in its PRB Report 2021</w:t>
      </w:r>
      <w:r w:rsidR="001948CE">
        <w:rPr>
          <w:rFonts w:ascii="Arial" w:hAnsi="Arial" w:cs="Arial"/>
          <w:sz w:val="24"/>
          <w:szCs w:val="24"/>
        </w:rPr>
        <w:t>,</w:t>
      </w:r>
      <w:r>
        <w:rPr>
          <w:rFonts w:ascii="Arial" w:hAnsi="Arial" w:cs="Arial"/>
          <w:sz w:val="24"/>
          <w:szCs w:val="24"/>
        </w:rPr>
        <w:t xml:space="preserve"> refers to the abovementioned objects of Co-Respondent No 1 at parag</w:t>
      </w:r>
      <w:r w:rsidR="00701A55">
        <w:rPr>
          <w:rFonts w:ascii="Arial" w:hAnsi="Arial" w:cs="Arial"/>
          <w:sz w:val="24"/>
          <w:szCs w:val="24"/>
        </w:rPr>
        <w:t>raph 73.1 of the Report (Volume 2, Part II)</w:t>
      </w:r>
      <w:r>
        <w:rPr>
          <w:rFonts w:ascii="Arial" w:hAnsi="Arial" w:cs="Arial"/>
          <w:sz w:val="24"/>
          <w:szCs w:val="24"/>
        </w:rPr>
        <w:t>.</w:t>
      </w:r>
    </w:p>
    <w:p w14:paraId="27B899C7" w14:textId="0B39F107" w:rsidR="006B1137" w:rsidRPr="006B1137" w:rsidRDefault="001948CE" w:rsidP="00215B54">
      <w:pPr>
        <w:jc w:val="both"/>
        <w:rPr>
          <w:rFonts w:ascii="Arial" w:hAnsi="Arial" w:cs="Arial"/>
          <w:sz w:val="24"/>
          <w:szCs w:val="24"/>
        </w:rPr>
      </w:pPr>
      <w:r>
        <w:rPr>
          <w:rFonts w:ascii="Arial" w:hAnsi="Arial" w:cs="Arial"/>
          <w:sz w:val="24"/>
          <w:szCs w:val="24"/>
        </w:rPr>
        <w:lastRenderedPageBreak/>
        <w:t>However, s</w:t>
      </w:r>
      <w:r w:rsidR="007D5F6B">
        <w:rPr>
          <w:rFonts w:ascii="Arial" w:hAnsi="Arial" w:cs="Arial"/>
          <w:sz w:val="24"/>
          <w:szCs w:val="24"/>
        </w:rPr>
        <w:t xml:space="preserve">ince the terms of reference refer to the PRB Report 2016, the Tribunal will </w:t>
      </w:r>
      <w:r w:rsidR="00F504C4">
        <w:rPr>
          <w:rFonts w:ascii="Arial" w:hAnsi="Arial" w:cs="Arial"/>
          <w:sz w:val="24"/>
          <w:szCs w:val="24"/>
        </w:rPr>
        <w:t xml:space="preserve">have to </w:t>
      </w:r>
      <w:r w:rsidR="007D5F6B">
        <w:rPr>
          <w:rFonts w:ascii="Arial" w:hAnsi="Arial" w:cs="Arial"/>
          <w:sz w:val="24"/>
          <w:szCs w:val="24"/>
        </w:rPr>
        <w:t>assume for the purposes of dealing with the present terms of reference</w:t>
      </w:r>
      <w:r w:rsidR="00F504C4">
        <w:rPr>
          <w:rFonts w:ascii="Arial" w:hAnsi="Arial" w:cs="Arial"/>
          <w:sz w:val="24"/>
          <w:szCs w:val="24"/>
        </w:rPr>
        <w:t xml:space="preserve"> </w:t>
      </w:r>
      <w:r w:rsidR="007D5F6B">
        <w:rPr>
          <w:rFonts w:ascii="Arial" w:hAnsi="Arial" w:cs="Arial"/>
          <w:sz w:val="24"/>
          <w:szCs w:val="24"/>
        </w:rPr>
        <w:t xml:space="preserve">that the PRB Report 2016 </w:t>
      </w:r>
      <w:r w:rsidR="004F54C6">
        <w:rPr>
          <w:rFonts w:ascii="Arial" w:hAnsi="Arial" w:cs="Arial"/>
          <w:sz w:val="24"/>
          <w:szCs w:val="24"/>
        </w:rPr>
        <w:t>i</w:t>
      </w:r>
      <w:r w:rsidR="007D5F6B">
        <w:rPr>
          <w:rFonts w:ascii="Arial" w:hAnsi="Arial" w:cs="Arial"/>
          <w:sz w:val="24"/>
          <w:szCs w:val="24"/>
        </w:rPr>
        <w:t xml:space="preserve">s the relevant PRB Report.     </w:t>
      </w:r>
    </w:p>
    <w:p w14:paraId="49A292B4" w14:textId="10A980FF" w:rsidR="00C77734" w:rsidRDefault="007D5F6B" w:rsidP="00215B54">
      <w:pPr>
        <w:jc w:val="both"/>
        <w:rPr>
          <w:rFonts w:ascii="Arial" w:hAnsi="Arial" w:cs="Arial"/>
          <w:sz w:val="24"/>
          <w:szCs w:val="24"/>
        </w:rPr>
      </w:pPr>
      <w:r>
        <w:rPr>
          <w:rFonts w:ascii="Arial" w:hAnsi="Arial" w:cs="Arial"/>
          <w:sz w:val="24"/>
          <w:szCs w:val="24"/>
        </w:rPr>
        <w:t>T</w:t>
      </w:r>
      <w:r w:rsidR="003F3394">
        <w:rPr>
          <w:rFonts w:ascii="Arial" w:hAnsi="Arial" w:cs="Arial"/>
          <w:sz w:val="24"/>
          <w:szCs w:val="24"/>
        </w:rPr>
        <w:t xml:space="preserve">he Tribunal will quote from </w:t>
      </w:r>
      <w:r w:rsidR="007229E0">
        <w:rPr>
          <w:rFonts w:ascii="Arial" w:hAnsi="Arial" w:cs="Arial"/>
          <w:sz w:val="24"/>
          <w:szCs w:val="24"/>
        </w:rPr>
        <w:t>the PRB Report 2016 at paragraph</w:t>
      </w:r>
      <w:r w:rsidR="00467681">
        <w:rPr>
          <w:rFonts w:ascii="Arial" w:hAnsi="Arial" w:cs="Arial"/>
          <w:sz w:val="24"/>
          <w:szCs w:val="24"/>
        </w:rPr>
        <w:t>s</w:t>
      </w:r>
      <w:r w:rsidR="007229E0">
        <w:rPr>
          <w:rFonts w:ascii="Arial" w:hAnsi="Arial" w:cs="Arial"/>
          <w:sz w:val="24"/>
          <w:szCs w:val="24"/>
        </w:rPr>
        <w:t xml:space="preserve"> 99.2</w:t>
      </w:r>
      <w:r w:rsidR="00467681">
        <w:rPr>
          <w:rFonts w:ascii="Arial" w:hAnsi="Arial" w:cs="Arial"/>
          <w:sz w:val="24"/>
          <w:szCs w:val="24"/>
        </w:rPr>
        <w:t>0 and 99.21</w:t>
      </w:r>
      <w:r w:rsidR="007229E0">
        <w:rPr>
          <w:rFonts w:ascii="Arial" w:hAnsi="Arial" w:cs="Arial"/>
          <w:sz w:val="24"/>
          <w:szCs w:val="24"/>
        </w:rPr>
        <w:t xml:space="preserve"> </w:t>
      </w:r>
      <w:r w:rsidR="00F504C4">
        <w:rPr>
          <w:rFonts w:ascii="Arial" w:hAnsi="Arial" w:cs="Arial"/>
          <w:sz w:val="24"/>
          <w:szCs w:val="24"/>
        </w:rPr>
        <w:t>(</w:t>
      </w:r>
      <w:r w:rsidR="007229E0">
        <w:rPr>
          <w:rFonts w:ascii="Arial" w:hAnsi="Arial" w:cs="Arial"/>
          <w:sz w:val="24"/>
          <w:szCs w:val="24"/>
        </w:rPr>
        <w:t>Volume 2</w:t>
      </w:r>
      <w:r w:rsidR="00F504C4">
        <w:rPr>
          <w:rFonts w:ascii="Arial" w:hAnsi="Arial" w:cs="Arial"/>
          <w:sz w:val="24"/>
          <w:szCs w:val="24"/>
        </w:rPr>
        <w:t>,</w:t>
      </w:r>
      <w:r w:rsidR="007229E0">
        <w:rPr>
          <w:rFonts w:ascii="Arial" w:hAnsi="Arial" w:cs="Arial"/>
          <w:sz w:val="24"/>
          <w:szCs w:val="24"/>
        </w:rPr>
        <w:t xml:space="preserve"> Part II</w:t>
      </w:r>
      <w:r w:rsidR="00F504C4">
        <w:rPr>
          <w:rFonts w:ascii="Arial" w:hAnsi="Arial" w:cs="Arial"/>
          <w:sz w:val="24"/>
          <w:szCs w:val="24"/>
        </w:rPr>
        <w:t>)</w:t>
      </w:r>
      <w:r w:rsidR="003F3394">
        <w:rPr>
          <w:rFonts w:ascii="Arial" w:hAnsi="Arial" w:cs="Arial"/>
          <w:sz w:val="24"/>
          <w:szCs w:val="24"/>
        </w:rPr>
        <w:t xml:space="preserve"> </w:t>
      </w:r>
      <w:r w:rsidR="003161A4">
        <w:rPr>
          <w:rFonts w:ascii="Arial" w:hAnsi="Arial" w:cs="Arial"/>
          <w:sz w:val="24"/>
          <w:szCs w:val="24"/>
        </w:rPr>
        <w:t xml:space="preserve">   </w:t>
      </w:r>
      <w:r w:rsidR="009B52C4">
        <w:rPr>
          <w:rFonts w:ascii="Arial" w:hAnsi="Arial" w:cs="Arial"/>
          <w:sz w:val="24"/>
          <w:szCs w:val="24"/>
        </w:rPr>
        <w:t xml:space="preserve">   </w:t>
      </w:r>
      <w:r w:rsidR="00A24139">
        <w:rPr>
          <w:rFonts w:ascii="Arial" w:hAnsi="Arial" w:cs="Arial"/>
          <w:sz w:val="24"/>
          <w:szCs w:val="24"/>
        </w:rPr>
        <w:t xml:space="preserve">      </w:t>
      </w:r>
      <w:r w:rsidR="00096999">
        <w:rPr>
          <w:rFonts w:ascii="Arial" w:hAnsi="Arial" w:cs="Arial"/>
          <w:sz w:val="24"/>
          <w:szCs w:val="24"/>
        </w:rPr>
        <w:t xml:space="preserve">     </w:t>
      </w:r>
      <w:r w:rsidR="003A2DB9">
        <w:rPr>
          <w:rFonts w:ascii="Arial" w:hAnsi="Arial" w:cs="Arial"/>
          <w:sz w:val="24"/>
          <w:szCs w:val="24"/>
        </w:rPr>
        <w:t xml:space="preserve"> </w:t>
      </w:r>
      <w:r w:rsidR="006654CE">
        <w:rPr>
          <w:rFonts w:ascii="Arial" w:hAnsi="Arial" w:cs="Arial"/>
          <w:sz w:val="24"/>
          <w:szCs w:val="24"/>
        </w:rPr>
        <w:t xml:space="preserve">   </w:t>
      </w:r>
      <w:r w:rsidR="008E36CA">
        <w:rPr>
          <w:rFonts w:ascii="Arial" w:hAnsi="Arial" w:cs="Arial"/>
          <w:sz w:val="24"/>
          <w:szCs w:val="24"/>
        </w:rPr>
        <w:t xml:space="preserve">   </w:t>
      </w:r>
      <w:r w:rsidR="00AD66F9">
        <w:rPr>
          <w:rFonts w:ascii="Arial" w:hAnsi="Arial" w:cs="Arial"/>
          <w:sz w:val="24"/>
          <w:szCs w:val="24"/>
        </w:rPr>
        <w:t xml:space="preserve"> </w:t>
      </w:r>
    </w:p>
    <w:p w14:paraId="19EA5A2B" w14:textId="77777777" w:rsidR="007229E0" w:rsidRPr="00496A1D" w:rsidRDefault="007229E0" w:rsidP="00215B54">
      <w:pPr>
        <w:jc w:val="both"/>
        <w:rPr>
          <w:rFonts w:ascii="Arial" w:hAnsi="Arial" w:cs="Arial"/>
          <w:i/>
          <w:sz w:val="24"/>
          <w:szCs w:val="24"/>
        </w:rPr>
      </w:pPr>
      <w:r w:rsidRPr="00496A1D">
        <w:rPr>
          <w:rFonts w:ascii="Arial" w:hAnsi="Arial" w:cs="Arial"/>
          <w:b/>
          <w:i/>
          <w:sz w:val="24"/>
          <w:szCs w:val="24"/>
        </w:rPr>
        <w:t>Head of Department</w:t>
      </w:r>
      <w:r w:rsidRPr="00496A1D">
        <w:rPr>
          <w:rFonts w:ascii="Arial" w:hAnsi="Arial" w:cs="Arial"/>
          <w:i/>
          <w:sz w:val="24"/>
          <w:szCs w:val="24"/>
        </w:rPr>
        <w:t xml:space="preserve"> </w:t>
      </w:r>
    </w:p>
    <w:p w14:paraId="5DB325DD" w14:textId="6F3DF7E6" w:rsidR="007229E0" w:rsidRPr="00496A1D" w:rsidRDefault="007229E0" w:rsidP="007229E0">
      <w:pPr>
        <w:ind w:left="993" w:hanging="993"/>
        <w:jc w:val="both"/>
        <w:rPr>
          <w:rFonts w:ascii="Arial" w:hAnsi="Arial" w:cs="Arial"/>
          <w:i/>
          <w:sz w:val="24"/>
          <w:szCs w:val="24"/>
        </w:rPr>
      </w:pPr>
      <w:r w:rsidRPr="00496A1D">
        <w:rPr>
          <w:rFonts w:ascii="Arial" w:hAnsi="Arial" w:cs="Arial"/>
          <w:i/>
          <w:sz w:val="24"/>
          <w:szCs w:val="24"/>
        </w:rPr>
        <w:t xml:space="preserve">99.20 </w:t>
      </w:r>
      <w:r w:rsidRPr="00496A1D">
        <w:rPr>
          <w:rFonts w:ascii="Arial" w:hAnsi="Arial" w:cs="Arial"/>
          <w:i/>
          <w:sz w:val="24"/>
          <w:szCs w:val="24"/>
        </w:rPr>
        <w:tab/>
        <w:t xml:space="preserve">Heads of Department are selected on a seniority basis in their respective Private Secondary Schools from among Educators (Private Secondary Schools) possessing qualifications required to cross the QB. In the absence of fully qualified candidates, Educators (Private Secondary Schools) who do not possess the qualifications to cross the QB, but reckon at least five years’ post qualification experience and having teached </w:t>
      </w:r>
      <w:r w:rsidR="001C2688">
        <w:rPr>
          <w:rFonts w:ascii="Arial" w:hAnsi="Arial" w:cs="Arial"/>
          <w:sz w:val="24"/>
          <w:szCs w:val="24"/>
        </w:rPr>
        <w:t xml:space="preserve">(sic) </w:t>
      </w:r>
      <w:r w:rsidRPr="00496A1D">
        <w:rPr>
          <w:rFonts w:ascii="Arial" w:hAnsi="Arial" w:cs="Arial"/>
          <w:i/>
          <w:sz w:val="24"/>
          <w:szCs w:val="24"/>
        </w:rPr>
        <w:t xml:space="preserve">up to Form V/Form VI when posted respectively in Form V/Form VI colleges are also considered for the designated position. The Heads of Department are required to advise the Rector on matters relating to their respective specialities. e.g., syllabus, choice of books, laboratory equipment, timetable, internal examinations etc. </w:t>
      </w:r>
    </w:p>
    <w:p w14:paraId="3C4E8524" w14:textId="77777777" w:rsidR="007229E0" w:rsidRPr="00496A1D" w:rsidRDefault="007229E0" w:rsidP="007229E0">
      <w:pPr>
        <w:ind w:left="993" w:hanging="993"/>
        <w:jc w:val="both"/>
        <w:rPr>
          <w:rFonts w:ascii="Arial" w:hAnsi="Arial" w:cs="Arial"/>
          <w:i/>
          <w:sz w:val="24"/>
          <w:szCs w:val="24"/>
        </w:rPr>
      </w:pPr>
      <w:r w:rsidRPr="00496A1D">
        <w:rPr>
          <w:rFonts w:ascii="Arial" w:hAnsi="Arial" w:cs="Arial"/>
          <w:i/>
          <w:sz w:val="24"/>
          <w:szCs w:val="24"/>
        </w:rPr>
        <w:t xml:space="preserve">99.21 The list of subjects and subject combinations for which a headship allowance is paid has been established by the Private Secondary School Authority and at present the criteria for eligibility to the position of Head of Department, are as hereunder: </w:t>
      </w:r>
    </w:p>
    <w:p w14:paraId="34E164C4" w14:textId="77777777" w:rsidR="007229E0" w:rsidRPr="00496A1D" w:rsidRDefault="007229E0" w:rsidP="007229E0">
      <w:pPr>
        <w:ind w:left="993" w:hanging="273"/>
        <w:jc w:val="both"/>
        <w:rPr>
          <w:rFonts w:ascii="Arial" w:hAnsi="Arial" w:cs="Arial"/>
          <w:i/>
          <w:sz w:val="24"/>
          <w:szCs w:val="24"/>
        </w:rPr>
      </w:pPr>
      <w:r w:rsidRPr="00496A1D">
        <w:rPr>
          <w:rFonts w:ascii="Arial" w:hAnsi="Arial" w:cs="Arial"/>
          <w:i/>
          <w:sz w:val="24"/>
          <w:szCs w:val="24"/>
        </w:rPr>
        <w:t xml:space="preserve">(i) there should be two or more Educators (Private Secondary Schools) with a full time-table in the Department. </w:t>
      </w:r>
    </w:p>
    <w:p w14:paraId="43A707B0" w14:textId="77777777" w:rsidR="007229E0" w:rsidRPr="00496A1D" w:rsidRDefault="007229E0" w:rsidP="007229E0">
      <w:pPr>
        <w:ind w:left="993" w:hanging="273"/>
        <w:jc w:val="both"/>
        <w:rPr>
          <w:rFonts w:ascii="Arial" w:hAnsi="Arial" w:cs="Arial"/>
          <w:i/>
          <w:sz w:val="24"/>
          <w:szCs w:val="24"/>
        </w:rPr>
      </w:pPr>
      <w:r w:rsidRPr="00496A1D">
        <w:rPr>
          <w:rFonts w:ascii="Arial" w:hAnsi="Arial" w:cs="Arial"/>
          <w:i/>
          <w:sz w:val="24"/>
          <w:szCs w:val="24"/>
        </w:rPr>
        <w:t xml:space="preserve">(ii) Educators (Private Secondary Schools) are teaching the subject for at least 1000 minutes weekly. </w:t>
      </w:r>
    </w:p>
    <w:p w14:paraId="41C4DA7A" w14:textId="79DEC8F8" w:rsidR="0015139D" w:rsidRPr="00496A1D" w:rsidRDefault="007229E0" w:rsidP="007229E0">
      <w:pPr>
        <w:ind w:left="993" w:hanging="273"/>
        <w:jc w:val="both"/>
        <w:rPr>
          <w:rFonts w:ascii="Arial" w:hAnsi="Arial" w:cs="Arial"/>
          <w:i/>
          <w:sz w:val="24"/>
          <w:szCs w:val="24"/>
        </w:rPr>
      </w:pPr>
      <w:r w:rsidRPr="00496A1D">
        <w:rPr>
          <w:rFonts w:ascii="Arial" w:hAnsi="Arial" w:cs="Arial"/>
          <w:i/>
          <w:sz w:val="24"/>
          <w:szCs w:val="24"/>
        </w:rPr>
        <w:t xml:space="preserve">(iii) the total teaching time in the department should not be less than the full workload of a full-time teacher or approximately 1190 minutes per week. </w:t>
      </w:r>
      <w:r w:rsidR="00D2646C" w:rsidRPr="00496A1D">
        <w:rPr>
          <w:rFonts w:ascii="Arial" w:hAnsi="Arial" w:cs="Arial"/>
          <w:i/>
          <w:sz w:val="24"/>
          <w:szCs w:val="24"/>
        </w:rPr>
        <w:t xml:space="preserve"> </w:t>
      </w:r>
    </w:p>
    <w:p w14:paraId="10B8956F" w14:textId="2FDE91B8" w:rsidR="00E41EC9" w:rsidRPr="00496A1D" w:rsidRDefault="007229E0" w:rsidP="00215B54">
      <w:pPr>
        <w:jc w:val="both"/>
        <w:rPr>
          <w:rFonts w:ascii="Arial" w:hAnsi="Arial" w:cs="Arial"/>
          <w:sz w:val="24"/>
          <w:szCs w:val="24"/>
        </w:rPr>
      </w:pPr>
      <w:r w:rsidRPr="00496A1D">
        <w:rPr>
          <w:rFonts w:ascii="Arial" w:hAnsi="Arial" w:cs="Arial"/>
          <w:sz w:val="24"/>
          <w:szCs w:val="24"/>
        </w:rPr>
        <w:t xml:space="preserve">The PRB in </w:t>
      </w:r>
      <w:r w:rsidR="00C738AD">
        <w:rPr>
          <w:rFonts w:ascii="Arial" w:hAnsi="Arial" w:cs="Arial"/>
          <w:sz w:val="24"/>
          <w:szCs w:val="24"/>
        </w:rPr>
        <w:t>its 2016</w:t>
      </w:r>
      <w:r w:rsidRPr="00496A1D">
        <w:rPr>
          <w:rFonts w:ascii="Arial" w:hAnsi="Arial" w:cs="Arial"/>
          <w:sz w:val="24"/>
          <w:szCs w:val="24"/>
        </w:rPr>
        <w:t xml:space="preserve"> Report thus deliberately refers to </w:t>
      </w:r>
      <w:r w:rsidR="008B1650">
        <w:rPr>
          <w:rFonts w:ascii="Arial" w:hAnsi="Arial" w:cs="Arial"/>
          <w:sz w:val="24"/>
          <w:szCs w:val="24"/>
        </w:rPr>
        <w:t xml:space="preserve">and acknowledges </w:t>
      </w:r>
      <w:r w:rsidRPr="00496A1D">
        <w:rPr>
          <w:rFonts w:ascii="Arial" w:hAnsi="Arial" w:cs="Arial"/>
          <w:sz w:val="24"/>
          <w:szCs w:val="24"/>
        </w:rPr>
        <w:t xml:space="preserve">criteria for eligibility </w:t>
      </w:r>
      <w:r w:rsidR="009F1ABF">
        <w:rPr>
          <w:rFonts w:ascii="Arial" w:hAnsi="Arial" w:cs="Arial"/>
          <w:sz w:val="24"/>
          <w:szCs w:val="24"/>
        </w:rPr>
        <w:t xml:space="preserve">to the position of Head of Department </w:t>
      </w:r>
      <w:r w:rsidRPr="00496A1D">
        <w:rPr>
          <w:rFonts w:ascii="Arial" w:hAnsi="Arial" w:cs="Arial"/>
          <w:sz w:val="24"/>
          <w:szCs w:val="24"/>
        </w:rPr>
        <w:t>which ha</w:t>
      </w:r>
      <w:r w:rsidR="00150114">
        <w:rPr>
          <w:rFonts w:ascii="Arial" w:hAnsi="Arial" w:cs="Arial"/>
          <w:sz w:val="24"/>
          <w:szCs w:val="24"/>
        </w:rPr>
        <w:t>ve</w:t>
      </w:r>
      <w:r w:rsidRPr="00496A1D">
        <w:rPr>
          <w:rFonts w:ascii="Arial" w:hAnsi="Arial" w:cs="Arial"/>
          <w:sz w:val="24"/>
          <w:szCs w:val="24"/>
        </w:rPr>
        <w:t xml:space="preserve"> been </w:t>
      </w:r>
      <w:r w:rsidR="009F1ABF">
        <w:rPr>
          <w:rFonts w:ascii="Arial" w:hAnsi="Arial" w:cs="Arial"/>
          <w:sz w:val="24"/>
          <w:szCs w:val="24"/>
        </w:rPr>
        <w:t xml:space="preserve">“elaborated” </w:t>
      </w:r>
      <w:r w:rsidR="00E41EC9" w:rsidRPr="00496A1D">
        <w:rPr>
          <w:rFonts w:ascii="Arial" w:hAnsi="Arial" w:cs="Arial"/>
          <w:sz w:val="24"/>
          <w:szCs w:val="24"/>
        </w:rPr>
        <w:t>by Co-Respondent No 1</w:t>
      </w:r>
      <w:r w:rsidR="009F1ABF">
        <w:rPr>
          <w:rFonts w:ascii="Arial" w:hAnsi="Arial" w:cs="Arial"/>
          <w:sz w:val="24"/>
          <w:szCs w:val="24"/>
        </w:rPr>
        <w:t xml:space="preserve"> (as is </w:t>
      </w:r>
      <w:r w:rsidR="001948CE">
        <w:rPr>
          <w:rFonts w:ascii="Arial" w:hAnsi="Arial" w:cs="Arial"/>
          <w:sz w:val="24"/>
          <w:szCs w:val="24"/>
        </w:rPr>
        <w:t>more apparent</w:t>
      </w:r>
      <w:r w:rsidR="009F1ABF">
        <w:rPr>
          <w:rFonts w:ascii="Arial" w:hAnsi="Arial" w:cs="Arial"/>
          <w:sz w:val="24"/>
          <w:szCs w:val="24"/>
        </w:rPr>
        <w:t xml:space="preserve"> from paragraph 99.12 of the PRB Report 2013 (Vol. 2, Part II)).  </w:t>
      </w:r>
      <w:r w:rsidR="00E41EC9" w:rsidRPr="00496A1D">
        <w:rPr>
          <w:rFonts w:ascii="Arial" w:hAnsi="Arial" w:cs="Arial"/>
          <w:sz w:val="24"/>
          <w:szCs w:val="24"/>
        </w:rPr>
        <w:t>Th</w:t>
      </w:r>
      <w:r w:rsidR="00150114">
        <w:rPr>
          <w:rFonts w:ascii="Arial" w:hAnsi="Arial" w:cs="Arial"/>
          <w:sz w:val="24"/>
          <w:szCs w:val="24"/>
        </w:rPr>
        <w:t xml:space="preserve">ese </w:t>
      </w:r>
      <w:r w:rsidR="009F1ABF">
        <w:rPr>
          <w:rFonts w:ascii="Arial" w:hAnsi="Arial" w:cs="Arial"/>
          <w:sz w:val="24"/>
          <w:szCs w:val="24"/>
        </w:rPr>
        <w:t>criteria are</w:t>
      </w:r>
      <w:r w:rsidR="00E41EC9" w:rsidRPr="00496A1D">
        <w:rPr>
          <w:rFonts w:ascii="Arial" w:hAnsi="Arial" w:cs="Arial"/>
          <w:sz w:val="24"/>
          <w:szCs w:val="24"/>
        </w:rPr>
        <w:t xml:space="preserve"> </w:t>
      </w:r>
      <w:r w:rsidR="008B1650">
        <w:rPr>
          <w:rFonts w:ascii="Arial" w:hAnsi="Arial" w:cs="Arial"/>
          <w:sz w:val="24"/>
          <w:szCs w:val="24"/>
        </w:rPr>
        <w:t xml:space="preserve">still further elaborated </w:t>
      </w:r>
      <w:r w:rsidR="00E41EC9" w:rsidRPr="00496A1D">
        <w:rPr>
          <w:rFonts w:ascii="Arial" w:hAnsi="Arial" w:cs="Arial"/>
          <w:sz w:val="24"/>
          <w:szCs w:val="24"/>
        </w:rPr>
        <w:t>in Doc B which provides in its Annex 1 the following:</w:t>
      </w:r>
    </w:p>
    <w:p w14:paraId="40CD3939" w14:textId="77777777" w:rsidR="00E41EC9" w:rsidRPr="00496A1D" w:rsidRDefault="00E41EC9" w:rsidP="00215B54">
      <w:pPr>
        <w:jc w:val="both"/>
        <w:rPr>
          <w:rFonts w:ascii="Arial" w:hAnsi="Arial" w:cs="Arial"/>
          <w:i/>
          <w:sz w:val="24"/>
          <w:szCs w:val="24"/>
        </w:rPr>
      </w:pPr>
      <w:r w:rsidRPr="00496A1D">
        <w:rPr>
          <w:rFonts w:ascii="Arial" w:hAnsi="Arial" w:cs="Arial"/>
          <w:i/>
          <w:sz w:val="24"/>
          <w:szCs w:val="24"/>
        </w:rPr>
        <w:t>…</w:t>
      </w:r>
    </w:p>
    <w:p w14:paraId="09F8C168" w14:textId="77777777" w:rsidR="00E41EC9" w:rsidRPr="00496A1D" w:rsidRDefault="00E41EC9" w:rsidP="00215B54">
      <w:pPr>
        <w:jc w:val="both"/>
        <w:rPr>
          <w:rFonts w:ascii="Arial" w:hAnsi="Arial" w:cs="Arial"/>
          <w:i/>
          <w:sz w:val="24"/>
          <w:szCs w:val="24"/>
        </w:rPr>
      </w:pPr>
      <w:r w:rsidRPr="00496A1D">
        <w:rPr>
          <w:rFonts w:ascii="Arial" w:hAnsi="Arial" w:cs="Arial"/>
          <w:i/>
          <w:sz w:val="24"/>
          <w:szCs w:val="24"/>
        </w:rPr>
        <w:t xml:space="preserve">(17) </w:t>
      </w:r>
      <w:r w:rsidRPr="00496A1D">
        <w:rPr>
          <w:rFonts w:ascii="Arial" w:hAnsi="Arial" w:cs="Arial"/>
          <w:b/>
          <w:i/>
          <w:sz w:val="24"/>
          <w:szCs w:val="24"/>
          <w:u w:val="single"/>
        </w:rPr>
        <w:t>Criteria for HODs and SLs</w:t>
      </w:r>
    </w:p>
    <w:p w14:paraId="37FE58A8" w14:textId="7142AB87" w:rsidR="0015139D" w:rsidRDefault="008D3973" w:rsidP="00215B54">
      <w:pPr>
        <w:jc w:val="both"/>
        <w:rPr>
          <w:rFonts w:ascii="Arial" w:hAnsi="Arial" w:cs="Arial"/>
          <w:i/>
          <w:sz w:val="24"/>
          <w:szCs w:val="24"/>
        </w:rPr>
      </w:pPr>
      <w:r w:rsidRPr="00496A1D">
        <w:rPr>
          <w:rFonts w:ascii="Arial" w:hAnsi="Arial" w:cs="Arial"/>
          <w:i/>
          <w:sz w:val="24"/>
          <w:szCs w:val="24"/>
        </w:rPr>
        <w:lastRenderedPageBreak/>
        <w:tab/>
        <w:t xml:space="preserve">HODs and SLs designated should satisfy the criteria listed in the relevant PSEA Circular.  These include criteria based on seniority, qualifications, workloads and subjects in the current time-table.  In case of non-approval of any HODs/SLs, their full workloads should be subsequently restored as far as this does not jeopardise the time-table.   </w:t>
      </w:r>
    </w:p>
    <w:p w14:paraId="7F5FB178" w14:textId="310D705A" w:rsidR="00A47DF6" w:rsidRDefault="00A47DF6" w:rsidP="00215B54">
      <w:pPr>
        <w:jc w:val="both"/>
        <w:rPr>
          <w:rFonts w:ascii="Arial" w:hAnsi="Arial" w:cs="Arial"/>
          <w:sz w:val="24"/>
          <w:szCs w:val="24"/>
        </w:rPr>
      </w:pPr>
      <w:r>
        <w:rPr>
          <w:rFonts w:ascii="Arial" w:hAnsi="Arial" w:cs="Arial"/>
          <w:sz w:val="24"/>
          <w:szCs w:val="24"/>
        </w:rPr>
        <w:t xml:space="preserve">The Tribunal may, for instance, refer to </w:t>
      </w:r>
      <w:r w:rsidR="00EC1FC2">
        <w:rPr>
          <w:rFonts w:ascii="Arial" w:hAnsi="Arial" w:cs="Arial"/>
          <w:sz w:val="24"/>
          <w:szCs w:val="24"/>
        </w:rPr>
        <w:t>one</w:t>
      </w:r>
      <w:r>
        <w:rPr>
          <w:rFonts w:ascii="Arial" w:hAnsi="Arial" w:cs="Arial"/>
          <w:sz w:val="24"/>
          <w:szCs w:val="24"/>
        </w:rPr>
        <w:t xml:space="preserve"> particular guideline (under Guideline 3 at Annex 2 to Doc B) which reads as follows:</w:t>
      </w:r>
    </w:p>
    <w:p w14:paraId="07ACAABB" w14:textId="3E35961A" w:rsidR="00A47DF6" w:rsidRPr="00A47DF6" w:rsidRDefault="00A47DF6" w:rsidP="00215B54">
      <w:pPr>
        <w:jc w:val="both"/>
        <w:rPr>
          <w:rFonts w:ascii="Arial" w:hAnsi="Arial" w:cs="Arial"/>
          <w:sz w:val="24"/>
          <w:szCs w:val="24"/>
        </w:rPr>
      </w:pPr>
      <w:r w:rsidRPr="00A47DF6">
        <w:rPr>
          <w:rFonts w:ascii="Arial" w:hAnsi="Arial" w:cs="Arial"/>
          <w:i/>
          <w:sz w:val="24"/>
          <w:szCs w:val="24"/>
        </w:rPr>
        <w:t>An Educator is reckoned in the department in which he/she has the highest number of periods</w:t>
      </w:r>
      <w:r>
        <w:rPr>
          <w:rFonts w:ascii="Arial" w:hAnsi="Arial" w:cs="Arial"/>
          <w:sz w:val="24"/>
          <w:szCs w:val="24"/>
        </w:rPr>
        <w:t xml:space="preserve">.  Though this is not expressly provided for in the PRB Report 2016, we have no </w:t>
      </w:r>
      <w:r w:rsidR="00C1515D">
        <w:rPr>
          <w:rFonts w:ascii="Arial" w:hAnsi="Arial" w:cs="Arial"/>
          <w:sz w:val="24"/>
          <w:szCs w:val="24"/>
        </w:rPr>
        <w:t xml:space="preserve">doubt </w:t>
      </w:r>
      <w:r>
        <w:rPr>
          <w:rFonts w:ascii="Arial" w:hAnsi="Arial" w:cs="Arial"/>
          <w:sz w:val="24"/>
          <w:szCs w:val="24"/>
        </w:rPr>
        <w:t xml:space="preserve">that this </w:t>
      </w:r>
      <w:r w:rsidR="001948CE">
        <w:rPr>
          <w:rFonts w:ascii="Arial" w:hAnsi="Arial" w:cs="Arial"/>
          <w:sz w:val="24"/>
          <w:szCs w:val="24"/>
        </w:rPr>
        <w:t>may</w:t>
      </w:r>
      <w:r>
        <w:rPr>
          <w:rFonts w:ascii="Arial" w:hAnsi="Arial" w:cs="Arial"/>
          <w:sz w:val="24"/>
          <w:szCs w:val="24"/>
        </w:rPr>
        <w:t xml:space="preserve"> be a </w:t>
      </w:r>
      <w:r w:rsidR="001948CE">
        <w:rPr>
          <w:rFonts w:ascii="Arial" w:hAnsi="Arial" w:cs="Arial"/>
          <w:sz w:val="24"/>
          <w:szCs w:val="24"/>
        </w:rPr>
        <w:t>convenient</w:t>
      </w:r>
      <w:r w:rsidR="00F3217E">
        <w:rPr>
          <w:rFonts w:ascii="Arial" w:hAnsi="Arial" w:cs="Arial"/>
          <w:sz w:val="24"/>
          <w:szCs w:val="24"/>
        </w:rPr>
        <w:t>, practical</w:t>
      </w:r>
      <w:r>
        <w:rPr>
          <w:rFonts w:ascii="Arial" w:hAnsi="Arial" w:cs="Arial"/>
          <w:sz w:val="24"/>
          <w:szCs w:val="24"/>
        </w:rPr>
        <w:t xml:space="preserve"> and reasonable guideline/criteri</w:t>
      </w:r>
      <w:r w:rsidR="001948CE">
        <w:rPr>
          <w:rFonts w:ascii="Arial" w:hAnsi="Arial" w:cs="Arial"/>
          <w:sz w:val="24"/>
          <w:szCs w:val="24"/>
        </w:rPr>
        <w:t>on</w:t>
      </w:r>
      <w:r>
        <w:rPr>
          <w:rFonts w:ascii="Arial" w:hAnsi="Arial" w:cs="Arial"/>
          <w:sz w:val="24"/>
          <w:szCs w:val="24"/>
        </w:rPr>
        <w:t xml:space="preserve"> in a relevant case.     </w:t>
      </w:r>
    </w:p>
    <w:p w14:paraId="7DFED6A8" w14:textId="17716F43" w:rsidR="007229E0" w:rsidRPr="00496A1D" w:rsidRDefault="00C6162D" w:rsidP="00215B54">
      <w:pPr>
        <w:jc w:val="both"/>
        <w:rPr>
          <w:rFonts w:ascii="Arial" w:hAnsi="Arial" w:cs="Arial"/>
          <w:sz w:val="24"/>
          <w:szCs w:val="24"/>
        </w:rPr>
      </w:pPr>
      <w:r w:rsidRPr="00496A1D">
        <w:rPr>
          <w:rFonts w:ascii="Arial" w:hAnsi="Arial" w:cs="Arial"/>
          <w:sz w:val="24"/>
          <w:szCs w:val="24"/>
        </w:rPr>
        <w:t xml:space="preserve">The Tribunal </w:t>
      </w:r>
      <w:r w:rsidR="00EC1FC2">
        <w:rPr>
          <w:rFonts w:ascii="Arial" w:hAnsi="Arial" w:cs="Arial"/>
          <w:sz w:val="24"/>
          <w:szCs w:val="24"/>
        </w:rPr>
        <w:t>will</w:t>
      </w:r>
      <w:r w:rsidRPr="00496A1D">
        <w:rPr>
          <w:rFonts w:ascii="Arial" w:hAnsi="Arial" w:cs="Arial"/>
          <w:sz w:val="24"/>
          <w:szCs w:val="24"/>
        </w:rPr>
        <w:t xml:space="preserve"> also refer</w:t>
      </w:r>
      <w:r w:rsidR="00C129A0">
        <w:rPr>
          <w:rFonts w:ascii="Arial" w:hAnsi="Arial" w:cs="Arial"/>
          <w:sz w:val="24"/>
          <w:szCs w:val="24"/>
        </w:rPr>
        <w:t>, as mere guidance,</w:t>
      </w:r>
      <w:r w:rsidRPr="00496A1D">
        <w:rPr>
          <w:rFonts w:ascii="Arial" w:hAnsi="Arial" w:cs="Arial"/>
          <w:sz w:val="24"/>
          <w:szCs w:val="24"/>
        </w:rPr>
        <w:t xml:space="preserve"> to the following provisions in the PRB Report 2021</w:t>
      </w:r>
      <w:r w:rsidR="00DD43FA">
        <w:rPr>
          <w:rFonts w:ascii="Arial" w:hAnsi="Arial" w:cs="Arial"/>
          <w:sz w:val="24"/>
          <w:szCs w:val="24"/>
        </w:rPr>
        <w:t xml:space="preserve"> </w:t>
      </w:r>
      <w:r w:rsidRPr="00496A1D">
        <w:rPr>
          <w:rFonts w:ascii="Arial" w:hAnsi="Arial" w:cs="Arial"/>
          <w:sz w:val="24"/>
          <w:szCs w:val="24"/>
        </w:rPr>
        <w:t>under the heading ‘Secondary School Sector’ of the</w:t>
      </w:r>
      <w:r w:rsidR="00064537" w:rsidRPr="00496A1D">
        <w:rPr>
          <w:rFonts w:ascii="Arial" w:hAnsi="Arial" w:cs="Arial"/>
          <w:sz w:val="24"/>
          <w:szCs w:val="24"/>
        </w:rPr>
        <w:t xml:space="preserve"> </w:t>
      </w:r>
      <w:r w:rsidRPr="00496A1D">
        <w:rPr>
          <w:rFonts w:ascii="Arial" w:hAnsi="Arial" w:cs="Arial"/>
          <w:sz w:val="24"/>
          <w:szCs w:val="24"/>
        </w:rPr>
        <w:t>Chapter dealing with the Ministry of Education, Tertiary Education, Science and Technology:</w:t>
      </w:r>
      <w:r w:rsidR="00E41EC9" w:rsidRPr="00496A1D">
        <w:rPr>
          <w:rFonts w:ascii="Arial" w:hAnsi="Arial" w:cs="Arial"/>
          <w:sz w:val="24"/>
          <w:szCs w:val="24"/>
        </w:rPr>
        <w:t xml:space="preserve">   </w:t>
      </w:r>
    </w:p>
    <w:p w14:paraId="0BDC34ED" w14:textId="77777777" w:rsidR="00C6162D" w:rsidRPr="00496A1D" w:rsidRDefault="005066C6" w:rsidP="00215B54">
      <w:pPr>
        <w:jc w:val="both"/>
        <w:rPr>
          <w:rFonts w:ascii="Arial" w:hAnsi="Arial" w:cs="Arial"/>
          <w:i/>
          <w:sz w:val="24"/>
          <w:szCs w:val="24"/>
        </w:rPr>
      </w:pPr>
      <w:r w:rsidRPr="00496A1D">
        <w:rPr>
          <w:rFonts w:ascii="Arial" w:hAnsi="Arial" w:cs="Arial"/>
          <w:i/>
          <w:sz w:val="24"/>
          <w:szCs w:val="24"/>
        </w:rPr>
        <w:t xml:space="preserve">19.78 An Extended Four-Year Programme has also been introduced in a bid to give sound learning opportunities to students needing more time to attain the required level of competencies. Every Regional Secondary School is required to have a special class for students who have not met the minimum standards at the PSAC. These students complete their Basic Education Cycle in four years instead of three and sit for the National Certificate of Education Assessment at the end of the cycle. With the introduction of the Extended Four-Year Programme, the prevocational sector has phased out. </w:t>
      </w:r>
    </w:p>
    <w:p w14:paraId="514152E6" w14:textId="77777777" w:rsidR="00C6162D" w:rsidRPr="00496A1D" w:rsidRDefault="005066C6" w:rsidP="00215B54">
      <w:pPr>
        <w:jc w:val="both"/>
        <w:rPr>
          <w:rFonts w:ascii="Arial" w:hAnsi="Arial" w:cs="Arial"/>
          <w:i/>
          <w:sz w:val="24"/>
          <w:szCs w:val="24"/>
        </w:rPr>
      </w:pPr>
      <w:r w:rsidRPr="00496A1D">
        <w:rPr>
          <w:rFonts w:ascii="Arial" w:hAnsi="Arial" w:cs="Arial"/>
          <w:i/>
          <w:sz w:val="24"/>
          <w:szCs w:val="24"/>
        </w:rPr>
        <w:t xml:space="preserve">19.79 In the context of this Report, the Bureau had consultative meetings with both Management and the staff side of the Secondary Sector. The Unions mainly requested for: </w:t>
      </w:r>
    </w:p>
    <w:p w14:paraId="50143F5A" w14:textId="78C0C9F3" w:rsidR="00C6162D" w:rsidRPr="00496A1D" w:rsidRDefault="00AF3BA4" w:rsidP="00215B54">
      <w:pPr>
        <w:jc w:val="both"/>
        <w:rPr>
          <w:rFonts w:ascii="Arial" w:hAnsi="Arial" w:cs="Arial"/>
          <w:i/>
          <w:sz w:val="24"/>
          <w:szCs w:val="24"/>
        </w:rPr>
      </w:pPr>
      <w:r>
        <w:rPr>
          <w:rFonts w:ascii="Arial" w:hAnsi="Arial" w:cs="Arial"/>
          <w:sz w:val="24"/>
          <w:szCs w:val="24"/>
        </w:rPr>
        <w:t xml:space="preserve">… [not </w:t>
      </w:r>
      <w:r w:rsidR="00DD43FA">
        <w:rPr>
          <w:rFonts w:ascii="Arial" w:hAnsi="Arial" w:cs="Arial"/>
          <w:sz w:val="24"/>
          <w:szCs w:val="24"/>
        </w:rPr>
        <w:t xml:space="preserve">material </w:t>
      </w:r>
      <w:r>
        <w:rPr>
          <w:rFonts w:ascii="Arial" w:hAnsi="Arial" w:cs="Arial"/>
          <w:sz w:val="24"/>
          <w:szCs w:val="24"/>
        </w:rPr>
        <w:t xml:space="preserve">for the present </w:t>
      </w:r>
      <w:r w:rsidR="00DD43FA">
        <w:rPr>
          <w:rFonts w:ascii="Arial" w:hAnsi="Arial" w:cs="Arial"/>
          <w:sz w:val="24"/>
          <w:szCs w:val="24"/>
        </w:rPr>
        <w:t>dispute</w:t>
      </w:r>
      <w:r>
        <w:rPr>
          <w:rFonts w:ascii="Arial" w:hAnsi="Arial" w:cs="Arial"/>
          <w:sz w:val="24"/>
          <w:szCs w:val="24"/>
        </w:rPr>
        <w:t>]</w:t>
      </w:r>
    </w:p>
    <w:p w14:paraId="7F621A4E" w14:textId="72E2F0B6" w:rsidR="00C6162D" w:rsidRPr="00496A1D" w:rsidRDefault="005066C6" w:rsidP="00215B54">
      <w:pPr>
        <w:jc w:val="both"/>
        <w:rPr>
          <w:rFonts w:ascii="Arial" w:hAnsi="Arial" w:cs="Arial"/>
          <w:i/>
          <w:sz w:val="24"/>
          <w:szCs w:val="24"/>
        </w:rPr>
      </w:pPr>
      <w:r w:rsidRPr="00496A1D">
        <w:rPr>
          <w:rFonts w:ascii="Arial" w:hAnsi="Arial" w:cs="Arial"/>
          <w:i/>
          <w:sz w:val="24"/>
          <w:szCs w:val="24"/>
        </w:rPr>
        <w:t xml:space="preserve">19.80 On the other hand, the main submissions of Management for the Secondary Sector pertained to the integration of grades in the prevocational sector into the mainstream grades as the latter has phased out with the introduction of the Nine Year Continuous Basic Education; the scheme of service for the grade of Educator (Secondary) to be reviewed to include online teaching, assessment and evaluation; to maintain the duration of teaching of Educator (Secondary) to 1190 minutes; </w:t>
      </w:r>
      <w:r w:rsidR="00941757" w:rsidRPr="00496A1D">
        <w:rPr>
          <w:rFonts w:ascii="Arial" w:hAnsi="Arial" w:cs="Arial"/>
          <w:i/>
          <w:sz w:val="24"/>
          <w:szCs w:val="24"/>
        </w:rPr>
        <w:t xml:space="preserve">…. </w:t>
      </w:r>
    </w:p>
    <w:p w14:paraId="08E7073F" w14:textId="77777777" w:rsidR="00941757" w:rsidRPr="00496A1D" w:rsidRDefault="005066C6" w:rsidP="00215B54">
      <w:pPr>
        <w:jc w:val="both"/>
        <w:rPr>
          <w:rFonts w:ascii="Arial" w:hAnsi="Arial" w:cs="Arial"/>
          <w:i/>
          <w:sz w:val="24"/>
          <w:szCs w:val="24"/>
        </w:rPr>
      </w:pPr>
      <w:r w:rsidRPr="00496A1D">
        <w:rPr>
          <w:rFonts w:ascii="Arial" w:hAnsi="Arial" w:cs="Arial"/>
          <w:i/>
          <w:sz w:val="24"/>
          <w:szCs w:val="24"/>
        </w:rPr>
        <w:t xml:space="preserve">19.81 </w:t>
      </w:r>
      <w:r w:rsidR="00C6162D" w:rsidRPr="00496A1D">
        <w:rPr>
          <w:rFonts w:ascii="Arial" w:hAnsi="Arial" w:cs="Arial"/>
          <w:i/>
          <w:sz w:val="24"/>
          <w:szCs w:val="24"/>
        </w:rPr>
        <w:t xml:space="preserve">… </w:t>
      </w:r>
    </w:p>
    <w:p w14:paraId="6FBCA792" w14:textId="220DC219" w:rsidR="00E41EC9" w:rsidRPr="00496A1D" w:rsidRDefault="005066C6" w:rsidP="00215B54">
      <w:pPr>
        <w:jc w:val="both"/>
        <w:rPr>
          <w:rFonts w:ascii="Arial" w:hAnsi="Arial" w:cs="Arial"/>
          <w:i/>
          <w:sz w:val="24"/>
          <w:szCs w:val="24"/>
        </w:rPr>
      </w:pPr>
      <w:r w:rsidRPr="00496A1D">
        <w:rPr>
          <w:rFonts w:ascii="Arial" w:hAnsi="Arial" w:cs="Arial"/>
          <w:i/>
          <w:sz w:val="24"/>
          <w:szCs w:val="24"/>
        </w:rPr>
        <w:t xml:space="preserve">19.82 We are, in the ensuing paragraphs, making appropriate recommendations for the Secondary Sector taking into consideration several factors such as the introduction of the Nine Year Continuous Basic Education, the phasing out of the prevocational sector and the COVID-19 Pandemic. </w:t>
      </w:r>
    </w:p>
    <w:p w14:paraId="3655BE0E" w14:textId="77777777" w:rsidR="00C6162D" w:rsidRPr="00496A1D" w:rsidRDefault="00C6162D" w:rsidP="00C6162D">
      <w:pPr>
        <w:jc w:val="both"/>
        <w:rPr>
          <w:rFonts w:ascii="Arial" w:hAnsi="Arial" w:cs="Arial"/>
          <w:b/>
          <w:i/>
          <w:sz w:val="24"/>
          <w:szCs w:val="24"/>
        </w:rPr>
      </w:pPr>
      <w:r w:rsidRPr="00496A1D">
        <w:rPr>
          <w:rFonts w:ascii="Arial" w:hAnsi="Arial" w:cs="Arial"/>
          <w:b/>
          <w:i/>
          <w:sz w:val="24"/>
          <w:szCs w:val="24"/>
        </w:rPr>
        <w:lastRenderedPageBreak/>
        <w:t xml:space="preserve">Educator (Secondary) (Prevocational) (Personal) </w:t>
      </w:r>
    </w:p>
    <w:p w14:paraId="1268EBE4" w14:textId="77777777" w:rsidR="00C6162D" w:rsidRPr="00496A1D" w:rsidRDefault="00C6162D" w:rsidP="00C6162D">
      <w:pPr>
        <w:jc w:val="both"/>
        <w:rPr>
          <w:rFonts w:ascii="Arial" w:hAnsi="Arial" w:cs="Arial"/>
          <w:i/>
          <w:sz w:val="24"/>
          <w:szCs w:val="24"/>
        </w:rPr>
      </w:pPr>
      <w:r w:rsidRPr="00496A1D">
        <w:rPr>
          <w:rFonts w:ascii="Arial" w:hAnsi="Arial" w:cs="Arial"/>
          <w:b/>
          <w:i/>
          <w:sz w:val="24"/>
          <w:szCs w:val="24"/>
        </w:rPr>
        <w:t>Teacher (Secondary) (Prevocational) (Personal)</w:t>
      </w:r>
      <w:r w:rsidRPr="00496A1D">
        <w:rPr>
          <w:rFonts w:ascii="Arial" w:hAnsi="Arial" w:cs="Arial"/>
          <w:i/>
          <w:sz w:val="24"/>
          <w:szCs w:val="24"/>
        </w:rPr>
        <w:t xml:space="preserve"> </w:t>
      </w:r>
    </w:p>
    <w:p w14:paraId="5E2E4445" w14:textId="77777777" w:rsidR="00C6162D" w:rsidRPr="00496A1D" w:rsidRDefault="00C6162D" w:rsidP="00C6162D">
      <w:pPr>
        <w:jc w:val="both"/>
        <w:rPr>
          <w:rFonts w:ascii="Arial" w:hAnsi="Arial" w:cs="Arial"/>
          <w:i/>
          <w:sz w:val="24"/>
          <w:szCs w:val="24"/>
        </w:rPr>
      </w:pPr>
      <w:r w:rsidRPr="00496A1D">
        <w:rPr>
          <w:rFonts w:ascii="Arial" w:hAnsi="Arial" w:cs="Arial"/>
          <w:i/>
          <w:sz w:val="24"/>
          <w:szCs w:val="24"/>
        </w:rPr>
        <w:t xml:space="preserve">19.83 The grades of Educator (Secondary) (Prevocational) and Teacher (Secondary) (Prevocational) presently exist on the establishment of the Ministry of Education, Tertiary Education, Science and Technology. The Ministry has informed that, with the upcoming of the Nine Year Continuous Basic Education, the Prevocational Stream has phased out at the end of the 2019 Academic Year and the grades of Inspector (Prevocational), Educator (Secondary) (Prevocational) and Teacher (Secondary) (Prevocational) should be made evanescent. </w:t>
      </w:r>
    </w:p>
    <w:p w14:paraId="2FFDFEFB" w14:textId="3D8F6CD7" w:rsidR="00C6162D" w:rsidRPr="00496A1D" w:rsidRDefault="00C6162D" w:rsidP="00C6162D">
      <w:pPr>
        <w:jc w:val="both"/>
        <w:rPr>
          <w:rFonts w:ascii="Arial" w:hAnsi="Arial" w:cs="Arial"/>
          <w:i/>
          <w:sz w:val="24"/>
          <w:szCs w:val="24"/>
        </w:rPr>
      </w:pPr>
      <w:r w:rsidRPr="00496A1D">
        <w:rPr>
          <w:rFonts w:ascii="Arial" w:hAnsi="Arial" w:cs="Arial"/>
          <w:i/>
          <w:sz w:val="24"/>
          <w:szCs w:val="24"/>
        </w:rPr>
        <w:t xml:space="preserve">19.84 The Ministry has also submitted proposals for the integration of incumbents in these grades into the regular stream, that is, to absorb them in the grade of Educator (Secondary). </w:t>
      </w:r>
      <w:r w:rsidR="00467681" w:rsidRPr="00467681">
        <w:rPr>
          <w:rFonts w:ascii="Arial" w:hAnsi="Arial" w:cs="Arial"/>
          <w:sz w:val="24"/>
          <w:szCs w:val="24"/>
        </w:rPr>
        <w:t>(…)</w:t>
      </w:r>
      <w:r w:rsidR="00467681">
        <w:rPr>
          <w:rFonts w:ascii="Arial" w:hAnsi="Arial" w:cs="Arial"/>
          <w:sz w:val="24"/>
          <w:szCs w:val="24"/>
        </w:rPr>
        <w:t xml:space="preserve"> </w:t>
      </w:r>
      <w:r w:rsidRPr="00496A1D">
        <w:rPr>
          <w:rFonts w:ascii="Arial" w:hAnsi="Arial" w:cs="Arial"/>
          <w:i/>
          <w:sz w:val="24"/>
          <w:szCs w:val="24"/>
        </w:rPr>
        <w:t xml:space="preserve">We are, therefore, making appropriate recommendations to enable the Ministry to effectively make use of these officers. </w:t>
      </w:r>
    </w:p>
    <w:p w14:paraId="3E2BBCF3" w14:textId="77777777" w:rsidR="00C6162D" w:rsidRPr="00496A1D" w:rsidRDefault="00C6162D" w:rsidP="00C6162D">
      <w:pPr>
        <w:jc w:val="both"/>
        <w:rPr>
          <w:rFonts w:ascii="Arial" w:hAnsi="Arial" w:cs="Arial"/>
          <w:b/>
          <w:i/>
          <w:sz w:val="24"/>
          <w:szCs w:val="24"/>
        </w:rPr>
      </w:pPr>
      <w:r w:rsidRPr="00496A1D">
        <w:rPr>
          <w:rFonts w:ascii="Arial" w:hAnsi="Arial" w:cs="Arial"/>
          <w:b/>
          <w:i/>
          <w:sz w:val="24"/>
          <w:szCs w:val="24"/>
        </w:rPr>
        <w:t xml:space="preserve">Recommendation 13 </w:t>
      </w:r>
    </w:p>
    <w:p w14:paraId="2EFC80FB" w14:textId="77777777" w:rsidR="00C6162D" w:rsidRPr="00496A1D" w:rsidRDefault="00C6162D" w:rsidP="00C6162D">
      <w:pPr>
        <w:jc w:val="both"/>
        <w:rPr>
          <w:rFonts w:ascii="Arial" w:hAnsi="Arial" w:cs="Arial"/>
          <w:b/>
          <w:i/>
          <w:sz w:val="24"/>
          <w:szCs w:val="24"/>
        </w:rPr>
      </w:pPr>
      <w:r w:rsidRPr="00496A1D">
        <w:rPr>
          <w:rFonts w:ascii="Arial" w:hAnsi="Arial" w:cs="Arial"/>
          <w:b/>
          <w:i/>
          <w:sz w:val="24"/>
          <w:szCs w:val="24"/>
        </w:rPr>
        <w:t xml:space="preserve">19.85 We recommend that the Ministry of Education, Tertiary Education, Science and Technology should set up an Implementing Committee to look into the redeployment of officers in the grades of Educator (Secondary) (Prevocational) and Teacher (Secondary) (Prevocational) with the phasing out of the Prevocational Stream. </w:t>
      </w:r>
    </w:p>
    <w:p w14:paraId="27ECFAB2" w14:textId="77777777" w:rsidR="00C6162D" w:rsidRPr="00496A1D" w:rsidRDefault="00C6162D" w:rsidP="00C6162D">
      <w:pPr>
        <w:jc w:val="both"/>
        <w:rPr>
          <w:rFonts w:ascii="Arial" w:hAnsi="Arial" w:cs="Arial"/>
          <w:b/>
          <w:i/>
          <w:sz w:val="24"/>
          <w:szCs w:val="24"/>
        </w:rPr>
      </w:pPr>
      <w:r w:rsidRPr="00496A1D">
        <w:rPr>
          <w:rFonts w:ascii="Arial" w:hAnsi="Arial" w:cs="Arial"/>
          <w:b/>
          <w:i/>
          <w:sz w:val="24"/>
          <w:szCs w:val="24"/>
        </w:rPr>
        <w:t>19.86 We also recommend that the grades of Educator (Secondary) (Prevocational) and Teacher (Secondary) (Prevocational) be made evanescent and abolished on vacancy. A personal salary has been provided for incumbents in post.</w:t>
      </w:r>
    </w:p>
    <w:p w14:paraId="31404A55" w14:textId="75C61169" w:rsidR="00D8100E" w:rsidRDefault="00941757" w:rsidP="00425BB8">
      <w:pPr>
        <w:shd w:val="clear" w:color="auto" w:fill="FFFFFF"/>
        <w:jc w:val="both"/>
        <w:rPr>
          <w:rFonts w:ascii="Arial" w:eastAsia="Times New Roman" w:hAnsi="Arial" w:cs="Arial"/>
          <w:color w:val="000000"/>
          <w:sz w:val="24"/>
          <w:szCs w:val="24"/>
          <w:lang w:val="en-GB" w:eastAsia="en-GB"/>
        </w:rPr>
      </w:pPr>
      <w:r w:rsidRPr="00496A1D">
        <w:rPr>
          <w:rFonts w:ascii="Arial" w:eastAsia="Times New Roman" w:hAnsi="Arial" w:cs="Arial"/>
          <w:color w:val="000000"/>
          <w:sz w:val="24"/>
          <w:szCs w:val="24"/>
          <w:lang w:val="en-GB" w:eastAsia="en-GB"/>
        </w:rPr>
        <w:t xml:space="preserve">The phasing out of the </w:t>
      </w:r>
      <w:r w:rsidR="009F6CDF">
        <w:rPr>
          <w:rFonts w:ascii="Arial" w:eastAsia="Times New Roman" w:hAnsi="Arial" w:cs="Arial"/>
          <w:color w:val="000000"/>
          <w:sz w:val="24"/>
          <w:szCs w:val="24"/>
          <w:lang w:val="en-GB" w:eastAsia="en-GB"/>
        </w:rPr>
        <w:t>p</w:t>
      </w:r>
      <w:r w:rsidRPr="00496A1D">
        <w:rPr>
          <w:rFonts w:ascii="Arial" w:eastAsia="Times New Roman" w:hAnsi="Arial" w:cs="Arial"/>
          <w:color w:val="000000"/>
          <w:sz w:val="24"/>
          <w:szCs w:val="24"/>
          <w:lang w:val="en-GB" w:eastAsia="en-GB"/>
        </w:rPr>
        <w:t xml:space="preserve">revocational </w:t>
      </w:r>
      <w:r w:rsidR="009F6CDF">
        <w:rPr>
          <w:rFonts w:ascii="Arial" w:eastAsia="Times New Roman" w:hAnsi="Arial" w:cs="Arial"/>
          <w:color w:val="000000"/>
          <w:sz w:val="24"/>
          <w:szCs w:val="24"/>
          <w:lang w:val="en-GB" w:eastAsia="en-GB"/>
        </w:rPr>
        <w:t>stream</w:t>
      </w:r>
      <w:r w:rsidRPr="00496A1D">
        <w:rPr>
          <w:rFonts w:ascii="Arial" w:eastAsia="Times New Roman" w:hAnsi="Arial" w:cs="Arial"/>
          <w:color w:val="000000"/>
          <w:sz w:val="24"/>
          <w:szCs w:val="24"/>
          <w:lang w:val="en-GB" w:eastAsia="en-GB"/>
        </w:rPr>
        <w:t xml:space="preserve"> has</w:t>
      </w:r>
      <w:r w:rsidR="00425BB8" w:rsidRPr="00496A1D">
        <w:rPr>
          <w:rFonts w:ascii="Arial" w:eastAsia="Times New Roman" w:hAnsi="Arial" w:cs="Arial"/>
          <w:color w:val="000000"/>
          <w:sz w:val="24"/>
          <w:szCs w:val="24"/>
          <w:lang w:val="en-GB" w:eastAsia="en-GB"/>
        </w:rPr>
        <w:t xml:space="preserve"> </w:t>
      </w:r>
      <w:r w:rsidR="00892373">
        <w:rPr>
          <w:rFonts w:ascii="Arial" w:eastAsia="Times New Roman" w:hAnsi="Arial" w:cs="Arial"/>
          <w:color w:val="000000"/>
          <w:sz w:val="24"/>
          <w:szCs w:val="24"/>
          <w:lang w:val="en-GB" w:eastAsia="en-GB"/>
        </w:rPr>
        <w:t>led to</w:t>
      </w:r>
      <w:r w:rsidR="00425BB8" w:rsidRPr="00496A1D">
        <w:rPr>
          <w:rFonts w:ascii="Arial" w:eastAsia="Times New Roman" w:hAnsi="Arial" w:cs="Arial"/>
          <w:color w:val="000000"/>
          <w:sz w:val="24"/>
          <w:szCs w:val="24"/>
          <w:lang w:val="en-GB" w:eastAsia="en-GB"/>
        </w:rPr>
        <w:t xml:space="preserve"> a situation whereby Educators</w:t>
      </w:r>
      <w:r w:rsidR="001203C3">
        <w:rPr>
          <w:rFonts w:ascii="Arial" w:eastAsia="Times New Roman" w:hAnsi="Arial" w:cs="Arial"/>
          <w:color w:val="000000"/>
          <w:sz w:val="24"/>
          <w:szCs w:val="24"/>
          <w:lang w:val="en-GB" w:eastAsia="en-GB"/>
        </w:rPr>
        <w:t xml:space="preserve"> (Secondary) (Pre</w:t>
      </w:r>
      <w:r w:rsidR="00436962">
        <w:rPr>
          <w:rFonts w:ascii="Arial" w:eastAsia="Times New Roman" w:hAnsi="Arial" w:cs="Arial"/>
          <w:color w:val="000000"/>
          <w:sz w:val="24"/>
          <w:szCs w:val="24"/>
          <w:lang w:val="en-GB" w:eastAsia="en-GB"/>
        </w:rPr>
        <w:t>v</w:t>
      </w:r>
      <w:r w:rsidR="001203C3">
        <w:rPr>
          <w:rFonts w:ascii="Arial" w:eastAsia="Times New Roman" w:hAnsi="Arial" w:cs="Arial"/>
          <w:color w:val="000000"/>
          <w:sz w:val="24"/>
          <w:szCs w:val="24"/>
          <w:lang w:val="en-GB" w:eastAsia="en-GB"/>
        </w:rPr>
        <w:t>ocat</w:t>
      </w:r>
      <w:r w:rsidR="00812909">
        <w:rPr>
          <w:rFonts w:ascii="Arial" w:eastAsia="Times New Roman" w:hAnsi="Arial" w:cs="Arial"/>
          <w:color w:val="000000"/>
          <w:sz w:val="24"/>
          <w:szCs w:val="24"/>
          <w:lang w:val="en-GB" w:eastAsia="en-GB"/>
        </w:rPr>
        <w:t>i</w:t>
      </w:r>
      <w:r w:rsidR="001203C3">
        <w:rPr>
          <w:rFonts w:ascii="Arial" w:eastAsia="Times New Roman" w:hAnsi="Arial" w:cs="Arial"/>
          <w:color w:val="000000"/>
          <w:sz w:val="24"/>
          <w:szCs w:val="24"/>
          <w:lang w:val="en-GB" w:eastAsia="en-GB"/>
        </w:rPr>
        <w:t xml:space="preserve">onal) </w:t>
      </w:r>
      <w:r w:rsidR="00425BB8" w:rsidRPr="00496A1D">
        <w:rPr>
          <w:rFonts w:ascii="Arial" w:eastAsia="Times New Roman" w:hAnsi="Arial" w:cs="Arial"/>
          <w:color w:val="000000"/>
          <w:sz w:val="24"/>
          <w:szCs w:val="24"/>
          <w:lang w:val="en-GB" w:eastAsia="en-GB"/>
        </w:rPr>
        <w:t>ha</w:t>
      </w:r>
      <w:r w:rsidR="00AF3BA4">
        <w:rPr>
          <w:rFonts w:ascii="Arial" w:eastAsia="Times New Roman" w:hAnsi="Arial" w:cs="Arial"/>
          <w:color w:val="000000"/>
          <w:sz w:val="24"/>
          <w:szCs w:val="24"/>
          <w:lang w:val="en-GB" w:eastAsia="en-GB"/>
        </w:rPr>
        <w:t>ve</w:t>
      </w:r>
      <w:r w:rsidR="00425BB8" w:rsidRPr="00496A1D">
        <w:rPr>
          <w:rFonts w:ascii="Arial" w:eastAsia="Times New Roman" w:hAnsi="Arial" w:cs="Arial"/>
          <w:color w:val="000000"/>
          <w:sz w:val="24"/>
          <w:szCs w:val="24"/>
          <w:lang w:val="en-GB" w:eastAsia="en-GB"/>
        </w:rPr>
        <w:t xml:space="preserve"> to be </w:t>
      </w:r>
      <w:r w:rsidR="008610B8">
        <w:rPr>
          <w:rFonts w:ascii="Arial" w:eastAsia="Times New Roman" w:hAnsi="Arial" w:cs="Arial"/>
          <w:color w:val="000000"/>
          <w:sz w:val="24"/>
          <w:szCs w:val="24"/>
          <w:lang w:val="en-GB" w:eastAsia="en-GB"/>
        </w:rPr>
        <w:t xml:space="preserve">redeployed.  </w:t>
      </w:r>
      <w:r w:rsidR="001203C3">
        <w:rPr>
          <w:rFonts w:ascii="Arial" w:eastAsia="Times New Roman" w:hAnsi="Arial" w:cs="Arial"/>
          <w:color w:val="000000"/>
          <w:sz w:val="24"/>
          <w:szCs w:val="24"/>
          <w:lang w:val="en-GB" w:eastAsia="en-GB"/>
        </w:rPr>
        <w:t>The Disputant has averred at paragraph 1 of his amended Statement of Case that he joined Respondent in or around January 2002</w:t>
      </w:r>
      <w:r w:rsidR="00C129A0">
        <w:rPr>
          <w:rFonts w:ascii="Arial" w:eastAsia="Times New Roman" w:hAnsi="Arial" w:cs="Arial"/>
          <w:color w:val="000000"/>
          <w:sz w:val="24"/>
          <w:szCs w:val="24"/>
          <w:lang w:val="en-GB" w:eastAsia="en-GB"/>
        </w:rPr>
        <w:t xml:space="preserve"> to teach in the pre-vocational department</w:t>
      </w:r>
      <w:r w:rsidR="001203C3">
        <w:rPr>
          <w:rFonts w:ascii="Arial" w:eastAsia="Times New Roman" w:hAnsi="Arial" w:cs="Arial"/>
          <w:color w:val="000000"/>
          <w:sz w:val="24"/>
          <w:szCs w:val="24"/>
          <w:lang w:val="en-GB" w:eastAsia="en-GB"/>
        </w:rPr>
        <w:t xml:space="preserve">.  At paragraph 3 of the same amended Statement of Case, Disputant avers that the “Pay Research Bureau (PRB) in its 2003 report recommended the creation of the post of educator pre-vocational in Private Secondary Schools (PSS).”  </w:t>
      </w:r>
      <w:r w:rsidR="00270D8B">
        <w:rPr>
          <w:rFonts w:ascii="Arial" w:eastAsia="Times New Roman" w:hAnsi="Arial" w:cs="Arial"/>
          <w:color w:val="000000"/>
          <w:sz w:val="24"/>
          <w:szCs w:val="24"/>
          <w:lang w:val="en-GB" w:eastAsia="en-GB"/>
        </w:rPr>
        <w:t xml:space="preserve">Be that as it may, there is unchallenged evidence on record that </w:t>
      </w:r>
      <w:r w:rsidR="00D8100E">
        <w:rPr>
          <w:rFonts w:ascii="Arial" w:eastAsia="Times New Roman" w:hAnsi="Arial" w:cs="Arial"/>
          <w:color w:val="000000"/>
          <w:sz w:val="24"/>
          <w:szCs w:val="24"/>
          <w:lang w:val="en-GB" w:eastAsia="en-GB"/>
        </w:rPr>
        <w:t xml:space="preserve">pre-vocational education is a </w:t>
      </w:r>
      <w:r w:rsidR="00812909">
        <w:rPr>
          <w:rFonts w:ascii="Arial" w:eastAsia="Times New Roman" w:hAnsi="Arial" w:cs="Arial"/>
          <w:color w:val="000000"/>
          <w:sz w:val="24"/>
          <w:szCs w:val="24"/>
          <w:lang w:val="en-GB" w:eastAsia="en-GB"/>
        </w:rPr>
        <w:t>s</w:t>
      </w:r>
      <w:r w:rsidR="00D8100E">
        <w:rPr>
          <w:rFonts w:ascii="Arial" w:eastAsia="Times New Roman" w:hAnsi="Arial" w:cs="Arial"/>
          <w:color w:val="000000"/>
          <w:sz w:val="24"/>
          <w:szCs w:val="24"/>
          <w:lang w:val="en-GB" w:eastAsia="en-GB"/>
        </w:rPr>
        <w:t>pecialised form of education and has its own specificity thus the need for specific grades for that stream (also in line with paragraph 27.37 of the extract of the PRB Report 2003 annexed as Annex 3 to the Statement of Case of Disputant).</w:t>
      </w:r>
    </w:p>
    <w:p w14:paraId="55D0E3AD" w14:textId="22DA190C" w:rsidR="007E46A1" w:rsidRDefault="000A08F0" w:rsidP="00130E2E">
      <w:pPr>
        <w:shd w:val="clear" w:color="auto" w:fill="FFFFFF"/>
        <w:spacing w:after="0" w:line="240" w:lineRule="auto"/>
        <w:jc w:val="both"/>
        <w:rPr>
          <w:rFonts w:ascii="Arial" w:eastAsia="Times New Roman" w:hAnsi="Arial" w:cs="Arial"/>
          <w:color w:val="000000"/>
          <w:sz w:val="24"/>
          <w:szCs w:val="24"/>
          <w:lang w:val="en-GB" w:eastAsia="en-GB"/>
        </w:rPr>
      </w:pPr>
      <w:r w:rsidRPr="00496A1D">
        <w:rPr>
          <w:rFonts w:ascii="Arial" w:eastAsia="Times New Roman" w:hAnsi="Arial" w:cs="Arial"/>
          <w:color w:val="000000"/>
          <w:sz w:val="24"/>
          <w:szCs w:val="24"/>
          <w:lang w:val="en-GB" w:eastAsia="en-GB"/>
        </w:rPr>
        <w:t xml:space="preserve">The </w:t>
      </w:r>
      <w:r w:rsidR="00496A1D">
        <w:rPr>
          <w:rFonts w:ascii="Arial" w:eastAsia="Times New Roman" w:hAnsi="Arial" w:cs="Arial"/>
          <w:color w:val="000000"/>
          <w:sz w:val="24"/>
          <w:szCs w:val="24"/>
          <w:lang w:val="en-GB" w:eastAsia="en-GB"/>
        </w:rPr>
        <w:t xml:space="preserve">specific nature of the </w:t>
      </w:r>
      <w:r w:rsidR="00FF1A5B">
        <w:rPr>
          <w:rFonts w:ascii="Arial" w:eastAsia="Times New Roman" w:hAnsi="Arial" w:cs="Arial"/>
          <w:color w:val="000000"/>
          <w:sz w:val="24"/>
          <w:szCs w:val="24"/>
          <w:lang w:val="en-GB" w:eastAsia="en-GB"/>
        </w:rPr>
        <w:t>duties</w:t>
      </w:r>
      <w:r w:rsidR="00496A1D">
        <w:rPr>
          <w:rFonts w:ascii="Arial" w:eastAsia="Times New Roman" w:hAnsi="Arial" w:cs="Arial"/>
          <w:color w:val="000000"/>
          <w:sz w:val="24"/>
          <w:szCs w:val="24"/>
          <w:lang w:val="en-GB" w:eastAsia="en-GB"/>
        </w:rPr>
        <w:t xml:space="preserve"> of Head of Department </w:t>
      </w:r>
      <w:r w:rsidR="00FF1A5B">
        <w:rPr>
          <w:rFonts w:ascii="Arial" w:eastAsia="Times New Roman" w:hAnsi="Arial" w:cs="Arial"/>
          <w:color w:val="000000"/>
          <w:sz w:val="24"/>
          <w:szCs w:val="24"/>
          <w:lang w:val="en-GB" w:eastAsia="en-GB"/>
        </w:rPr>
        <w:t xml:space="preserve">(as per paragraph 99.20 of the PRB Report 2016 (Volume 2 Part II) and Annex 2 to Doc B) </w:t>
      </w:r>
      <w:r w:rsidR="00496A1D">
        <w:rPr>
          <w:rFonts w:ascii="Arial" w:eastAsia="Times New Roman" w:hAnsi="Arial" w:cs="Arial"/>
          <w:color w:val="000000"/>
          <w:sz w:val="24"/>
          <w:szCs w:val="24"/>
          <w:lang w:val="en-GB" w:eastAsia="en-GB"/>
        </w:rPr>
        <w:t>necessarily entails with it some sort of specialisation in a particular discipline</w:t>
      </w:r>
      <w:r w:rsidR="00130E2E">
        <w:rPr>
          <w:rFonts w:ascii="Arial" w:eastAsia="Times New Roman" w:hAnsi="Arial" w:cs="Arial"/>
          <w:color w:val="000000"/>
          <w:sz w:val="24"/>
          <w:szCs w:val="24"/>
          <w:lang w:val="en-GB" w:eastAsia="en-GB"/>
        </w:rPr>
        <w:t xml:space="preserve"> or department where one or more </w:t>
      </w:r>
      <w:r w:rsidR="00130E2E">
        <w:rPr>
          <w:rFonts w:ascii="Arial" w:eastAsia="Times New Roman" w:hAnsi="Arial" w:cs="Arial"/>
          <w:color w:val="000000"/>
          <w:sz w:val="24"/>
          <w:szCs w:val="24"/>
          <w:lang w:val="en-GB" w:eastAsia="en-GB"/>
        </w:rPr>
        <w:lastRenderedPageBreak/>
        <w:t>subjects may be involved.  The Tribunal will refer to Annex 4 to the Statement of Case of Disputant as guidance (since it relates to the PRB Report 1998) and which provides under the heading ‘Head of Department’ (paragraph 17.12) that in cases where Education Officers are assigned the duties of Head of Department of Private Secondary Schools, the duties of Head of Department are entrusted to the senior</w:t>
      </w:r>
      <w:r w:rsidR="007A4D39">
        <w:rPr>
          <w:rFonts w:ascii="Arial" w:eastAsia="Times New Roman" w:hAnsi="Arial" w:cs="Arial"/>
          <w:color w:val="000000"/>
          <w:sz w:val="24"/>
          <w:szCs w:val="24"/>
          <w:lang w:val="en-GB" w:eastAsia="en-GB"/>
        </w:rPr>
        <w:t xml:space="preserve"> </w:t>
      </w:r>
      <w:r w:rsidR="00130E2E">
        <w:rPr>
          <w:rFonts w:ascii="Arial" w:eastAsia="Times New Roman" w:hAnsi="Arial" w:cs="Arial"/>
          <w:color w:val="000000"/>
          <w:sz w:val="24"/>
          <w:szCs w:val="24"/>
          <w:lang w:val="en-GB" w:eastAsia="en-GB"/>
        </w:rPr>
        <w:t>most fully qualified Education Officer in the discipline.  There is unchallenged evidence that as Educator in the prevocational stream, Disputant was teaching Agriculture along with other subjects</w:t>
      </w:r>
      <w:r w:rsidR="007D1C6A">
        <w:rPr>
          <w:rFonts w:ascii="Arial" w:eastAsia="Times New Roman" w:hAnsi="Arial" w:cs="Arial"/>
          <w:color w:val="000000"/>
          <w:sz w:val="24"/>
          <w:szCs w:val="24"/>
          <w:lang w:val="en-GB" w:eastAsia="en-GB"/>
        </w:rPr>
        <w:t xml:space="preserve"> such as</w:t>
      </w:r>
      <w:r w:rsidR="00130E2E">
        <w:rPr>
          <w:rFonts w:ascii="Arial" w:eastAsia="Times New Roman" w:hAnsi="Arial" w:cs="Arial"/>
          <w:color w:val="000000"/>
          <w:sz w:val="24"/>
          <w:szCs w:val="24"/>
          <w:lang w:val="en-GB" w:eastAsia="en-GB"/>
        </w:rPr>
        <w:t xml:space="preserve"> </w:t>
      </w:r>
      <w:r w:rsidR="007D1C6A">
        <w:rPr>
          <w:rFonts w:ascii="Arial" w:eastAsia="Times New Roman" w:hAnsi="Arial" w:cs="Arial"/>
          <w:color w:val="000000"/>
          <w:sz w:val="24"/>
          <w:szCs w:val="24"/>
          <w:lang w:val="en-GB" w:eastAsia="en-GB"/>
        </w:rPr>
        <w:t xml:space="preserve">Maths </w:t>
      </w:r>
      <w:r w:rsidR="00130E2E">
        <w:rPr>
          <w:rFonts w:ascii="Arial" w:eastAsia="Times New Roman" w:hAnsi="Arial" w:cs="Arial"/>
          <w:color w:val="000000"/>
          <w:sz w:val="24"/>
          <w:szCs w:val="24"/>
          <w:lang w:val="en-GB" w:eastAsia="en-GB"/>
        </w:rPr>
        <w:t xml:space="preserve">at </w:t>
      </w:r>
      <w:r w:rsidR="007D1C6A">
        <w:rPr>
          <w:rFonts w:ascii="Arial" w:eastAsia="Times New Roman" w:hAnsi="Arial" w:cs="Arial"/>
          <w:color w:val="000000"/>
          <w:sz w:val="24"/>
          <w:szCs w:val="24"/>
          <w:lang w:val="en-GB" w:eastAsia="en-GB"/>
        </w:rPr>
        <w:t>the</w:t>
      </w:r>
      <w:r w:rsidR="00130E2E">
        <w:rPr>
          <w:rFonts w:ascii="Arial" w:eastAsia="Times New Roman" w:hAnsi="Arial" w:cs="Arial"/>
          <w:color w:val="000000"/>
          <w:sz w:val="24"/>
          <w:szCs w:val="24"/>
          <w:lang w:val="en-GB" w:eastAsia="en-GB"/>
        </w:rPr>
        <w:t xml:space="preserve"> </w:t>
      </w:r>
      <w:r w:rsidR="007D1C6A">
        <w:rPr>
          <w:rFonts w:ascii="Arial" w:eastAsia="Times New Roman" w:hAnsi="Arial" w:cs="Arial"/>
          <w:color w:val="000000"/>
          <w:sz w:val="24"/>
          <w:szCs w:val="24"/>
          <w:lang w:val="en-GB" w:eastAsia="en-GB"/>
        </w:rPr>
        <w:t xml:space="preserve">pre-vocational </w:t>
      </w:r>
      <w:r w:rsidR="00130E2E">
        <w:rPr>
          <w:rFonts w:ascii="Arial" w:eastAsia="Times New Roman" w:hAnsi="Arial" w:cs="Arial"/>
          <w:color w:val="000000"/>
          <w:sz w:val="24"/>
          <w:szCs w:val="24"/>
          <w:lang w:val="en-GB" w:eastAsia="en-GB"/>
        </w:rPr>
        <w:t>level</w:t>
      </w:r>
      <w:r w:rsidR="007D1C6A">
        <w:rPr>
          <w:rFonts w:ascii="Arial" w:eastAsia="Times New Roman" w:hAnsi="Arial" w:cs="Arial"/>
          <w:color w:val="000000"/>
          <w:sz w:val="24"/>
          <w:szCs w:val="24"/>
          <w:lang w:val="en-GB" w:eastAsia="en-GB"/>
        </w:rPr>
        <w:t xml:space="preserve">, that is, </w:t>
      </w:r>
      <w:r w:rsidR="007E46A1">
        <w:rPr>
          <w:rFonts w:ascii="Arial" w:eastAsia="Times New Roman" w:hAnsi="Arial" w:cs="Arial"/>
          <w:color w:val="000000"/>
          <w:sz w:val="24"/>
          <w:szCs w:val="24"/>
          <w:lang w:val="en-GB" w:eastAsia="en-GB"/>
        </w:rPr>
        <w:t xml:space="preserve">for first, second and third years of studies (up to “NCE” level according to Disputant). </w:t>
      </w:r>
      <w:r w:rsidR="00130E2E">
        <w:rPr>
          <w:rFonts w:ascii="Arial" w:eastAsia="Times New Roman" w:hAnsi="Arial" w:cs="Arial"/>
          <w:color w:val="000000"/>
          <w:sz w:val="24"/>
          <w:szCs w:val="24"/>
          <w:lang w:val="en-GB" w:eastAsia="en-GB"/>
        </w:rPr>
        <w:t xml:space="preserve"> </w:t>
      </w:r>
      <w:r w:rsidR="007E46A1">
        <w:rPr>
          <w:rFonts w:ascii="Arial" w:eastAsia="Times New Roman" w:hAnsi="Arial" w:cs="Arial"/>
          <w:color w:val="000000"/>
          <w:sz w:val="24"/>
          <w:szCs w:val="24"/>
          <w:lang w:val="en-GB" w:eastAsia="en-GB"/>
        </w:rPr>
        <w:t xml:space="preserve">Irrespective of the eligibility certificate of Disputant to teach Agriculture as per Document F, the letter from Respondent </w:t>
      </w:r>
      <w:r w:rsidR="00D8100E">
        <w:rPr>
          <w:rFonts w:ascii="Arial" w:eastAsia="Times New Roman" w:hAnsi="Arial" w:cs="Arial"/>
          <w:color w:val="000000"/>
          <w:sz w:val="24"/>
          <w:szCs w:val="24"/>
          <w:lang w:val="en-GB" w:eastAsia="en-GB"/>
        </w:rPr>
        <w:t xml:space="preserve">under the signature of the Manager of the college dated 3 June 2021 </w:t>
      </w:r>
      <w:r w:rsidR="007E46A1">
        <w:rPr>
          <w:rFonts w:ascii="Arial" w:eastAsia="Times New Roman" w:hAnsi="Arial" w:cs="Arial"/>
          <w:color w:val="000000"/>
          <w:sz w:val="24"/>
          <w:szCs w:val="24"/>
          <w:lang w:val="en-GB" w:eastAsia="en-GB"/>
        </w:rPr>
        <w:t xml:space="preserve">(Annex 8 to the own Statement of Case of Disputant) is telling in that </w:t>
      </w:r>
      <w:r w:rsidR="008B15E9">
        <w:rPr>
          <w:rFonts w:ascii="Arial" w:eastAsia="Times New Roman" w:hAnsi="Arial" w:cs="Arial"/>
          <w:color w:val="000000"/>
          <w:sz w:val="24"/>
          <w:szCs w:val="24"/>
          <w:lang w:val="en-GB" w:eastAsia="en-GB"/>
        </w:rPr>
        <w:t xml:space="preserve">though Disputant joined the Respondent in 2002, he has been teaching Agriculture only in </w:t>
      </w:r>
      <w:r w:rsidR="00C129A0">
        <w:rPr>
          <w:rFonts w:ascii="Arial" w:eastAsia="Times New Roman" w:hAnsi="Arial" w:cs="Arial"/>
          <w:color w:val="000000"/>
          <w:sz w:val="24"/>
          <w:szCs w:val="24"/>
          <w:lang w:val="en-GB" w:eastAsia="en-GB"/>
        </w:rPr>
        <w:t xml:space="preserve">the following </w:t>
      </w:r>
      <w:r w:rsidR="008B15E9">
        <w:rPr>
          <w:rFonts w:ascii="Arial" w:eastAsia="Times New Roman" w:hAnsi="Arial" w:cs="Arial"/>
          <w:color w:val="000000"/>
          <w:sz w:val="24"/>
          <w:szCs w:val="24"/>
          <w:lang w:val="en-GB" w:eastAsia="en-GB"/>
        </w:rPr>
        <w:t>year</w:t>
      </w:r>
      <w:r w:rsidR="00C129A0">
        <w:rPr>
          <w:rFonts w:ascii="Arial" w:eastAsia="Times New Roman" w:hAnsi="Arial" w:cs="Arial"/>
          <w:color w:val="000000"/>
          <w:sz w:val="24"/>
          <w:szCs w:val="24"/>
          <w:lang w:val="en-GB" w:eastAsia="en-GB"/>
        </w:rPr>
        <w:t>s:</w:t>
      </w:r>
      <w:r w:rsidR="008B15E9">
        <w:rPr>
          <w:rFonts w:ascii="Arial" w:eastAsia="Times New Roman" w:hAnsi="Arial" w:cs="Arial"/>
          <w:color w:val="000000"/>
          <w:sz w:val="24"/>
          <w:szCs w:val="24"/>
          <w:lang w:val="en-GB" w:eastAsia="en-GB"/>
        </w:rPr>
        <w:t xml:space="preserve"> 2004, 2018, 2019, 2020 and presumably 2021 where he </w:t>
      </w:r>
      <w:r w:rsidR="00D367FF">
        <w:rPr>
          <w:rFonts w:ascii="Arial" w:eastAsia="Times New Roman" w:hAnsi="Arial" w:cs="Arial"/>
          <w:color w:val="000000"/>
          <w:sz w:val="24"/>
          <w:szCs w:val="24"/>
          <w:lang w:val="en-GB" w:eastAsia="en-GB"/>
        </w:rPr>
        <w:t xml:space="preserve">was only </w:t>
      </w:r>
      <w:r w:rsidR="008B15E9">
        <w:rPr>
          <w:rFonts w:ascii="Arial" w:eastAsia="Times New Roman" w:hAnsi="Arial" w:cs="Arial"/>
          <w:color w:val="000000"/>
          <w:sz w:val="24"/>
          <w:szCs w:val="24"/>
          <w:lang w:val="en-GB" w:eastAsia="en-GB"/>
        </w:rPr>
        <w:t xml:space="preserve">then </w:t>
      </w:r>
      <w:r w:rsidR="00D367FF">
        <w:rPr>
          <w:rFonts w:ascii="Arial" w:eastAsia="Times New Roman" w:hAnsi="Arial" w:cs="Arial"/>
          <w:color w:val="000000"/>
          <w:sz w:val="24"/>
          <w:szCs w:val="24"/>
          <w:lang w:val="en-GB" w:eastAsia="en-GB"/>
        </w:rPr>
        <w:t>“allocated a full workload in the Agriculture department, with 24 periods, teaching in Grade 10 and Grade 11</w:t>
      </w:r>
      <w:r w:rsidR="00F97859">
        <w:rPr>
          <w:rFonts w:ascii="Arial" w:eastAsia="Times New Roman" w:hAnsi="Arial" w:cs="Arial"/>
          <w:color w:val="000000"/>
          <w:sz w:val="24"/>
          <w:szCs w:val="24"/>
          <w:lang w:val="en-GB" w:eastAsia="en-GB"/>
        </w:rPr>
        <w:t>”</w:t>
      </w:r>
      <w:r w:rsidR="00D367FF">
        <w:rPr>
          <w:rFonts w:ascii="Arial" w:eastAsia="Times New Roman" w:hAnsi="Arial" w:cs="Arial"/>
          <w:color w:val="000000"/>
          <w:sz w:val="24"/>
          <w:szCs w:val="24"/>
          <w:lang w:val="en-GB" w:eastAsia="en-GB"/>
        </w:rPr>
        <w:t>.</w:t>
      </w:r>
      <w:r w:rsidR="008B15E9">
        <w:rPr>
          <w:rFonts w:ascii="Arial" w:eastAsia="Times New Roman" w:hAnsi="Arial" w:cs="Arial"/>
          <w:color w:val="000000"/>
          <w:sz w:val="24"/>
          <w:szCs w:val="24"/>
          <w:lang w:val="en-GB" w:eastAsia="en-GB"/>
        </w:rPr>
        <w:t xml:space="preserve">  </w:t>
      </w:r>
    </w:p>
    <w:p w14:paraId="32A4334C" w14:textId="77777777" w:rsidR="007E46A1" w:rsidRDefault="007E46A1" w:rsidP="00130E2E">
      <w:pPr>
        <w:shd w:val="clear" w:color="auto" w:fill="FFFFFF"/>
        <w:spacing w:after="0" w:line="240" w:lineRule="auto"/>
        <w:jc w:val="both"/>
        <w:rPr>
          <w:rFonts w:ascii="Arial" w:eastAsia="Times New Roman" w:hAnsi="Arial" w:cs="Arial"/>
          <w:color w:val="000000"/>
          <w:sz w:val="24"/>
          <w:szCs w:val="24"/>
          <w:lang w:val="en-GB" w:eastAsia="en-GB"/>
        </w:rPr>
      </w:pPr>
    </w:p>
    <w:p w14:paraId="6317FB64" w14:textId="42C1BEB2" w:rsidR="00717834" w:rsidRDefault="00BA3970"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In 2018, when Disputant taught Agriculture, there is undisputed evidence that Co-Respondent No 2 had already been assigned duties of Head of Agriculture as from the year 2013 in replacement of a colleague who had resigned.  In 2013, Disputant did not even teach Agriculture as per the said letter of the Manager of Respondent.  The evidence of the representative of Co-Respondent No 1</w:t>
      </w:r>
      <w:r w:rsidR="00290E39">
        <w:rPr>
          <w:rFonts w:ascii="Arial" w:eastAsia="Times New Roman" w:hAnsi="Arial" w:cs="Arial"/>
          <w:color w:val="000000"/>
          <w:sz w:val="24"/>
          <w:szCs w:val="24"/>
          <w:lang w:val="en-GB" w:eastAsia="en-GB"/>
        </w:rPr>
        <w:t xml:space="preserve">, as quoted below, </w:t>
      </w:r>
      <w:r>
        <w:rPr>
          <w:rFonts w:ascii="Arial" w:eastAsia="Times New Roman" w:hAnsi="Arial" w:cs="Arial"/>
          <w:color w:val="000000"/>
          <w:sz w:val="24"/>
          <w:szCs w:val="24"/>
          <w:lang w:val="en-GB" w:eastAsia="en-GB"/>
        </w:rPr>
        <w:t xml:space="preserve">has also remained unchallenged and provides an indication as </w:t>
      </w:r>
      <w:r w:rsidR="00133E4E">
        <w:rPr>
          <w:rFonts w:ascii="Arial" w:eastAsia="Times New Roman" w:hAnsi="Arial" w:cs="Arial"/>
          <w:color w:val="000000"/>
          <w:sz w:val="24"/>
          <w:szCs w:val="24"/>
          <w:lang w:val="en-GB" w:eastAsia="en-GB"/>
        </w:rPr>
        <w:t xml:space="preserve">to the fallacy of the argument that an award based solely on one </w:t>
      </w:r>
      <w:r w:rsidR="00717834">
        <w:rPr>
          <w:rFonts w:ascii="Arial" w:eastAsia="Times New Roman" w:hAnsi="Arial" w:cs="Arial"/>
          <w:color w:val="000000"/>
          <w:sz w:val="24"/>
          <w:szCs w:val="24"/>
          <w:lang w:val="en-GB" w:eastAsia="en-GB"/>
        </w:rPr>
        <w:t xml:space="preserve">particular </w:t>
      </w:r>
      <w:r w:rsidR="00133E4E">
        <w:rPr>
          <w:rFonts w:ascii="Arial" w:eastAsia="Times New Roman" w:hAnsi="Arial" w:cs="Arial"/>
          <w:color w:val="000000"/>
          <w:sz w:val="24"/>
          <w:szCs w:val="24"/>
          <w:lang w:val="en-GB" w:eastAsia="en-GB"/>
        </w:rPr>
        <w:t>recommendation</w:t>
      </w:r>
      <w:r w:rsidR="00717834">
        <w:rPr>
          <w:rFonts w:ascii="Arial" w:eastAsia="Times New Roman" w:hAnsi="Arial" w:cs="Arial"/>
          <w:color w:val="000000"/>
          <w:sz w:val="24"/>
          <w:szCs w:val="24"/>
          <w:lang w:val="en-GB" w:eastAsia="en-GB"/>
        </w:rPr>
        <w:t xml:space="preserve"> (or part thereof) in</w:t>
      </w:r>
      <w:r w:rsidR="00133E4E">
        <w:rPr>
          <w:rFonts w:ascii="Arial" w:eastAsia="Times New Roman" w:hAnsi="Arial" w:cs="Arial"/>
          <w:color w:val="000000"/>
          <w:sz w:val="24"/>
          <w:szCs w:val="24"/>
          <w:lang w:val="en-GB" w:eastAsia="en-GB"/>
        </w:rPr>
        <w:t xml:space="preserve"> the PRB </w:t>
      </w:r>
      <w:r w:rsidR="00717834">
        <w:rPr>
          <w:rFonts w:ascii="Arial" w:eastAsia="Times New Roman" w:hAnsi="Arial" w:cs="Arial"/>
          <w:color w:val="000000"/>
          <w:sz w:val="24"/>
          <w:szCs w:val="24"/>
          <w:lang w:val="en-GB" w:eastAsia="en-GB"/>
        </w:rPr>
        <w:t>Report 2016</w:t>
      </w:r>
      <w:r w:rsidR="00133E4E">
        <w:rPr>
          <w:rFonts w:ascii="Arial" w:eastAsia="Times New Roman" w:hAnsi="Arial" w:cs="Arial"/>
          <w:color w:val="000000"/>
          <w:sz w:val="24"/>
          <w:szCs w:val="24"/>
          <w:lang w:val="en-GB" w:eastAsia="en-GB"/>
        </w:rPr>
        <w:t xml:space="preserve"> without references to other provisions or recommendations </w:t>
      </w:r>
      <w:r w:rsidR="00717834">
        <w:rPr>
          <w:rFonts w:ascii="Arial" w:eastAsia="Times New Roman" w:hAnsi="Arial" w:cs="Arial"/>
          <w:color w:val="000000"/>
          <w:sz w:val="24"/>
          <w:szCs w:val="24"/>
          <w:lang w:val="en-GB" w:eastAsia="en-GB"/>
        </w:rPr>
        <w:t xml:space="preserve">in the very same Report </w:t>
      </w:r>
      <w:r w:rsidR="00133E4E">
        <w:rPr>
          <w:rFonts w:ascii="Arial" w:eastAsia="Times New Roman" w:hAnsi="Arial" w:cs="Arial"/>
          <w:color w:val="000000"/>
          <w:sz w:val="24"/>
          <w:szCs w:val="24"/>
          <w:lang w:val="en-GB" w:eastAsia="en-GB"/>
        </w:rPr>
        <w:t xml:space="preserve">may be envisaged by the Tribunal.  Indeed, the representative stated that “… </w:t>
      </w:r>
      <w:r w:rsidR="00133E4E" w:rsidRPr="00717834">
        <w:rPr>
          <w:rFonts w:ascii="Arial" w:eastAsia="Times New Roman" w:hAnsi="Arial" w:cs="Arial"/>
          <w:i/>
          <w:color w:val="000000"/>
          <w:sz w:val="24"/>
          <w:szCs w:val="24"/>
          <w:lang w:val="en-GB" w:eastAsia="en-GB"/>
        </w:rPr>
        <w:t>and even now he</w:t>
      </w:r>
      <w:r w:rsidR="00832FC1">
        <w:rPr>
          <w:rFonts w:ascii="Arial" w:eastAsia="Times New Roman" w:hAnsi="Arial" w:cs="Arial"/>
          <w:i/>
          <w:color w:val="000000"/>
          <w:sz w:val="24"/>
          <w:szCs w:val="24"/>
          <w:lang w:val="en-GB" w:eastAsia="en-GB"/>
        </w:rPr>
        <w:t xml:space="preserve"> </w:t>
      </w:r>
      <w:r w:rsidR="00832FC1" w:rsidRPr="00832FC1">
        <w:rPr>
          <w:rFonts w:ascii="Arial" w:eastAsia="Times New Roman" w:hAnsi="Arial" w:cs="Arial"/>
          <w:color w:val="000000"/>
          <w:sz w:val="24"/>
          <w:szCs w:val="24"/>
          <w:lang w:val="en-GB" w:eastAsia="en-GB"/>
        </w:rPr>
        <w:t>[meaning the Disputant]</w:t>
      </w:r>
      <w:r w:rsidR="00133E4E" w:rsidRPr="00717834">
        <w:rPr>
          <w:rFonts w:ascii="Arial" w:eastAsia="Times New Roman" w:hAnsi="Arial" w:cs="Arial"/>
          <w:i/>
          <w:color w:val="000000"/>
          <w:sz w:val="24"/>
          <w:szCs w:val="24"/>
          <w:lang w:val="en-GB" w:eastAsia="en-GB"/>
        </w:rPr>
        <w:t xml:space="preserve"> was not absorbed in the mainstream on the basis of a vacancy occurring in the mainstream but we made a certain provision, we gave him a way to integrate the mainstream.  In the year 2020, he had only 6 periods of Agriculture, 16 periods of Mathematics and 2 periods of activities.  So, he did not even have a full time table for Agriculture simply because there were already other teachers in the department of Agriculture and the number of periods could not be increased drastically.  </w:t>
      </w:r>
      <w:r w:rsidR="00717834" w:rsidRPr="00717834">
        <w:rPr>
          <w:rFonts w:ascii="Arial" w:eastAsia="Times New Roman" w:hAnsi="Arial" w:cs="Arial"/>
          <w:i/>
          <w:color w:val="000000"/>
          <w:sz w:val="24"/>
          <w:szCs w:val="24"/>
          <w:lang w:val="en-GB" w:eastAsia="en-GB"/>
        </w:rPr>
        <w:t>Among the other teachers, there were people who have been Head of Department for the past 10 years.  So, they were much more experienced with the function of the department to lead the department</w:t>
      </w:r>
      <w:r w:rsidR="00717834">
        <w:rPr>
          <w:rFonts w:ascii="Arial" w:eastAsia="Times New Roman" w:hAnsi="Arial" w:cs="Arial"/>
          <w:color w:val="000000"/>
          <w:sz w:val="24"/>
          <w:szCs w:val="24"/>
          <w:lang w:val="en-GB" w:eastAsia="en-GB"/>
        </w:rPr>
        <w:t xml:space="preserve">.” </w:t>
      </w:r>
      <w:r w:rsidR="00133E4E">
        <w:rPr>
          <w:rFonts w:ascii="Arial" w:eastAsia="Times New Roman" w:hAnsi="Arial" w:cs="Arial"/>
          <w:color w:val="000000"/>
          <w:sz w:val="24"/>
          <w:szCs w:val="24"/>
          <w:lang w:val="en-GB" w:eastAsia="en-GB"/>
        </w:rPr>
        <w:t xml:space="preserve">  </w:t>
      </w:r>
    </w:p>
    <w:p w14:paraId="5E1CA886" w14:textId="77777777" w:rsidR="00717834" w:rsidRDefault="00717834" w:rsidP="00130E2E">
      <w:pPr>
        <w:shd w:val="clear" w:color="auto" w:fill="FFFFFF"/>
        <w:spacing w:after="0" w:line="240" w:lineRule="auto"/>
        <w:jc w:val="both"/>
        <w:rPr>
          <w:rFonts w:ascii="Arial" w:eastAsia="Times New Roman" w:hAnsi="Arial" w:cs="Arial"/>
          <w:color w:val="000000"/>
          <w:sz w:val="24"/>
          <w:szCs w:val="24"/>
          <w:lang w:val="en-GB" w:eastAsia="en-GB"/>
        </w:rPr>
      </w:pPr>
    </w:p>
    <w:p w14:paraId="012B6153" w14:textId="77777777" w:rsidR="00717834" w:rsidRDefault="00717834"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Now, paragraph 99.26 of the PRB Report 2016 (Vol 2, Part II) (as per Annex 6 to the Statement of Case of Disputant) provides as follows:</w:t>
      </w:r>
    </w:p>
    <w:p w14:paraId="7E8F58E2" w14:textId="77777777" w:rsidR="00717834" w:rsidRDefault="00717834" w:rsidP="00130E2E">
      <w:pPr>
        <w:shd w:val="clear" w:color="auto" w:fill="FFFFFF"/>
        <w:spacing w:after="0" w:line="240" w:lineRule="auto"/>
        <w:jc w:val="both"/>
        <w:rPr>
          <w:rFonts w:ascii="Arial" w:eastAsia="Times New Roman" w:hAnsi="Arial" w:cs="Arial"/>
          <w:color w:val="000000"/>
          <w:sz w:val="24"/>
          <w:szCs w:val="24"/>
          <w:lang w:val="en-GB" w:eastAsia="en-GB"/>
        </w:rPr>
      </w:pPr>
    </w:p>
    <w:p w14:paraId="1D958523" w14:textId="09D07831" w:rsidR="00290E39" w:rsidRDefault="00717834" w:rsidP="00130E2E">
      <w:pPr>
        <w:shd w:val="clear" w:color="auto" w:fill="FFFFFF"/>
        <w:spacing w:after="0" w:line="240" w:lineRule="auto"/>
        <w:jc w:val="both"/>
        <w:rPr>
          <w:rFonts w:ascii="Arial" w:eastAsia="Times New Roman" w:hAnsi="Arial" w:cs="Arial"/>
          <w:color w:val="000000"/>
          <w:sz w:val="24"/>
          <w:szCs w:val="24"/>
          <w:lang w:val="en-GB" w:eastAsia="en-GB"/>
        </w:rPr>
      </w:pPr>
      <w:r w:rsidRPr="00290E39">
        <w:rPr>
          <w:rFonts w:ascii="Arial" w:eastAsia="Times New Roman" w:hAnsi="Arial" w:cs="Arial"/>
          <w:b/>
          <w:i/>
          <w:color w:val="000000"/>
          <w:sz w:val="24"/>
          <w:szCs w:val="24"/>
          <w:lang w:val="en-GB" w:eastAsia="en-GB"/>
        </w:rPr>
        <w:t>99.26</w:t>
      </w:r>
      <w:r w:rsidRPr="00290E39">
        <w:rPr>
          <w:rFonts w:ascii="Arial" w:eastAsia="Times New Roman" w:hAnsi="Arial" w:cs="Arial"/>
          <w:b/>
          <w:i/>
          <w:color w:val="000000"/>
          <w:sz w:val="24"/>
          <w:szCs w:val="24"/>
          <w:lang w:val="en-GB" w:eastAsia="en-GB"/>
        </w:rPr>
        <w:tab/>
        <w:t xml:space="preserve">We also recommend that incumbent assigned duties of Head of Department </w:t>
      </w:r>
      <w:r w:rsidRPr="00290E39">
        <w:rPr>
          <w:rFonts w:ascii="Arial" w:eastAsia="Times New Roman" w:hAnsi="Arial" w:cs="Arial"/>
          <w:b/>
          <w:i/>
          <w:color w:val="000000"/>
          <w:sz w:val="24"/>
          <w:szCs w:val="24"/>
          <w:u w:val="single"/>
          <w:lang w:val="en-GB" w:eastAsia="en-GB"/>
        </w:rPr>
        <w:t>should continue to teach</w:t>
      </w:r>
      <w:r w:rsidRPr="00290E39">
        <w:rPr>
          <w:rFonts w:ascii="Arial" w:eastAsia="Times New Roman" w:hAnsi="Arial" w:cs="Arial"/>
          <w:b/>
          <w:i/>
          <w:color w:val="000000"/>
          <w:sz w:val="24"/>
          <w:szCs w:val="24"/>
          <w:lang w:val="en-GB" w:eastAsia="en-GB"/>
        </w:rPr>
        <w:t xml:space="preserve"> their subject of specialisation for approximately </w:t>
      </w:r>
      <w:r w:rsidR="00290E39" w:rsidRPr="00290E39">
        <w:rPr>
          <w:rFonts w:ascii="Arial" w:eastAsia="Times New Roman" w:hAnsi="Arial" w:cs="Arial"/>
          <w:b/>
          <w:i/>
          <w:color w:val="000000"/>
          <w:sz w:val="24"/>
          <w:szCs w:val="24"/>
          <w:lang w:val="en-GB" w:eastAsia="en-GB"/>
        </w:rPr>
        <w:t>840 minutes weekly and be paid</w:t>
      </w:r>
      <w:r w:rsidR="00290E39">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   </w:t>
      </w:r>
      <w:r w:rsidR="00290E39">
        <w:rPr>
          <w:rFonts w:ascii="Arial" w:eastAsia="Times New Roman" w:hAnsi="Arial" w:cs="Arial"/>
          <w:color w:val="000000"/>
          <w:sz w:val="24"/>
          <w:szCs w:val="24"/>
          <w:lang w:val="en-GB" w:eastAsia="en-GB"/>
        </w:rPr>
        <w:t>(underlining is ours).</w:t>
      </w:r>
      <w:r>
        <w:rPr>
          <w:rFonts w:ascii="Arial" w:eastAsia="Times New Roman" w:hAnsi="Arial" w:cs="Arial"/>
          <w:color w:val="000000"/>
          <w:sz w:val="24"/>
          <w:szCs w:val="24"/>
          <w:lang w:val="en-GB" w:eastAsia="en-GB"/>
        </w:rPr>
        <w:t xml:space="preserve"> </w:t>
      </w:r>
    </w:p>
    <w:p w14:paraId="743DD368" w14:textId="77777777" w:rsidR="00290E39" w:rsidRDefault="00290E39" w:rsidP="00130E2E">
      <w:pPr>
        <w:shd w:val="clear" w:color="auto" w:fill="FFFFFF"/>
        <w:spacing w:after="0" w:line="240" w:lineRule="auto"/>
        <w:jc w:val="both"/>
        <w:rPr>
          <w:rFonts w:ascii="Arial" w:eastAsia="Times New Roman" w:hAnsi="Arial" w:cs="Arial"/>
          <w:color w:val="000000"/>
          <w:sz w:val="24"/>
          <w:szCs w:val="24"/>
          <w:lang w:val="en-GB" w:eastAsia="en-GB"/>
        </w:rPr>
      </w:pPr>
    </w:p>
    <w:p w14:paraId="02E4424F" w14:textId="5C57877D" w:rsidR="00290E39" w:rsidRDefault="00290E39"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Bearing in mind paragraph 99.23 of the same PRB Report 2016 (still at Annex 6 to the Statement of Case of Disputant), and even if we assume teaching periods of 40 minutes at the Respondent, this would amount to 21 periods weekly.  As per the evidence of the </w:t>
      </w:r>
      <w:r>
        <w:rPr>
          <w:rFonts w:ascii="Arial" w:eastAsia="Times New Roman" w:hAnsi="Arial" w:cs="Arial"/>
          <w:color w:val="000000"/>
          <w:sz w:val="24"/>
          <w:szCs w:val="24"/>
          <w:lang w:val="en-GB" w:eastAsia="en-GB"/>
        </w:rPr>
        <w:lastRenderedPageBreak/>
        <w:t xml:space="preserve">representative of Co-Respondent No 1, the Disputant was teaching </w:t>
      </w:r>
      <w:r w:rsidR="00467681">
        <w:rPr>
          <w:rFonts w:ascii="Arial" w:eastAsia="Times New Roman" w:hAnsi="Arial" w:cs="Arial"/>
          <w:color w:val="000000"/>
          <w:sz w:val="24"/>
          <w:szCs w:val="24"/>
          <w:lang w:val="en-GB" w:eastAsia="en-GB"/>
        </w:rPr>
        <w:t xml:space="preserve">Agriculture in 2020 for </w:t>
      </w:r>
      <w:r>
        <w:rPr>
          <w:rFonts w:ascii="Arial" w:eastAsia="Times New Roman" w:hAnsi="Arial" w:cs="Arial"/>
          <w:color w:val="000000"/>
          <w:sz w:val="24"/>
          <w:szCs w:val="24"/>
          <w:lang w:val="en-GB" w:eastAsia="en-GB"/>
        </w:rPr>
        <w:t xml:space="preserve">very much less </w:t>
      </w:r>
      <w:r w:rsidR="00467681">
        <w:rPr>
          <w:rFonts w:ascii="Arial" w:eastAsia="Times New Roman" w:hAnsi="Arial" w:cs="Arial"/>
          <w:color w:val="000000"/>
          <w:sz w:val="24"/>
          <w:szCs w:val="24"/>
          <w:lang w:val="en-GB" w:eastAsia="en-GB"/>
        </w:rPr>
        <w:t xml:space="preserve">time </w:t>
      </w:r>
      <w:r>
        <w:rPr>
          <w:rFonts w:ascii="Arial" w:eastAsia="Times New Roman" w:hAnsi="Arial" w:cs="Arial"/>
          <w:color w:val="000000"/>
          <w:sz w:val="24"/>
          <w:szCs w:val="24"/>
          <w:lang w:val="en-GB" w:eastAsia="en-GB"/>
        </w:rPr>
        <w:t>than as provided under paragraph 99.2</w:t>
      </w:r>
      <w:r w:rsidR="00467681">
        <w:rPr>
          <w:rFonts w:ascii="Arial" w:eastAsia="Times New Roman" w:hAnsi="Arial" w:cs="Arial"/>
          <w:color w:val="000000"/>
          <w:sz w:val="24"/>
          <w:szCs w:val="24"/>
          <w:lang w:val="en-GB" w:eastAsia="en-GB"/>
        </w:rPr>
        <w:t>6</w:t>
      </w:r>
      <w:r>
        <w:rPr>
          <w:rFonts w:ascii="Arial" w:eastAsia="Times New Roman" w:hAnsi="Arial" w:cs="Arial"/>
          <w:color w:val="000000"/>
          <w:sz w:val="24"/>
          <w:szCs w:val="24"/>
          <w:lang w:val="en-GB" w:eastAsia="en-GB"/>
        </w:rPr>
        <w:t xml:space="preserve"> of the PRB Report 2016.      </w:t>
      </w:r>
    </w:p>
    <w:p w14:paraId="256EE14A" w14:textId="02B21644" w:rsidR="00D8100E" w:rsidRDefault="00717834"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 </w:t>
      </w:r>
      <w:r w:rsidR="00133E4E">
        <w:rPr>
          <w:rFonts w:ascii="Arial" w:eastAsia="Times New Roman" w:hAnsi="Arial" w:cs="Arial"/>
          <w:color w:val="000000"/>
          <w:sz w:val="24"/>
          <w:szCs w:val="24"/>
          <w:lang w:val="en-GB" w:eastAsia="en-GB"/>
        </w:rPr>
        <w:t xml:space="preserve">    </w:t>
      </w:r>
      <w:r w:rsidR="00BA3970">
        <w:rPr>
          <w:rFonts w:ascii="Arial" w:eastAsia="Times New Roman" w:hAnsi="Arial" w:cs="Arial"/>
          <w:color w:val="000000"/>
          <w:sz w:val="24"/>
          <w:szCs w:val="24"/>
          <w:lang w:val="en-GB" w:eastAsia="en-GB"/>
        </w:rPr>
        <w:t xml:space="preserve">     </w:t>
      </w:r>
    </w:p>
    <w:p w14:paraId="30E1E7CF" w14:textId="178C22B6" w:rsidR="005066C6" w:rsidRDefault="00130E2E"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The </w:t>
      </w:r>
      <w:r w:rsidR="004A0B53">
        <w:rPr>
          <w:rFonts w:ascii="Arial" w:eastAsia="Times New Roman" w:hAnsi="Arial" w:cs="Arial"/>
          <w:color w:val="000000"/>
          <w:sz w:val="24"/>
          <w:szCs w:val="24"/>
          <w:lang w:val="en-GB" w:eastAsia="en-GB"/>
        </w:rPr>
        <w:t xml:space="preserve">representative of </w:t>
      </w:r>
      <w:r>
        <w:rPr>
          <w:rFonts w:ascii="Arial" w:eastAsia="Times New Roman" w:hAnsi="Arial" w:cs="Arial"/>
          <w:color w:val="000000"/>
          <w:sz w:val="24"/>
          <w:szCs w:val="24"/>
          <w:lang w:val="en-GB" w:eastAsia="en-GB"/>
        </w:rPr>
        <w:t xml:space="preserve">Co-Respondent No 1 has also stated that the prevocational stream was considered as a subject and that a Head of Department could be designated for the prevocational stream.  </w:t>
      </w:r>
      <w:r w:rsidR="00DA059B">
        <w:rPr>
          <w:rFonts w:ascii="Arial" w:eastAsia="Times New Roman" w:hAnsi="Arial" w:cs="Arial"/>
          <w:color w:val="000000"/>
          <w:sz w:val="24"/>
          <w:szCs w:val="24"/>
          <w:lang w:val="en-GB" w:eastAsia="en-GB"/>
        </w:rPr>
        <w:t xml:space="preserve">Irrespective of the field in which Disputant had his degree, </w:t>
      </w:r>
      <w:r w:rsidR="00846BD5">
        <w:rPr>
          <w:rFonts w:ascii="Arial" w:eastAsia="Times New Roman" w:hAnsi="Arial" w:cs="Arial"/>
          <w:color w:val="000000"/>
          <w:sz w:val="24"/>
          <w:szCs w:val="24"/>
          <w:lang w:val="en-GB" w:eastAsia="en-GB"/>
        </w:rPr>
        <w:t>t</w:t>
      </w:r>
      <w:r w:rsidR="00DA059B">
        <w:rPr>
          <w:rFonts w:ascii="Arial" w:eastAsia="Times New Roman" w:hAnsi="Arial" w:cs="Arial"/>
          <w:color w:val="000000"/>
          <w:sz w:val="24"/>
          <w:szCs w:val="24"/>
          <w:lang w:val="en-GB" w:eastAsia="en-GB"/>
        </w:rPr>
        <w:t xml:space="preserve">he </w:t>
      </w:r>
      <w:r w:rsidR="00846BD5">
        <w:rPr>
          <w:rFonts w:ascii="Arial" w:eastAsia="Times New Roman" w:hAnsi="Arial" w:cs="Arial"/>
          <w:color w:val="000000"/>
          <w:sz w:val="24"/>
          <w:szCs w:val="24"/>
          <w:lang w:val="en-GB" w:eastAsia="en-GB"/>
        </w:rPr>
        <w:t xml:space="preserve">Tribunal is not satisfied, on the basis of the evidence before it and on a balance of probabilities, that Disputant was </w:t>
      </w:r>
      <w:r w:rsidR="00DA059B">
        <w:rPr>
          <w:rFonts w:ascii="Arial" w:eastAsia="Times New Roman" w:hAnsi="Arial" w:cs="Arial"/>
          <w:color w:val="000000"/>
          <w:sz w:val="24"/>
          <w:szCs w:val="24"/>
          <w:lang w:val="en-GB" w:eastAsia="en-GB"/>
        </w:rPr>
        <w:t xml:space="preserve">teaching </w:t>
      </w:r>
      <w:r w:rsidR="001C37D5">
        <w:rPr>
          <w:rFonts w:ascii="Arial" w:eastAsia="Times New Roman" w:hAnsi="Arial" w:cs="Arial"/>
          <w:color w:val="000000"/>
          <w:sz w:val="24"/>
          <w:szCs w:val="24"/>
          <w:lang w:val="en-GB" w:eastAsia="en-GB"/>
        </w:rPr>
        <w:t>A</w:t>
      </w:r>
      <w:r w:rsidR="00DA059B">
        <w:rPr>
          <w:rFonts w:ascii="Arial" w:eastAsia="Times New Roman" w:hAnsi="Arial" w:cs="Arial"/>
          <w:color w:val="000000"/>
          <w:sz w:val="24"/>
          <w:szCs w:val="24"/>
          <w:lang w:val="en-GB" w:eastAsia="en-GB"/>
        </w:rPr>
        <w:t>griculture in the mainstream</w:t>
      </w:r>
      <w:r w:rsidR="00846BD5">
        <w:rPr>
          <w:rFonts w:ascii="Arial" w:eastAsia="Times New Roman" w:hAnsi="Arial" w:cs="Arial"/>
          <w:color w:val="000000"/>
          <w:sz w:val="24"/>
          <w:szCs w:val="24"/>
          <w:lang w:val="en-GB" w:eastAsia="en-GB"/>
        </w:rPr>
        <w:t xml:space="preserve"> before he was actually absorbed in the mainstream</w:t>
      </w:r>
      <w:r w:rsidR="004A0B53">
        <w:rPr>
          <w:rFonts w:ascii="Arial" w:eastAsia="Times New Roman" w:hAnsi="Arial" w:cs="Arial"/>
          <w:color w:val="000000"/>
          <w:sz w:val="24"/>
          <w:szCs w:val="24"/>
          <w:lang w:val="en-GB" w:eastAsia="en-GB"/>
        </w:rPr>
        <w:t>.  T</w:t>
      </w:r>
      <w:r w:rsidR="007A4D39">
        <w:rPr>
          <w:rFonts w:ascii="Arial" w:eastAsia="Times New Roman" w:hAnsi="Arial" w:cs="Arial"/>
          <w:color w:val="000000"/>
          <w:sz w:val="24"/>
          <w:szCs w:val="24"/>
          <w:lang w:val="en-GB" w:eastAsia="en-GB"/>
        </w:rPr>
        <w:t xml:space="preserve">he Disputant has not challenged </w:t>
      </w:r>
      <w:r w:rsidR="00902D3C">
        <w:rPr>
          <w:rFonts w:ascii="Arial" w:eastAsia="Times New Roman" w:hAnsi="Arial" w:cs="Arial"/>
          <w:color w:val="000000"/>
          <w:sz w:val="24"/>
          <w:szCs w:val="24"/>
          <w:lang w:val="en-GB" w:eastAsia="en-GB"/>
        </w:rPr>
        <w:t xml:space="preserve">before us </w:t>
      </w:r>
      <w:r w:rsidR="007A4D39">
        <w:rPr>
          <w:rFonts w:ascii="Arial" w:eastAsia="Times New Roman" w:hAnsi="Arial" w:cs="Arial"/>
          <w:color w:val="000000"/>
          <w:sz w:val="24"/>
          <w:szCs w:val="24"/>
          <w:lang w:val="en-GB" w:eastAsia="en-GB"/>
        </w:rPr>
        <w:t xml:space="preserve">the assignment of </w:t>
      </w:r>
      <w:r w:rsidR="004A0B53">
        <w:rPr>
          <w:rFonts w:ascii="Arial" w:eastAsia="Times New Roman" w:hAnsi="Arial" w:cs="Arial"/>
          <w:color w:val="000000"/>
          <w:sz w:val="24"/>
          <w:szCs w:val="24"/>
          <w:lang w:val="en-GB" w:eastAsia="en-GB"/>
        </w:rPr>
        <w:t>duties of Head of Department of Agriculture at the Respondent to Co-Respon</w:t>
      </w:r>
      <w:r w:rsidR="007A4D39">
        <w:rPr>
          <w:rFonts w:ascii="Arial" w:eastAsia="Times New Roman" w:hAnsi="Arial" w:cs="Arial"/>
          <w:color w:val="000000"/>
          <w:sz w:val="24"/>
          <w:szCs w:val="24"/>
          <w:lang w:val="en-GB" w:eastAsia="en-GB"/>
        </w:rPr>
        <w:t xml:space="preserve">dent No 2 </w:t>
      </w:r>
      <w:r w:rsidR="006B171D">
        <w:rPr>
          <w:rFonts w:ascii="Arial" w:eastAsia="Times New Roman" w:hAnsi="Arial" w:cs="Arial"/>
          <w:color w:val="000000"/>
          <w:sz w:val="24"/>
          <w:szCs w:val="24"/>
          <w:lang w:val="en-GB" w:eastAsia="en-GB"/>
        </w:rPr>
        <w:t xml:space="preserve">as far back as in the year 2013 </w:t>
      </w:r>
      <w:r w:rsidR="007A4D39">
        <w:rPr>
          <w:rFonts w:ascii="Arial" w:eastAsia="Times New Roman" w:hAnsi="Arial" w:cs="Arial"/>
          <w:color w:val="000000"/>
          <w:sz w:val="24"/>
          <w:szCs w:val="24"/>
          <w:lang w:val="en-GB" w:eastAsia="en-GB"/>
        </w:rPr>
        <w:t>al</w:t>
      </w:r>
      <w:r w:rsidR="00DA059B">
        <w:rPr>
          <w:rFonts w:ascii="Arial" w:eastAsia="Times New Roman" w:hAnsi="Arial" w:cs="Arial"/>
          <w:color w:val="000000"/>
          <w:sz w:val="24"/>
          <w:szCs w:val="24"/>
          <w:lang w:val="en-GB" w:eastAsia="en-GB"/>
        </w:rPr>
        <w:t xml:space="preserve">though </w:t>
      </w:r>
      <w:r w:rsidR="004A0B53">
        <w:rPr>
          <w:rFonts w:ascii="Arial" w:eastAsia="Times New Roman" w:hAnsi="Arial" w:cs="Arial"/>
          <w:color w:val="000000"/>
          <w:sz w:val="24"/>
          <w:szCs w:val="24"/>
          <w:lang w:val="en-GB" w:eastAsia="en-GB"/>
        </w:rPr>
        <w:t xml:space="preserve">Disputant </w:t>
      </w:r>
      <w:r w:rsidR="00DA059B">
        <w:rPr>
          <w:rFonts w:ascii="Arial" w:eastAsia="Times New Roman" w:hAnsi="Arial" w:cs="Arial"/>
          <w:color w:val="000000"/>
          <w:sz w:val="24"/>
          <w:szCs w:val="24"/>
          <w:lang w:val="en-GB" w:eastAsia="en-GB"/>
        </w:rPr>
        <w:t xml:space="preserve">was </w:t>
      </w:r>
      <w:r w:rsidR="004A0B53">
        <w:rPr>
          <w:rFonts w:ascii="Arial" w:eastAsia="Times New Roman" w:hAnsi="Arial" w:cs="Arial"/>
          <w:color w:val="000000"/>
          <w:sz w:val="24"/>
          <w:szCs w:val="24"/>
          <w:lang w:val="en-GB" w:eastAsia="en-GB"/>
        </w:rPr>
        <w:t xml:space="preserve">then </w:t>
      </w:r>
      <w:r w:rsidR="00DA059B">
        <w:rPr>
          <w:rFonts w:ascii="Arial" w:eastAsia="Times New Roman" w:hAnsi="Arial" w:cs="Arial"/>
          <w:color w:val="000000"/>
          <w:sz w:val="24"/>
          <w:szCs w:val="24"/>
          <w:lang w:val="en-GB" w:eastAsia="en-GB"/>
        </w:rPr>
        <w:t xml:space="preserve">already teaching at </w:t>
      </w:r>
      <w:r w:rsidR="004A0B53">
        <w:rPr>
          <w:rFonts w:ascii="Arial" w:eastAsia="Times New Roman" w:hAnsi="Arial" w:cs="Arial"/>
          <w:color w:val="000000"/>
          <w:sz w:val="24"/>
          <w:szCs w:val="24"/>
          <w:lang w:val="en-GB" w:eastAsia="en-GB"/>
        </w:rPr>
        <w:t xml:space="preserve">the </w:t>
      </w:r>
      <w:r w:rsidR="00DA059B">
        <w:rPr>
          <w:rFonts w:ascii="Arial" w:eastAsia="Times New Roman" w:hAnsi="Arial" w:cs="Arial"/>
          <w:color w:val="000000"/>
          <w:sz w:val="24"/>
          <w:szCs w:val="24"/>
          <w:lang w:val="en-GB" w:eastAsia="en-GB"/>
        </w:rPr>
        <w:t xml:space="preserve">Respondent.  The integration of Educators from the prevocational stream into the mainstream </w:t>
      </w:r>
      <w:r w:rsidR="007A4D39">
        <w:rPr>
          <w:rFonts w:ascii="Arial" w:eastAsia="Times New Roman" w:hAnsi="Arial" w:cs="Arial"/>
          <w:color w:val="000000"/>
          <w:sz w:val="24"/>
          <w:szCs w:val="24"/>
          <w:lang w:val="en-GB" w:eastAsia="en-GB"/>
        </w:rPr>
        <w:t>d</w:t>
      </w:r>
      <w:r w:rsidR="00DA059B">
        <w:rPr>
          <w:rFonts w:ascii="Arial" w:eastAsia="Times New Roman" w:hAnsi="Arial" w:cs="Arial"/>
          <w:color w:val="000000"/>
          <w:sz w:val="24"/>
          <w:szCs w:val="24"/>
          <w:lang w:val="en-GB" w:eastAsia="en-GB"/>
        </w:rPr>
        <w:t xml:space="preserve">oes </w:t>
      </w:r>
      <w:r w:rsidR="000D22AD">
        <w:rPr>
          <w:rFonts w:ascii="Arial" w:eastAsia="Times New Roman" w:hAnsi="Arial" w:cs="Arial"/>
          <w:color w:val="000000"/>
          <w:sz w:val="24"/>
          <w:szCs w:val="24"/>
          <w:lang w:val="en-GB" w:eastAsia="en-GB"/>
        </w:rPr>
        <w:t>require a careful implementation and involve</w:t>
      </w:r>
      <w:r w:rsidR="007A4D39">
        <w:rPr>
          <w:rFonts w:ascii="Arial" w:eastAsia="Times New Roman" w:hAnsi="Arial" w:cs="Arial"/>
          <w:color w:val="000000"/>
          <w:sz w:val="24"/>
          <w:szCs w:val="24"/>
          <w:lang w:val="en-GB" w:eastAsia="en-GB"/>
        </w:rPr>
        <w:t>s many factors including the fate of Educators who may have</w:t>
      </w:r>
      <w:r w:rsidR="000D22AD">
        <w:rPr>
          <w:rFonts w:ascii="Arial" w:eastAsia="Times New Roman" w:hAnsi="Arial" w:cs="Arial"/>
          <w:color w:val="000000"/>
          <w:sz w:val="24"/>
          <w:szCs w:val="24"/>
          <w:lang w:val="en-GB" w:eastAsia="en-GB"/>
        </w:rPr>
        <w:t xml:space="preserve"> been assigned duties as Head of Department for </w:t>
      </w:r>
      <w:r w:rsidR="001C37D5">
        <w:rPr>
          <w:rFonts w:ascii="Arial" w:eastAsia="Times New Roman" w:hAnsi="Arial" w:cs="Arial"/>
          <w:color w:val="000000"/>
          <w:sz w:val="24"/>
          <w:szCs w:val="24"/>
          <w:lang w:val="en-GB" w:eastAsia="en-GB"/>
        </w:rPr>
        <w:t xml:space="preserve">years </w:t>
      </w:r>
      <w:r w:rsidR="00846BD5">
        <w:rPr>
          <w:rFonts w:ascii="Arial" w:eastAsia="Times New Roman" w:hAnsi="Arial" w:cs="Arial"/>
          <w:color w:val="000000"/>
          <w:sz w:val="24"/>
          <w:szCs w:val="24"/>
          <w:lang w:val="en-GB" w:eastAsia="en-GB"/>
        </w:rPr>
        <w:t>but</w:t>
      </w:r>
      <w:r w:rsidR="00902D3C">
        <w:rPr>
          <w:rFonts w:ascii="Arial" w:eastAsia="Times New Roman" w:hAnsi="Arial" w:cs="Arial"/>
          <w:color w:val="000000"/>
          <w:sz w:val="24"/>
          <w:szCs w:val="24"/>
          <w:lang w:val="en-GB" w:eastAsia="en-GB"/>
        </w:rPr>
        <w:t>,</w:t>
      </w:r>
      <w:r w:rsidR="00472B59">
        <w:rPr>
          <w:rFonts w:ascii="Arial" w:eastAsia="Times New Roman" w:hAnsi="Arial" w:cs="Arial"/>
          <w:color w:val="000000"/>
          <w:sz w:val="24"/>
          <w:szCs w:val="24"/>
          <w:lang w:val="en-GB" w:eastAsia="en-GB"/>
        </w:rPr>
        <w:t xml:space="preserve"> </w:t>
      </w:r>
      <w:r w:rsidR="00902D3C">
        <w:rPr>
          <w:rFonts w:ascii="Arial" w:eastAsia="Times New Roman" w:hAnsi="Arial" w:cs="Arial"/>
          <w:color w:val="000000"/>
          <w:sz w:val="24"/>
          <w:szCs w:val="24"/>
          <w:lang w:val="en-GB" w:eastAsia="en-GB"/>
        </w:rPr>
        <w:t xml:space="preserve">more importantly, </w:t>
      </w:r>
      <w:r w:rsidR="000D22AD">
        <w:rPr>
          <w:rFonts w:ascii="Arial" w:eastAsia="Times New Roman" w:hAnsi="Arial" w:cs="Arial"/>
          <w:color w:val="000000"/>
          <w:sz w:val="24"/>
          <w:szCs w:val="24"/>
          <w:lang w:val="en-GB" w:eastAsia="en-GB"/>
        </w:rPr>
        <w:t xml:space="preserve">the </w:t>
      </w:r>
      <w:r w:rsidR="007A4D39">
        <w:rPr>
          <w:rFonts w:ascii="Arial" w:eastAsia="Times New Roman" w:hAnsi="Arial" w:cs="Arial"/>
          <w:color w:val="000000"/>
          <w:sz w:val="24"/>
          <w:szCs w:val="24"/>
          <w:lang w:val="en-GB" w:eastAsia="en-GB"/>
        </w:rPr>
        <w:t xml:space="preserve">enhancement and promotion of </w:t>
      </w:r>
      <w:r w:rsidR="00472B59">
        <w:rPr>
          <w:rFonts w:ascii="Arial" w:eastAsia="Times New Roman" w:hAnsi="Arial" w:cs="Arial"/>
          <w:color w:val="000000"/>
          <w:sz w:val="24"/>
          <w:szCs w:val="24"/>
          <w:lang w:val="en-GB" w:eastAsia="en-GB"/>
        </w:rPr>
        <w:t xml:space="preserve">quality education in secondary schools.  </w:t>
      </w:r>
      <w:r w:rsidR="008716E1">
        <w:rPr>
          <w:rFonts w:ascii="Arial" w:eastAsia="Times New Roman" w:hAnsi="Arial" w:cs="Arial"/>
          <w:color w:val="000000"/>
          <w:sz w:val="24"/>
          <w:szCs w:val="24"/>
          <w:lang w:val="en-GB" w:eastAsia="en-GB"/>
        </w:rPr>
        <w:t xml:space="preserve">  </w:t>
      </w:r>
      <w:r w:rsidR="00DA059B">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    </w:t>
      </w:r>
    </w:p>
    <w:p w14:paraId="326A1F6C" w14:textId="77777777" w:rsidR="008716E1" w:rsidRDefault="008716E1" w:rsidP="00130E2E">
      <w:pPr>
        <w:shd w:val="clear" w:color="auto" w:fill="FFFFFF"/>
        <w:spacing w:after="0" w:line="240" w:lineRule="auto"/>
        <w:jc w:val="both"/>
        <w:rPr>
          <w:rFonts w:ascii="Arial" w:eastAsia="Times New Roman" w:hAnsi="Arial" w:cs="Arial"/>
          <w:color w:val="000000"/>
          <w:sz w:val="24"/>
          <w:szCs w:val="24"/>
          <w:lang w:val="en-GB" w:eastAsia="en-GB"/>
        </w:rPr>
      </w:pPr>
    </w:p>
    <w:p w14:paraId="44F5DF7E" w14:textId="40CB2D18" w:rsidR="00472B59" w:rsidRDefault="008716E1"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The PRB Report </w:t>
      </w:r>
      <w:r w:rsidR="00076B00">
        <w:rPr>
          <w:rFonts w:ascii="Arial" w:eastAsia="Times New Roman" w:hAnsi="Arial" w:cs="Arial"/>
          <w:color w:val="000000"/>
          <w:sz w:val="24"/>
          <w:szCs w:val="24"/>
          <w:lang w:val="en-GB" w:eastAsia="en-GB"/>
        </w:rPr>
        <w:t>must be read as a whole where emphasis is placed</w:t>
      </w:r>
      <w:r w:rsidR="00100731">
        <w:rPr>
          <w:rFonts w:ascii="Arial" w:eastAsia="Times New Roman" w:hAnsi="Arial" w:cs="Arial"/>
          <w:color w:val="000000"/>
          <w:sz w:val="24"/>
          <w:szCs w:val="24"/>
          <w:lang w:val="en-GB" w:eastAsia="en-GB"/>
        </w:rPr>
        <w:t>, for example,</w:t>
      </w:r>
      <w:r w:rsidR="00076B00">
        <w:rPr>
          <w:rFonts w:ascii="Arial" w:eastAsia="Times New Roman" w:hAnsi="Arial" w:cs="Arial"/>
          <w:color w:val="000000"/>
          <w:sz w:val="24"/>
          <w:szCs w:val="24"/>
          <w:lang w:val="en-GB" w:eastAsia="en-GB"/>
        </w:rPr>
        <w:t xml:space="preserve"> on duties at paragraph 99.20 of the PRB Report 2016</w:t>
      </w:r>
      <w:r>
        <w:rPr>
          <w:rFonts w:ascii="Arial" w:eastAsia="Times New Roman" w:hAnsi="Arial" w:cs="Arial"/>
          <w:color w:val="000000"/>
          <w:sz w:val="24"/>
          <w:szCs w:val="24"/>
          <w:lang w:val="en-GB" w:eastAsia="en-GB"/>
        </w:rPr>
        <w:t xml:space="preserve"> </w:t>
      </w:r>
      <w:r w:rsidR="00100731">
        <w:rPr>
          <w:rFonts w:ascii="Arial" w:eastAsia="Times New Roman" w:hAnsi="Arial" w:cs="Arial"/>
          <w:color w:val="000000"/>
          <w:sz w:val="24"/>
          <w:szCs w:val="24"/>
          <w:lang w:val="en-GB" w:eastAsia="en-GB"/>
        </w:rPr>
        <w:t xml:space="preserve">and </w:t>
      </w:r>
      <w:r w:rsidR="00076B00">
        <w:rPr>
          <w:rFonts w:ascii="Arial" w:eastAsia="Times New Roman" w:hAnsi="Arial" w:cs="Arial"/>
          <w:color w:val="000000"/>
          <w:sz w:val="24"/>
          <w:szCs w:val="24"/>
          <w:lang w:val="en-GB" w:eastAsia="en-GB"/>
        </w:rPr>
        <w:t>where the PRB goes on to state that “</w:t>
      </w:r>
      <w:r w:rsidR="00076B00" w:rsidRPr="00100731">
        <w:rPr>
          <w:rFonts w:ascii="Arial" w:eastAsia="Times New Roman" w:hAnsi="Arial" w:cs="Arial"/>
          <w:i/>
          <w:color w:val="000000"/>
          <w:sz w:val="24"/>
          <w:szCs w:val="24"/>
          <w:lang w:val="en-GB" w:eastAsia="en-GB"/>
        </w:rPr>
        <w:t>The Heads of Department are required to advise the Rector on matters relating to their respective specialities. e.g, syllabus, choice of books, laboratory equipment, time-table, internal examinations etc</w:t>
      </w:r>
      <w:r w:rsidR="00076B00">
        <w:rPr>
          <w:rFonts w:ascii="Arial" w:eastAsia="Times New Roman" w:hAnsi="Arial" w:cs="Arial"/>
          <w:color w:val="000000"/>
          <w:sz w:val="24"/>
          <w:szCs w:val="24"/>
          <w:lang w:val="en-GB" w:eastAsia="en-GB"/>
        </w:rPr>
        <w:t>.”</w:t>
      </w:r>
      <w:r w:rsidR="00472B59">
        <w:rPr>
          <w:rFonts w:ascii="Arial" w:eastAsia="Times New Roman" w:hAnsi="Arial" w:cs="Arial"/>
          <w:color w:val="000000"/>
          <w:sz w:val="24"/>
          <w:szCs w:val="24"/>
          <w:lang w:val="en-GB" w:eastAsia="en-GB"/>
        </w:rPr>
        <w:t xml:space="preserve">  The Tribunal will here again refer to the </w:t>
      </w:r>
      <w:r w:rsidR="00100731">
        <w:rPr>
          <w:rFonts w:ascii="Arial" w:eastAsia="Times New Roman" w:hAnsi="Arial" w:cs="Arial"/>
          <w:color w:val="000000"/>
          <w:sz w:val="24"/>
          <w:szCs w:val="24"/>
          <w:lang w:val="en-GB" w:eastAsia="en-GB"/>
        </w:rPr>
        <w:t xml:space="preserve">second sentence </w:t>
      </w:r>
      <w:r w:rsidR="00467681">
        <w:rPr>
          <w:rFonts w:ascii="Arial" w:eastAsia="Times New Roman" w:hAnsi="Arial" w:cs="Arial"/>
          <w:color w:val="000000"/>
          <w:sz w:val="24"/>
          <w:szCs w:val="24"/>
          <w:lang w:val="en-GB" w:eastAsia="en-GB"/>
        </w:rPr>
        <w:t>of</w:t>
      </w:r>
      <w:r w:rsidR="00100731">
        <w:rPr>
          <w:rFonts w:ascii="Arial" w:eastAsia="Times New Roman" w:hAnsi="Arial" w:cs="Arial"/>
          <w:color w:val="000000"/>
          <w:sz w:val="24"/>
          <w:szCs w:val="24"/>
          <w:lang w:val="en-GB" w:eastAsia="en-GB"/>
        </w:rPr>
        <w:t xml:space="preserve"> the same</w:t>
      </w:r>
      <w:r w:rsidR="00472B59">
        <w:rPr>
          <w:rFonts w:ascii="Arial" w:eastAsia="Times New Roman" w:hAnsi="Arial" w:cs="Arial"/>
          <w:color w:val="000000"/>
          <w:sz w:val="24"/>
          <w:szCs w:val="24"/>
          <w:lang w:val="en-GB" w:eastAsia="en-GB"/>
        </w:rPr>
        <w:t xml:space="preserve"> paragraph 99.20 of the PRB Report 2016 (as per Annex 6 to the Statement of Case of Disputant) which reads as follows: </w:t>
      </w:r>
    </w:p>
    <w:p w14:paraId="3672C657" w14:textId="77777777" w:rsidR="00472B59" w:rsidRDefault="00472B59" w:rsidP="00130E2E">
      <w:pPr>
        <w:shd w:val="clear" w:color="auto" w:fill="FFFFFF"/>
        <w:spacing w:after="0" w:line="240" w:lineRule="auto"/>
        <w:jc w:val="both"/>
        <w:rPr>
          <w:rFonts w:ascii="Arial" w:eastAsia="Times New Roman" w:hAnsi="Arial" w:cs="Arial"/>
          <w:color w:val="000000"/>
          <w:sz w:val="24"/>
          <w:szCs w:val="24"/>
          <w:lang w:val="en-GB" w:eastAsia="en-GB"/>
        </w:rPr>
      </w:pPr>
    </w:p>
    <w:p w14:paraId="0D43418F" w14:textId="3EA60052" w:rsidR="00076B00" w:rsidRDefault="00472B59"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hAnsi="Arial" w:cs="Arial"/>
          <w:i/>
          <w:sz w:val="24"/>
          <w:szCs w:val="24"/>
        </w:rPr>
        <w:t xml:space="preserve">… </w:t>
      </w:r>
      <w:r w:rsidRPr="00496A1D">
        <w:rPr>
          <w:rFonts w:ascii="Arial" w:hAnsi="Arial" w:cs="Arial"/>
          <w:i/>
          <w:sz w:val="24"/>
          <w:szCs w:val="24"/>
        </w:rPr>
        <w:t xml:space="preserve">In the absence of fully qualified candidates, Educators (Private Secondary Schools) who do not possess the qualifications to cross the QB, but reckon at least five years’ post qualification experience and having teached </w:t>
      </w:r>
      <w:r w:rsidR="00AB24FC">
        <w:rPr>
          <w:rFonts w:ascii="Arial" w:hAnsi="Arial" w:cs="Arial"/>
          <w:sz w:val="24"/>
          <w:szCs w:val="24"/>
        </w:rPr>
        <w:t xml:space="preserve">(sic) </w:t>
      </w:r>
      <w:r w:rsidRPr="00496A1D">
        <w:rPr>
          <w:rFonts w:ascii="Arial" w:hAnsi="Arial" w:cs="Arial"/>
          <w:i/>
          <w:sz w:val="24"/>
          <w:szCs w:val="24"/>
        </w:rPr>
        <w:t>up to Form V/Form VI when posted respectively in Form V/Form VI colleges are also considered for the designated position.</w:t>
      </w:r>
      <w:r w:rsidR="00076B00">
        <w:rPr>
          <w:rFonts w:ascii="Arial" w:eastAsia="Times New Roman" w:hAnsi="Arial" w:cs="Arial"/>
          <w:color w:val="000000"/>
          <w:sz w:val="24"/>
          <w:szCs w:val="24"/>
          <w:lang w:val="en-GB" w:eastAsia="en-GB"/>
        </w:rPr>
        <w:t xml:space="preserve"> </w:t>
      </w:r>
    </w:p>
    <w:p w14:paraId="1A6D2828" w14:textId="77777777" w:rsidR="00076B00" w:rsidRDefault="00076B00" w:rsidP="00130E2E">
      <w:pPr>
        <w:shd w:val="clear" w:color="auto" w:fill="FFFFFF"/>
        <w:spacing w:after="0" w:line="240" w:lineRule="auto"/>
        <w:jc w:val="both"/>
        <w:rPr>
          <w:rFonts w:ascii="Arial" w:eastAsia="Times New Roman" w:hAnsi="Arial" w:cs="Arial"/>
          <w:color w:val="000000"/>
          <w:sz w:val="24"/>
          <w:szCs w:val="24"/>
          <w:lang w:val="en-GB" w:eastAsia="en-GB"/>
        </w:rPr>
      </w:pPr>
    </w:p>
    <w:p w14:paraId="1E33910D" w14:textId="1DBC7D8A" w:rsidR="00F109F1" w:rsidRDefault="00472B59"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Though </w:t>
      </w:r>
      <w:r w:rsidR="00100731">
        <w:rPr>
          <w:rFonts w:ascii="Arial" w:eastAsia="Times New Roman" w:hAnsi="Arial" w:cs="Arial"/>
          <w:color w:val="000000"/>
          <w:sz w:val="24"/>
          <w:szCs w:val="24"/>
          <w:lang w:val="en-GB" w:eastAsia="en-GB"/>
        </w:rPr>
        <w:t>this provision</w:t>
      </w:r>
      <w:r>
        <w:rPr>
          <w:rFonts w:ascii="Arial" w:eastAsia="Times New Roman" w:hAnsi="Arial" w:cs="Arial"/>
          <w:color w:val="000000"/>
          <w:sz w:val="24"/>
          <w:szCs w:val="24"/>
          <w:lang w:val="en-GB" w:eastAsia="en-GB"/>
        </w:rPr>
        <w:t xml:space="preserve"> deals with the situation where there </w:t>
      </w:r>
      <w:r w:rsidR="00100731">
        <w:rPr>
          <w:rFonts w:ascii="Arial" w:eastAsia="Times New Roman" w:hAnsi="Arial" w:cs="Arial"/>
          <w:color w:val="000000"/>
          <w:sz w:val="24"/>
          <w:szCs w:val="24"/>
          <w:lang w:val="en-GB" w:eastAsia="en-GB"/>
        </w:rPr>
        <w:t>are</w:t>
      </w:r>
      <w:r>
        <w:rPr>
          <w:rFonts w:ascii="Arial" w:eastAsia="Times New Roman" w:hAnsi="Arial" w:cs="Arial"/>
          <w:color w:val="000000"/>
          <w:sz w:val="24"/>
          <w:szCs w:val="24"/>
          <w:lang w:val="en-GB" w:eastAsia="en-GB"/>
        </w:rPr>
        <w:t xml:space="preserve"> no fully qualified candidate</w:t>
      </w:r>
      <w:r w:rsidR="00100731">
        <w:rPr>
          <w:rFonts w:ascii="Arial" w:eastAsia="Times New Roman" w:hAnsi="Arial" w:cs="Arial"/>
          <w:color w:val="000000"/>
          <w:sz w:val="24"/>
          <w:szCs w:val="24"/>
          <w:lang w:val="en-GB" w:eastAsia="en-GB"/>
        </w:rPr>
        <w:t>s</w:t>
      </w:r>
      <w:r>
        <w:rPr>
          <w:rFonts w:ascii="Arial" w:eastAsia="Times New Roman" w:hAnsi="Arial" w:cs="Arial"/>
          <w:color w:val="000000"/>
          <w:sz w:val="24"/>
          <w:szCs w:val="24"/>
          <w:lang w:val="en-GB" w:eastAsia="en-GB"/>
        </w:rPr>
        <w:t xml:space="preserve">, </w:t>
      </w:r>
      <w:r w:rsidR="00100731">
        <w:rPr>
          <w:rFonts w:ascii="Arial" w:eastAsia="Times New Roman" w:hAnsi="Arial" w:cs="Arial"/>
          <w:color w:val="000000"/>
          <w:sz w:val="24"/>
          <w:szCs w:val="24"/>
          <w:lang w:val="en-GB" w:eastAsia="en-GB"/>
        </w:rPr>
        <w:t>it</w:t>
      </w:r>
      <w:r>
        <w:rPr>
          <w:rFonts w:ascii="Arial" w:eastAsia="Times New Roman" w:hAnsi="Arial" w:cs="Arial"/>
          <w:color w:val="000000"/>
          <w:sz w:val="24"/>
          <w:szCs w:val="24"/>
          <w:lang w:val="en-GB" w:eastAsia="en-GB"/>
        </w:rPr>
        <w:t xml:space="preserve"> says a lot </w:t>
      </w:r>
      <w:r w:rsidR="009F224B">
        <w:rPr>
          <w:rFonts w:ascii="Arial" w:eastAsia="Times New Roman" w:hAnsi="Arial" w:cs="Arial"/>
          <w:color w:val="000000"/>
          <w:sz w:val="24"/>
          <w:szCs w:val="24"/>
          <w:lang w:val="en-GB" w:eastAsia="en-GB"/>
        </w:rPr>
        <w:t xml:space="preserve">about the assignment of headship to </w:t>
      </w:r>
      <w:r>
        <w:rPr>
          <w:rFonts w:ascii="Arial" w:eastAsia="Times New Roman" w:hAnsi="Arial" w:cs="Arial"/>
          <w:color w:val="000000"/>
          <w:sz w:val="24"/>
          <w:szCs w:val="24"/>
          <w:lang w:val="en-GB" w:eastAsia="en-GB"/>
        </w:rPr>
        <w:t>an Educator</w:t>
      </w:r>
      <w:r w:rsidR="009F224B">
        <w:rPr>
          <w:rFonts w:ascii="Arial" w:eastAsia="Times New Roman" w:hAnsi="Arial" w:cs="Arial"/>
          <w:color w:val="000000"/>
          <w:sz w:val="24"/>
          <w:szCs w:val="24"/>
          <w:lang w:val="en-GB" w:eastAsia="en-GB"/>
        </w:rPr>
        <w:t xml:space="preserve"> in that the Educator,</w:t>
      </w:r>
      <w:r w:rsidR="00D744A3">
        <w:rPr>
          <w:rFonts w:ascii="Arial" w:eastAsia="Times New Roman" w:hAnsi="Arial" w:cs="Arial"/>
          <w:color w:val="000000"/>
          <w:sz w:val="24"/>
          <w:szCs w:val="24"/>
          <w:lang w:val="en-GB" w:eastAsia="en-GB"/>
        </w:rPr>
        <w:t xml:space="preserve"> though not fully qualified,</w:t>
      </w:r>
      <w:r>
        <w:rPr>
          <w:rFonts w:ascii="Arial" w:eastAsia="Times New Roman" w:hAnsi="Arial" w:cs="Arial"/>
          <w:color w:val="000000"/>
          <w:sz w:val="24"/>
          <w:szCs w:val="24"/>
          <w:lang w:val="en-GB" w:eastAsia="en-GB"/>
        </w:rPr>
        <w:t xml:space="preserve"> may be considered for the </w:t>
      </w:r>
      <w:r w:rsidR="006B7AD0">
        <w:rPr>
          <w:rFonts w:ascii="Arial" w:eastAsia="Times New Roman" w:hAnsi="Arial" w:cs="Arial"/>
          <w:color w:val="000000"/>
          <w:sz w:val="24"/>
          <w:szCs w:val="24"/>
          <w:lang w:val="en-GB" w:eastAsia="en-GB"/>
        </w:rPr>
        <w:t>‘</w:t>
      </w:r>
      <w:r>
        <w:rPr>
          <w:rFonts w:ascii="Arial" w:eastAsia="Times New Roman" w:hAnsi="Arial" w:cs="Arial"/>
          <w:color w:val="000000"/>
          <w:sz w:val="24"/>
          <w:szCs w:val="24"/>
          <w:lang w:val="en-GB" w:eastAsia="en-GB"/>
        </w:rPr>
        <w:t>designated</w:t>
      </w:r>
      <w:r w:rsidR="006B7AD0">
        <w:rPr>
          <w:rFonts w:ascii="Arial" w:eastAsia="Times New Roman" w:hAnsi="Arial" w:cs="Arial"/>
          <w:color w:val="000000"/>
          <w:sz w:val="24"/>
          <w:szCs w:val="24"/>
          <w:lang w:val="en-GB" w:eastAsia="en-GB"/>
        </w:rPr>
        <w:t>’</w:t>
      </w:r>
      <w:r>
        <w:rPr>
          <w:rFonts w:ascii="Arial" w:eastAsia="Times New Roman" w:hAnsi="Arial" w:cs="Arial"/>
          <w:color w:val="000000"/>
          <w:sz w:val="24"/>
          <w:szCs w:val="24"/>
          <w:lang w:val="en-GB" w:eastAsia="en-GB"/>
        </w:rPr>
        <w:t xml:space="preserve"> position </w:t>
      </w:r>
      <w:r w:rsidR="00D744A3">
        <w:rPr>
          <w:rFonts w:ascii="Arial" w:eastAsia="Times New Roman" w:hAnsi="Arial" w:cs="Arial"/>
          <w:color w:val="000000"/>
          <w:sz w:val="24"/>
          <w:szCs w:val="24"/>
          <w:lang w:val="en-GB" w:eastAsia="en-GB"/>
        </w:rPr>
        <w:t>provided he has</w:t>
      </w:r>
      <w:r>
        <w:rPr>
          <w:rFonts w:ascii="Arial" w:eastAsia="Times New Roman" w:hAnsi="Arial" w:cs="Arial"/>
          <w:color w:val="000000"/>
          <w:sz w:val="24"/>
          <w:szCs w:val="24"/>
          <w:lang w:val="en-GB" w:eastAsia="en-GB"/>
        </w:rPr>
        <w:t xml:space="preserve"> taught up to Form V if posted in a Form V college and up to Form VI </w:t>
      </w:r>
      <w:r w:rsidR="00100731">
        <w:rPr>
          <w:rFonts w:ascii="Arial" w:eastAsia="Times New Roman" w:hAnsi="Arial" w:cs="Arial"/>
          <w:color w:val="000000"/>
          <w:sz w:val="24"/>
          <w:szCs w:val="24"/>
          <w:lang w:val="en-GB" w:eastAsia="en-GB"/>
        </w:rPr>
        <w:t xml:space="preserve">(and no </w:t>
      </w:r>
      <w:r w:rsidR="00812909">
        <w:rPr>
          <w:rFonts w:ascii="Arial" w:eastAsia="Times New Roman" w:hAnsi="Arial" w:cs="Arial"/>
          <w:color w:val="000000"/>
          <w:sz w:val="24"/>
          <w:szCs w:val="24"/>
          <w:lang w:val="en-GB" w:eastAsia="en-GB"/>
        </w:rPr>
        <w:t>l</w:t>
      </w:r>
      <w:r w:rsidR="00100731">
        <w:rPr>
          <w:rFonts w:ascii="Arial" w:eastAsia="Times New Roman" w:hAnsi="Arial" w:cs="Arial"/>
          <w:color w:val="000000"/>
          <w:sz w:val="24"/>
          <w:szCs w:val="24"/>
          <w:lang w:val="en-GB" w:eastAsia="en-GB"/>
        </w:rPr>
        <w:t>onger</w:t>
      </w:r>
      <w:r w:rsidR="00812909">
        <w:rPr>
          <w:rFonts w:ascii="Arial" w:eastAsia="Times New Roman" w:hAnsi="Arial" w:cs="Arial"/>
          <w:color w:val="000000"/>
          <w:sz w:val="24"/>
          <w:szCs w:val="24"/>
          <w:lang w:val="en-GB" w:eastAsia="en-GB"/>
        </w:rPr>
        <w:t xml:space="preserve"> Form V</w:t>
      </w:r>
      <w:r w:rsidR="00100731">
        <w:rPr>
          <w:rFonts w:ascii="Arial" w:eastAsia="Times New Roman" w:hAnsi="Arial" w:cs="Arial"/>
          <w:color w:val="000000"/>
          <w:sz w:val="24"/>
          <w:szCs w:val="24"/>
          <w:lang w:val="en-GB" w:eastAsia="en-GB"/>
        </w:rPr>
        <w:t xml:space="preserve">) </w:t>
      </w:r>
      <w:r>
        <w:rPr>
          <w:rFonts w:ascii="Arial" w:eastAsia="Times New Roman" w:hAnsi="Arial" w:cs="Arial"/>
          <w:color w:val="000000"/>
          <w:sz w:val="24"/>
          <w:szCs w:val="24"/>
          <w:lang w:val="en-GB" w:eastAsia="en-GB"/>
        </w:rPr>
        <w:t xml:space="preserve">if posted in a Form VI college.  </w:t>
      </w:r>
      <w:r w:rsidR="00D744A3">
        <w:rPr>
          <w:rFonts w:ascii="Arial" w:eastAsia="Times New Roman" w:hAnsi="Arial" w:cs="Arial"/>
          <w:color w:val="000000"/>
          <w:sz w:val="24"/>
          <w:szCs w:val="24"/>
          <w:lang w:val="en-GB" w:eastAsia="en-GB"/>
        </w:rPr>
        <w:t xml:space="preserve">The Tribunal finds nothing wrong with this </w:t>
      </w:r>
      <w:r>
        <w:rPr>
          <w:rFonts w:ascii="Arial" w:eastAsia="Times New Roman" w:hAnsi="Arial" w:cs="Arial"/>
          <w:color w:val="000000"/>
          <w:sz w:val="24"/>
          <w:szCs w:val="24"/>
          <w:lang w:val="en-GB" w:eastAsia="en-GB"/>
        </w:rPr>
        <w:t xml:space="preserve">given the </w:t>
      </w:r>
      <w:r w:rsidR="006B171D">
        <w:rPr>
          <w:rFonts w:ascii="Arial" w:eastAsia="Times New Roman" w:hAnsi="Arial" w:cs="Arial"/>
          <w:color w:val="000000"/>
          <w:sz w:val="24"/>
          <w:szCs w:val="24"/>
          <w:lang w:val="en-GB" w:eastAsia="en-GB"/>
        </w:rPr>
        <w:t xml:space="preserve">duties and </w:t>
      </w:r>
      <w:r>
        <w:rPr>
          <w:rFonts w:ascii="Arial" w:eastAsia="Times New Roman" w:hAnsi="Arial" w:cs="Arial"/>
          <w:color w:val="000000"/>
          <w:sz w:val="24"/>
          <w:szCs w:val="24"/>
          <w:lang w:val="en-GB" w:eastAsia="en-GB"/>
        </w:rPr>
        <w:t>responsibilities of a Head of Department</w:t>
      </w:r>
      <w:r w:rsidR="00D744A3">
        <w:rPr>
          <w:rFonts w:ascii="Arial" w:eastAsia="Times New Roman" w:hAnsi="Arial" w:cs="Arial"/>
          <w:color w:val="000000"/>
          <w:sz w:val="24"/>
          <w:szCs w:val="24"/>
          <w:lang w:val="en-GB" w:eastAsia="en-GB"/>
        </w:rPr>
        <w:t xml:space="preserve">. </w:t>
      </w:r>
    </w:p>
    <w:p w14:paraId="13BCDB64" w14:textId="77777777" w:rsidR="00F109F1" w:rsidRDefault="00F109F1" w:rsidP="00130E2E">
      <w:pPr>
        <w:shd w:val="clear" w:color="auto" w:fill="FFFFFF"/>
        <w:spacing w:after="0" w:line="240" w:lineRule="auto"/>
        <w:jc w:val="both"/>
        <w:rPr>
          <w:rFonts w:ascii="Arial" w:eastAsia="Times New Roman" w:hAnsi="Arial" w:cs="Arial"/>
          <w:color w:val="000000"/>
          <w:sz w:val="24"/>
          <w:szCs w:val="24"/>
          <w:lang w:val="en-GB" w:eastAsia="en-GB"/>
        </w:rPr>
      </w:pPr>
    </w:p>
    <w:p w14:paraId="50B202C9" w14:textId="70E2AC41" w:rsidR="00472B59" w:rsidRDefault="00F109F1" w:rsidP="00130E2E">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For all the reasons given above, the Tribunal finds that it cannot deliver an award as per the terms of reference </w:t>
      </w:r>
      <w:r w:rsidR="005C0709">
        <w:rPr>
          <w:rFonts w:ascii="Arial" w:eastAsia="Times New Roman" w:hAnsi="Arial" w:cs="Arial"/>
          <w:color w:val="000000"/>
          <w:sz w:val="24"/>
          <w:szCs w:val="24"/>
          <w:lang w:val="en-GB" w:eastAsia="en-GB"/>
        </w:rPr>
        <w:t xml:space="preserve">of the dispute based on one </w:t>
      </w:r>
      <w:r w:rsidR="00812909">
        <w:rPr>
          <w:rFonts w:ascii="Arial" w:eastAsia="Times New Roman" w:hAnsi="Arial" w:cs="Arial"/>
          <w:color w:val="000000"/>
          <w:sz w:val="24"/>
          <w:szCs w:val="24"/>
          <w:lang w:val="en-GB" w:eastAsia="en-GB"/>
        </w:rPr>
        <w:t xml:space="preserve">particular </w:t>
      </w:r>
      <w:r w:rsidR="005C0709">
        <w:rPr>
          <w:rFonts w:ascii="Arial" w:eastAsia="Times New Roman" w:hAnsi="Arial" w:cs="Arial"/>
          <w:color w:val="000000"/>
          <w:sz w:val="24"/>
          <w:szCs w:val="24"/>
          <w:lang w:val="en-GB" w:eastAsia="en-GB"/>
        </w:rPr>
        <w:t>Recommendation</w:t>
      </w:r>
      <w:r w:rsidR="00656830">
        <w:rPr>
          <w:rFonts w:ascii="Arial" w:eastAsia="Times New Roman" w:hAnsi="Arial" w:cs="Arial"/>
          <w:color w:val="000000"/>
          <w:sz w:val="24"/>
          <w:szCs w:val="24"/>
          <w:lang w:val="en-GB" w:eastAsia="en-GB"/>
        </w:rPr>
        <w:t>,</w:t>
      </w:r>
      <w:r w:rsidR="005C0709">
        <w:rPr>
          <w:rFonts w:ascii="Arial" w:eastAsia="Times New Roman" w:hAnsi="Arial" w:cs="Arial"/>
          <w:color w:val="000000"/>
          <w:sz w:val="24"/>
          <w:szCs w:val="24"/>
          <w:lang w:val="en-GB" w:eastAsia="en-GB"/>
        </w:rPr>
        <w:t xml:space="preserve"> that is, Recommendation 5 of the PRB Report 2016</w:t>
      </w:r>
      <w:r w:rsidR="00656830">
        <w:rPr>
          <w:rFonts w:ascii="Arial" w:eastAsia="Times New Roman" w:hAnsi="Arial" w:cs="Arial"/>
          <w:color w:val="000000"/>
          <w:sz w:val="24"/>
          <w:szCs w:val="24"/>
          <w:lang w:val="en-GB" w:eastAsia="en-GB"/>
        </w:rPr>
        <w:t>, taken separately and independently</w:t>
      </w:r>
      <w:r w:rsidR="006B7AD0">
        <w:rPr>
          <w:rFonts w:ascii="Arial" w:eastAsia="Times New Roman" w:hAnsi="Arial" w:cs="Arial"/>
          <w:color w:val="000000"/>
          <w:sz w:val="24"/>
          <w:szCs w:val="24"/>
          <w:lang w:val="en-GB" w:eastAsia="en-GB"/>
        </w:rPr>
        <w:t>,</w:t>
      </w:r>
      <w:r w:rsidR="005C0709">
        <w:rPr>
          <w:rFonts w:ascii="Arial" w:eastAsia="Times New Roman" w:hAnsi="Arial" w:cs="Arial"/>
          <w:color w:val="000000"/>
          <w:sz w:val="24"/>
          <w:szCs w:val="24"/>
          <w:lang w:val="en-GB" w:eastAsia="en-GB"/>
        </w:rPr>
        <w:t xml:space="preserve"> whereas the </w:t>
      </w:r>
      <w:r w:rsidR="00D744A3">
        <w:rPr>
          <w:rFonts w:ascii="Arial" w:eastAsia="Times New Roman" w:hAnsi="Arial" w:cs="Arial"/>
          <w:color w:val="000000"/>
          <w:sz w:val="24"/>
          <w:szCs w:val="24"/>
          <w:lang w:val="en-GB" w:eastAsia="en-GB"/>
        </w:rPr>
        <w:t xml:space="preserve">said </w:t>
      </w:r>
      <w:r w:rsidR="005C0709">
        <w:rPr>
          <w:rFonts w:ascii="Arial" w:eastAsia="Times New Roman" w:hAnsi="Arial" w:cs="Arial"/>
          <w:color w:val="000000"/>
          <w:sz w:val="24"/>
          <w:szCs w:val="24"/>
          <w:lang w:val="en-GB" w:eastAsia="en-GB"/>
        </w:rPr>
        <w:t>PRB Report 2016 or any PRB Report is to be construed as a whole</w:t>
      </w:r>
      <w:r w:rsidR="00521051">
        <w:rPr>
          <w:rFonts w:ascii="Arial" w:eastAsia="Times New Roman" w:hAnsi="Arial" w:cs="Arial"/>
          <w:color w:val="000000"/>
          <w:sz w:val="24"/>
          <w:szCs w:val="24"/>
          <w:lang w:val="en-GB" w:eastAsia="en-GB"/>
        </w:rPr>
        <w:t xml:space="preserve"> (including references </w:t>
      </w:r>
      <w:r w:rsidR="00A04F26">
        <w:rPr>
          <w:rFonts w:ascii="Arial" w:eastAsia="Times New Roman" w:hAnsi="Arial" w:cs="Arial"/>
          <w:color w:val="000000"/>
          <w:sz w:val="24"/>
          <w:szCs w:val="24"/>
          <w:lang w:val="en-GB" w:eastAsia="en-GB"/>
        </w:rPr>
        <w:t xml:space="preserve">made </w:t>
      </w:r>
      <w:r w:rsidR="00521051">
        <w:rPr>
          <w:rFonts w:ascii="Arial" w:eastAsia="Times New Roman" w:hAnsi="Arial" w:cs="Arial"/>
          <w:color w:val="000000"/>
          <w:sz w:val="24"/>
          <w:szCs w:val="24"/>
          <w:lang w:val="en-GB" w:eastAsia="en-GB"/>
        </w:rPr>
        <w:t>in the PRB Report itself to criteria for eligibility for the position of Head of Department elaborated by Co-Respondent No 1)</w:t>
      </w:r>
      <w:r w:rsidR="005C0709">
        <w:rPr>
          <w:rFonts w:ascii="Arial" w:eastAsia="Times New Roman" w:hAnsi="Arial" w:cs="Arial"/>
          <w:color w:val="000000"/>
          <w:sz w:val="24"/>
          <w:szCs w:val="24"/>
          <w:lang w:val="en-GB" w:eastAsia="en-GB"/>
        </w:rPr>
        <w:t>.  To make matters</w:t>
      </w:r>
      <w:r w:rsidR="00AB24FC">
        <w:rPr>
          <w:rFonts w:ascii="Arial" w:eastAsia="Times New Roman" w:hAnsi="Arial" w:cs="Arial"/>
          <w:color w:val="000000"/>
          <w:sz w:val="24"/>
          <w:szCs w:val="24"/>
          <w:lang w:val="en-GB" w:eastAsia="en-GB"/>
        </w:rPr>
        <w:t xml:space="preserve"> worse</w:t>
      </w:r>
      <w:r w:rsidR="005C0709">
        <w:rPr>
          <w:rFonts w:ascii="Arial" w:eastAsia="Times New Roman" w:hAnsi="Arial" w:cs="Arial"/>
          <w:color w:val="000000"/>
          <w:sz w:val="24"/>
          <w:szCs w:val="24"/>
          <w:lang w:val="en-GB" w:eastAsia="en-GB"/>
        </w:rPr>
        <w:t>, an award of a declaratory nature is being sought in relation to the PRB Report 2016 which predates the phasing out of the prevocational stream so that th</w:t>
      </w:r>
      <w:r w:rsidR="00AB24FC">
        <w:rPr>
          <w:rFonts w:ascii="Arial" w:eastAsia="Times New Roman" w:hAnsi="Arial" w:cs="Arial"/>
          <w:color w:val="000000"/>
          <w:sz w:val="24"/>
          <w:szCs w:val="24"/>
          <w:lang w:val="en-GB" w:eastAsia="en-GB"/>
        </w:rPr>
        <w:t>e</w:t>
      </w:r>
      <w:r w:rsidR="005C0709">
        <w:rPr>
          <w:rFonts w:ascii="Arial" w:eastAsia="Times New Roman" w:hAnsi="Arial" w:cs="Arial"/>
          <w:color w:val="000000"/>
          <w:sz w:val="24"/>
          <w:szCs w:val="24"/>
          <w:lang w:val="en-GB" w:eastAsia="en-GB"/>
        </w:rPr>
        <w:t xml:space="preserve"> </w:t>
      </w:r>
      <w:r w:rsidR="00AB24FC">
        <w:rPr>
          <w:rFonts w:ascii="Arial" w:eastAsia="Times New Roman" w:hAnsi="Arial" w:cs="Arial"/>
          <w:color w:val="000000"/>
          <w:sz w:val="24"/>
          <w:szCs w:val="24"/>
          <w:lang w:val="en-GB" w:eastAsia="en-GB"/>
        </w:rPr>
        <w:t xml:space="preserve">particular </w:t>
      </w:r>
      <w:r w:rsidR="005C0709">
        <w:rPr>
          <w:rFonts w:ascii="Arial" w:eastAsia="Times New Roman" w:hAnsi="Arial" w:cs="Arial"/>
          <w:color w:val="000000"/>
          <w:sz w:val="24"/>
          <w:szCs w:val="24"/>
          <w:lang w:val="en-GB" w:eastAsia="en-GB"/>
        </w:rPr>
        <w:t>situation</w:t>
      </w:r>
      <w:r w:rsidR="00AB24FC">
        <w:rPr>
          <w:rFonts w:ascii="Arial" w:eastAsia="Times New Roman" w:hAnsi="Arial" w:cs="Arial"/>
          <w:color w:val="000000"/>
          <w:sz w:val="24"/>
          <w:szCs w:val="24"/>
          <w:lang w:val="en-GB" w:eastAsia="en-GB"/>
        </w:rPr>
        <w:t xml:space="preserve"> </w:t>
      </w:r>
      <w:r w:rsidR="00100731">
        <w:rPr>
          <w:rFonts w:ascii="Arial" w:eastAsia="Times New Roman" w:hAnsi="Arial" w:cs="Arial"/>
          <w:color w:val="000000"/>
          <w:sz w:val="24"/>
          <w:szCs w:val="24"/>
          <w:lang w:val="en-GB" w:eastAsia="en-GB"/>
        </w:rPr>
        <w:t xml:space="preserve">arising </w:t>
      </w:r>
      <w:r w:rsidR="00AB24FC">
        <w:rPr>
          <w:rFonts w:ascii="Arial" w:eastAsia="Times New Roman" w:hAnsi="Arial" w:cs="Arial"/>
          <w:color w:val="000000"/>
          <w:sz w:val="24"/>
          <w:szCs w:val="24"/>
          <w:lang w:val="en-GB" w:eastAsia="en-GB"/>
        </w:rPr>
        <w:t>in the present matter</w:t>
      </w:r>
      <w:r w:rsidR="005C0709">
        <w:rPr>
          <w:rFonts w:ascii="Arial" w:eastAsia="Times New Roman" w:hAnsi="Arial" w:cs="Arial"/>
          <w:color w:val="000000"/>
          <w:sz w:val="24"/>
          <w:szCs w:val="24"/>
          <w:lang w:val="en-GB" w:eastAsia="en-GB"/>
        </w:rPr>
        <w:t xml:space="preserve"> may not have been envisaged in the said PRB Report 2016.      </w:t>
      </w:r>
      <w:r w:rsidR="00472B59">
        <w:rPr>
          <w:rFonts w:ascii="Arial" w:eastAsia="Times New Roman" w:hAnsi="Arial" w:cs="Arial"/>
          <w:color w:val="000000"/>
          <w:sz w:val="24"/>
          <w:szCs w:val="24"/>
          <w:lang w:val="en-GB" w:eastAsia="en-GB"/>
        </w:rPr>
        <w:t xml:space="preserve">  </w:t>
      </w:r>
    </w:p>
    <w:p w14:paraId="68AA4013" w14:textId="77777777" w:rsidR="00076B00" w:rsidRDefault="00076B00" w:rsidP="00130E2E">
      <w:pPr>
        <w:shd w:val="clear" w:color="auto" w:fill="FFFFFF"/>
        <w:spacing w:after="0" w:line="240" w:lineRule="auto"/>
        <w:jc w:val="both"/>
        <w:rPr>
          <w:rFonts w:ascii="Arial" w:eastAsia="Times New Roman" w:hAnsi="Arial" w:cs="Arial"/>
          <w:color w:val="000000"/>
          <w:sz w:val="24"/>
          <w:szCs w:val="24"/>
          <w:lang w:val="en-GB" w:eastAsia="en-GB"/>
        </w:rPr>
      </w:pPr>
    </w:p>
    <w:p w14:paraId="6E04A5AE" w14:textId="512DB11D" w:rsidR="00313237" w:rsidRPr="00496A1D" w:rsidRDefault="002E0AC3" w:rsidP="00AB24FC">
      <w:pPr>
        <w:shd w:val="clear" w:color="auto" w:fill="FFFFFF"/>
        <w:spacing w:after="0" w:line="240" w:lineRule="auto"/>
        <w:jc w:val="both"/>
        <w:rPr>
          <w:rFonts w:ascii="Arial" w:hAnsi="Arial" w:cs="Arial"/>
          <w:i/>
          <w:sz w:val="24"/>
          <w:szCs w:val="24"/>
        </w:rPr>
      </w:pPr>
      <w:r>
        <w:rPr>
          <w:rFonts w:ascii="Arial" w:hAnsi="Arial" w:cs="Arial"/>
          <w:sz w:val="24"/>
          <w:szCs w:val="24"/>
        </w:rPr>
        <w:t xml:space="preserve">For all the reasons given above, the </w:t>
      </w:r>
      <w:r w:rsidR="00AB24FC">
        <w:rPr>
          <w:rFonts w:ascii="Arial" w:hAnsi="Arial" w:cs="Arial"/>
          <w:sz w:val="24"/>
          <w:szCs w:val="24"/>
        </w:rPr>
        <w:t xml:space="preserve">Tribunal finds that it cannot award as per the terms of the </w:t>
      </w:r>
      <w:r w:rsidR="005C0709">
        <w:rPr>
          <w:rFonts w:ascii="Arial" w:hAnsi="Arial" w:cs="Arial"/>
          <w:sz w:val="24"/>
          <w:szCs w:val="24"/>
        </w:rPr>
        <w:t>dispute</w:t>
      </w:r>
      <w:r w:rsidR="00AB24FC">
        <w:rPr>
          <w:rFonts w:ascii="Arial" w:hAnsi="Arial" w:cs="Arial"/>
          <w:sz w:val="24"/>
          <w:szCs w:val="24"/>
        </w:rPr>
        <w:t>, and the dispute is purely set aside.</w:t>
      </w:r>
      <w:r w:rsidR="005C0709">
        <w:rPr>
          <w:rFonts w:ascii="Arial" w:hAnsi="Arial" w:cs="Arial"/>
          <w:sz w:val="24"/>
          <w:szCs w:val="24"/>
        </w:rPr>
        <w:t xml:space="preserve"> </w:t>
      </w:r>
      <w:r>
        <w:rPr>
          <w:rFonts w:ascii="Arial" w:hAnsi="Arial" w:cs="Arial"/>
          <w:sz w:val="24"/>
          <w:szCs w:val="24"/>
        </w:rPr>
        <w:t xml:space="preserve"> </w:t>
      </w:r>
      <w:r w:rsidR="00313237" w:rsidRPr="00496A1D">
        <w:rPr>
          <w:rFonts w:ascii="Arial" w:hAnsi="Arial" w:cs="Arial"/>
          <w:i/>
          <w:sz w:val="24"/>
          <w:szCs w:val="24"/>
        </w:rPr>
        <w:t xml:space="preserve"> </w:t>
      </w:r>
    </w:p>
    <w:p w14:paraId="73305062" w14:textId="77777777" w:rsidR="00812909" w:rsidRDefault="00812909" w:rsidP="00215B54">
      <w:pPr>
        <w:jc w:val="both"/>
        <w:rPr>
          <w:rFonts w:ascii="Arial" w:hAnsi="Arial" w:cs="Arial"/>
          <w:sz w:val="24"/>
          <w:szCs w:val="24"/>
        </w:rPr>
      </w:pPr>
    </w:p>
    <w:p w14:paraId="1F88AD00" w14:textId="77777777" w:rsidR="00812909" w:rsidRDefault="00812909" w:rsidP="00215B54">
      <w:pPr>
        <w:jc w:val="both"/>
        <w:rPr>
          <w:rFonts w:ascii="Arial" w:hAnsi="Arial" w:cs="Arial"/>
          <w:sz w:val="24"/>
          <w:szCs w:val="24"/>
        </w:rPr>
      </w:pPr>
    </w:p>
    <w:p w14:paraId="42D6E30E" w14:textId="77777777" w:rsidR="00496A1D" w:rsidRDefault="008112EC" w:rsidP="00215B54">
      <w:pPr>
        <w:jc w:val="both"/>
        <w:rPr>
          <w:rFonts w:ascii="Arial" w:hAnsi="Arial" w:cs="Arial"/>
          <w:sz w:val="24"/>
          <w:szCs w:val="24"/>
        </w:rPr>
      </w:pPr>
      <w:r w:rsidRPr="00496A1D">
        <w:rPr>
          <w:rFonts w:ascii="Arial" w:hAnsi="Arial" w:cs="Arial"/>
          <w:sz w:val="24"/>
          <w:szCs w:val="24"/>
        </w:rPr>
        <w:t xml:space="preserve"> </w:t>
      </w:r>
    </w:p>
    <w:p w14:paraId="7F8CE2A1" w14:textId="53DACAA0" w:rsidR="00215B54" w:rsidRPr="00496A1D" w:rsidRDefault="004B146A" w:rsidP="00215B54">
      <w:pPr>
        <w:jc w:val="both"/>
        <w:rPr>
          <w:rFonts w:ascii="Arial" w:hAnsi="Arial" w:cs="Arial"/>
          <w:b/>
          <w:sz w:val="24"/>
          <w:szCs w:val="24"/>
        </w:rPr>
      </w:pPr>
      <w:r>
        <w:rPr>
          <w:rFonts w:ascii="Arial" w:hAnsi="Arial" w:cs="Arial"/>
          <w:b/>
          <w:sz w:val="24"/>
          <w:szCs w:val="24"/>
        </w:rPr>
        <w:t xml:space="preserve">SD </w:t>
      </w:r>
      <w:r w:rsidR="00215B54"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28F4E200" w14:textId="77777777" w:rsidR="001F4404" w:rsidRPr="00496A1D" w:rsidRDefault="00C4399B" w:rsidP="00775EF5">
      <w:pPr>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3E641561" w14:textId="77777777" w:rsidR="00C56917" w:rsidRDefault="00C56917" w:rsidP="00775EF5">
      <w:pPr>
        <w:jc w:val="both"/>
        <w:rPr>
          <w:rFonts w:ascii="Arial" w:hAnsi="Arial" w:cs="Arial"/>
          <w:b/>
          <w:sz w:val="24"/>
          <w:szCs w:val="24"/>
        </w:rPr>
      </w:pPr>
    </w:p>
    <w:p w14:paraId="596193F8" w14:textId="77777777" w:rsidR="00812909" w:rsidRPr="00496A1D" w:rsidRDefault="00812909" w:rsidP="00775EF5">
      <w:pPr>
        <w:jc w:val="both"/>
        <w:rPr>
          <w:rFonts w:ascii="Arial" w:hAnsi="Arial" w:cs="Arial"/>
          <w:b/>
          <w:sz w:val="24"/>
          <w:szCs w:val="24"/>
        </w:rPr>
      </w:pPr>
    </w:p>
    <w:p w14:paraId="64283F13" w14:textId="23B09361" w:rsidR="001F4404" w:rsidRPr="00496A1D" w:rsidRDefault="004B146A" w:rsidP="00775EF5">
      <w:pPr>
        <w:jc w:val="both"/>
        <w:rPr>
          <w:rFonts w:ascii="Arial" w:hAnsi="Arial" w:cs="Arial"/>
          <w:b/>
          <w:sz w:val="24"/>
          <w:szCs w:val="24"/>
        </w:rPr>
      </w:pPr>
      <w:r>
        <w:rPr>
          <w:rFonts w:ascii="Arial" w:hAnsi="Arial" w:cs="Arial"/>
          <w:b/>
          <w:sz w:val="24"/>
          <w:szCs w:val="24"/>
        </w:rPr>
        <w:t xml:space="preserve">SD </w:t>
      </w:r>
      <w:r w:rsidR="001F4404" w:rsidRPr="00496A1D">
        <w:rPr>
          <w:rFonts w:ascii="Arial" w:hAnsi="Arial" w:cs="Arial"/>
          <w:b/>
          <w:sz w:val="24"/>
          <w:szCs w:val="24"/>
        </w:rPr>
        <w:t>Raffick Hossenbaccus</w:t>
      </w:r>
    </w:p>
    <w:p w14:paraId="215ABD76" w14:textId="558ED904" w:rsidR="00775EF5" w:rsidRPr="00496A1D" w:rsidRDefault="00775EF5" w:rsidP="00775EF5">
      <w:pPr>
        <w:jc w:val="both"/>
        <w:rPr>
          <w:rFonts w:ascii="Arial" w:hAnsi="Arial" w:cs="Arial"/>
          <w:b/>
          <w:sz w:val="24"/>
          <w:szCs w:val="24"/>
        </w:rPr>
      </w:pPr>
      <w:r w:rsidRPr="00496A1D">
        <w:rPr>
          <w:rFonts w:ascii="Arial" w:hAnsi="Arial" w:cs="Arial"/>
          <w:b/>
          <w:sz w:val="24"/>
          <w:szCs w:val="24"/>
        </w:rPr>
        <w:t>Member</w:t>
      </w:r>
    </w:p>
    <w:p w14:paraId="12121FF6" w14:textId="77777777" w:rsidR="001F4404" w:rsidRDefault="001F4404" w:rsidP="00775EF5">
      <w:pPr>
        <w:jc w:val="both"/>
        <w:rPr>
          <w:rFonts w:ascii="Arial" w:hAnsi="Arial" w:cs="Arial"/>
          <w:b/>
          <w:sz w:val="24"/>
          <w:szCs w:val="24"/>
        </w:rPr>
      </w:pPr>
    </w:p>
    <w:p w14:paraId="0F766910" w14:textId="77777777" w:rsidR="00812909" w:rsidRPr="00496A1D" w:rsidRDefault="00812909" w:rsidP="00775EF5">
      <w:pPr>
        <w:jc w:val="both"/>
        <w:rPr>
          <w:rFonts w:ascii="Arial" w:hAnsi="Arial" w:cs="Arial"/>
          <w:b/>
          <w:sz w:val="24"/>
          <w:szCs w:val="24"/>
        </w:rPr>
      </w:pPr>
    </w:p>
    <w:p w14:paraId="2B17A261" w14:textId="48EB8176" w:rsidR="00775EF5" w:rsidRPr="00496A1D" w:rsidRDefault="004B146A" w:rsidP="00775EF5">
      <w:pPr>
        <w:jc w:val="both"/>
        <w:rPr>
          <w:rFonts w:ascii="Arial" w:hAnsi="Arial" w:cs="Arial"/>
          <w:b/>
          <w:sz w:val="24"/>
          <w:szCs w:val="24"/>
        </w:rPr>
      </w:pPr>
      <w:r>
        <w:rPr>
          <w:rFonts w:ascii="Arial" w:hAnsi="Arial" w:cs="Arial"/>
          <w:b/>
          <w:sz w:val="24"/>
          <w:szCs w:val="24"/>
        </w:rPr>
        <w:t xml:space="preserve">SD </w:t>
      </w:r>
      <w:r w:rsidR="001F4404" w:rsidRPr="00496A1D">
        <w:rPr>
          <w:rFonts w:ascii="Arial" w:hAnsi="Arial" w:cs="Arial"/>
          <w:b/>
          <w:sz w:val="24"/>
          <w:szCs w:val="24"/>
        </w:rPr>
        <w:t>Karen K. Veerapen</w:t>
      </w:r>
      <w:r w:rsidR="00215B54" w:rsidRPr="00496A1D">
        <w:rPr>
          <w:rFonts w:ascii="Arial" w:hAnsi="Arial" w:cs="Arial"/>
          <w:b/>
          <w:sz w:val="24"/>
          <w:szCs w:val="24"/>
        </w:rPr>
        <w:tab/>
      </w:r>
      <w:r w:rsidR="00301C82" w:rsidRPr="00496A1D">
        <w:rPr>
          <w:rFonts w:ascii="Arial" w:hAnsi="Arial" w:cs="Arial"/>
          <w:b/>
          <w:sz w:val="24"/>
          <w:szCs w:val="24"/>
        </w:rPr>
        <w:tab/>
      </w:r>
      <w:r w:rsidR="00215B54" w:rsidRPr="00496A1D">
        <w:rPr>
          <w:rFonts w:ascii="Arial" w:hAnsi="Arial" w:cs="Arial"/>
          <w:b/>
          <w:sz w:val="24"/>
          <w:szCs w:val="24"/>
        </w:rPr>
        <w:t xml:space="preserve"> </w:t>
      </w:r>
      <w:r w:rsidR="00215B54" w:rsidRPr="00496A1D">
        <w:rPr>
          <w:rFonts w:ascii="Arial" w:hAnsi="Arial" w:cs="Arial"/>
          <w:b/>
          <w:sz w:val="24"/>
          <w:szCs w:val="24"/>
        </w:rPr>
        <w:tab/>
      </w:r>
      <w:r w:rsidR="00215B54" w:rsidRPr="00496A1D">
        <w:rPr>
          <w:rFonts w:ascii="Arial" w:hAnsi="Arial" w:cs="Arial"/>
          <w:b/>
          <w:sz w:val="24"/>
          <w:szCs w:val="24"/>
        </w:rPr>
        <w:tab/>
      </w:r>
      <w:r w:rsidR="0097017D" w:rsidRPr="00496A1D">
        <w:rPr>
          <w:rFonts w:ascii="Arial" w:hAnsi="Arial" w:cs="Arial"/>
          <w:b/>
          <w:sz w:val="24"/>
          <w:szCs w:val="24"/>
        </w:rPr>
        <w:tab/>
      </w:r>
    </w:p>
    <w:p w14:paraId="21F4CE36" w14:textId="77777777" w:rsidR="001F4404" w:rsidRPr="00496A1D" w:rsidRDefault="00215B54" w:rsidP="00AB3DEA">
      <w:pPr>
        <w:jc w:val="both"/>
        <w:rPr>
          <w:rFonts w:ascii="Arial" w:hAnsi="Arial" w:cs="Arial"/>
          <w:b/>
          <w:sz w:val="24"/>
          <w:szCs w:val="24"/>
        </w:rPr>
      </w:pPr>
      <w:r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6D22A4BA" w14:textId="77777777" w:rsidR="001F4404" w:rsidRDefault="001F4404" w:rsidP="00AB3DEA">
      <w:pPr>
        <w:jc w:val="both"/>
        <w:rPr>
          <w:rFonts w:ascii="Arial" w:hAnsi="Arial" w:cs="Arial"/>
          <w:b/>
          <w:sz w:val="24"/>
          <w:szCs w:val="24"/>
        </w:rPr>
      </w:pPr>
    </w:p>
    <w:p w14:paraId="4CA947BB" w14:textId="77777777" w:rsidR="00812909" w:rsidRPr="00496A1D" w:rsidRDefault="00812909" w:rsidP="00AB3DEA">
      <w:pPr>
        <w:jc w:val="both"/>
        <w:rPr>
          <w:rFonts w:ascii="Arial" w:hAnsi="Arial" w:cs="Arial"/>
          <w:b/>
          <w:sz w:val="24"/>
          <w:szCs w:val="24"/>
        </w:rPr>
      </w:pPr>
    </w:p>
    <w:p w14:paraId="651654FA" w14:textId="235DFAAB" w:rsidR="001F4404" w:rsidRPr="00496A1D" w:rsidRDefault="004B146A" w:rsidP="00AB3DEA">
      <w:pPr>
        <w:jc w:val="both"/>
        <w:rPr>
          <w:rFonts w:ascii="Arial" w:hAnsi="Arial" w:cs="Arial"/>
          <w:b/>
          <w:sz w:val="24"/>
          <w:szCs w:val="24"/>
        </w:rPr>
      </w:pPr>
      <w:r>
        <w:rPr>
          <w:rFonts w:ascii="Arial" w:hAnsi="Arial" w:cs="Arial"/>
          <w:b/>
          <w:sz w:val="24"/>
          <w:szCs w:val="24"/>
        </w:rPr>
        <w:t xml:space="preserve">SD </w:t>
      </w:r>
      <w:bookmarkStart w:id="0" w:name="_GoBack"/>
      <w:bookmarkEnd w:id="0"/>
      <w:r w:rsidR="001F4404" w:rsidRPr="00496A1D">
        <w:rPr>
          <w:rFonts w:ascii="Arial" w:hAnsi="Arial" w:cs="Arial"/>
          <w:b/>
          <w:sz w:val="24"/>
          <w:szCs w:val="24"/>
        </w:rPr>
        <w:t>Ghianeswar Gokhool</w:t>
      </w:r>
    </w:p>
    <w:p w14:paraId="69C0CBED" w14:textId="7BE2870C" w:rsidR="006E7039" w:rsidRDefault="00775EF5" w:rsidP="00AB3DEA">
      <w:pPr>
        <w:jc w:val="both"/>
        <w:rPr>
          <w:rFonts w:ascii="Arial" w:hAnsi="Arial" w:cs="Arial"/>
          <w:b/>
          <w:sz w:val="24"/>
          <w:szCs w:val="24"/>
        </w:rPr>
      </w:pPr>
      <w:r w:rsidRPr="00496A1D">
        <w:rPr>
          <w:rFonts w:ascii="Arial" w:hAnsi="Arial" w:cs="Arial"/>
          <w:b/>
          <w:sz w:val="24"/>
          <w:szCs w:val="24"/>
        </w:rPr>
        <w:t>Member</w:t>
      </w:r>
      <w:r w:rsidR="00301C82" w:rsidRPr="00496A1D">
        <w:rPr>
          <w:rFonts w:ascii="Arial" w:hAnsi="Arial" w:cs="Arial"/>
          <w:b/>
          <w:sz w:val="24"/>
          <w:szCs w:val="24"/>
        </w:rPr>
        <w:t xml:space="preserve">                 </w:t>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r w:rsidR="00EC1FC2">
        <w:rPr>
          <w:rFonts w:ascii="Arial" w:hAnsi="Arial" w:cs="Arial"/>
          <w:b/>
          <w:sz w:val="24"/>
          <w:szCs w:val="24"/>
        </w:rPr>
        <w:tab/>
      </w:r>
    </w:p>
    <w:p w14:paraId="56753BFA" w14:textId="4BC37415" w:rsidR="00BA5345" w:rsidRDefault="00713DEE" w:rsidP="00AB3DEA">
      <w:pPr>
        <w:jc w:val="both"/>
        <w:rPr>
          <w:rFonts w:ascii="Arial" w:hAnsi="Arial" w:cs="Arial"/>
          <w:sz w:val="24"/>
          <w:szCs w:val="24"/>
        </w:rPr>
      </w:pPr>
      <w:r>
        <w:rPr>
          <w:rFonts w:ascii="Arial" w:hAnsi="Arial" w:cs="Arial"/>
          <w:b/>
          <w:sz w:val="24"/>
          <w:szCs w:val="24"/>
        </w:rPr>
        <w:t>2</w:t>
      </w:r>
      <w:r w:rsidR="00812909">
        <w:rPr>
          <w:rFonts w:ascii="Arial" w:hAnsi="Arial" w:cs="Arial"/>
          <w:b/>
          <w:sz w:val="24"/>
          <w:szCs w:val="24"/>
        </w:rPr>
        <w:t>4</w:t>
      </w:r>
      <w:r w:rsidR="007B2967">
        <w:rPr>
          <w:rFonts w:ascii="Arial" w:hAnsi="Arial" w:cs="Arial"/>
          <w:b/>
          <w:sz w:val="24"/>
          <w:szCs w:val="24"/>
        </w:rPr>
        <w:t xml:space="preserve"> </w:t>
      </w:r>
      <w:r w:rsidR="003A2DB9">
        <w:rPr>
          <w:rFonts w:ascii="Arial" w:hAnsi="Arial" w:cs="Arial"/>
          <w:b/>
          <w:sz w:val="24"/>
          <w:szCs w:val="24"/>
        </w:rPr>
        <w:t>May</w:t>
      </w:r>
      <w:r w:rsidR="00303FC4">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r w:rsidR="00215B54">
        <w:rPr>
          <w:rFonts w:ascii="Arial" w:hAnsi="Arial" w:cs="Arial"/>
          <w:sz w:val="24"/>
          <w:szCs w:val="24"/>
        </w:rPr>
        <w:t xml:space="preserve">   </w:t>
      </w:r>
    </w:p>
    <w:sectPr w:rsidR="00BA534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ED67" w14:textId="77777777" w:rsidR="00F14E1F" w:rsidRDefault="00F14E1F" w:rsidP="00936BD4">
      <w:pPr>
        <w:spacing w:after="0" w:line="240" w:lineRule="auto"/>
      </w:pPr>
      <w:r>
        <w:separator/>
      </w:r>
    </w:p>
  </w:endnote>
  <w:endnote w:type="continuationSeparator" w:id="0">
    <w:p w14:paraId="46C22D73" w14:textId="77777777" w:rsidR="00F14E1F" w:rsidRDefault="00F14E1F"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2F136D80" w:rsidR="00690978" w:rsidRDefault="003A1AA1">
        <w:pPr>
          <w:pStyle w:val="Footer"/>
          <w:jc w:val="center"/>
        </w:pPr>
        <w:r>
          <w:fldChar w:fldCharType="begin"/>
        </w:r>
        <w:r>
          <w:instrText xml:space="preserve"> PAGE   \* MERGEFORMAT </w:instrText>
        </w:r>
        <w:r>
          <w:fldChar w:fldCharType="separate"/>
        </w:r>
        <w:r w:rsidR="004B146A">
          <w:rPr>
            <w:noProof/>
          </w:rPr>
          <w:t>12</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829A" w14:textId="77777777" w:rsidR="00F14E1F" w:rsidRDefault="00F14E1F" w:rsidP="00936BD4">
      <w:pPr>
        <w:spacing w:after="0" w:line="240" w:lineRule="auto"/>
      </w:pPr>
      <w:r>
        <w:separator/>
      </w:r>
    </w:p>
  </w:footnote>
  <w:footnote w:type="continuationSeparator" w:id="0">
    <w:p w14:paraId="6E202E50" w14:textId="77777777" w:rsidR="00F14E1F" w:rsidRDefault="00F14E1F"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9"/>
  </w:num>
  <w:num w:numId="4">
    <w:abstractNumId w:val="0"/>
  </w:num>
  <w:num w:numId="5">
    <w:abstractNumId w:val="5"/>
  </w:num>
  <w:num w:numId="6">
    <w:abstractNumId w:val="6"/>
  </w:num>
  <w:num w:numId="7">
    <w:abstractNumId w:val="16"/>
  </w:num>
  <w:num w:numId="8">
    <w:abstractNumId w:val="15"/>
  </w:num>
  <w:num w:numId="9">
    <w:abstractNumId w:val="1"/>
  </w:num>
  <w:num w:numId="10">
    <w:abstractNumId w:val="7"/>
  </w:num>
  <w:num w:numId="11">
    <w:abstractNumId w:val="14"/>
  </w:num>
  <w:num w:numId="12">
    <w:abstractNumId w:val="2"/>
  </w:num>
  <w:num w:numId="13">
    <w:abstractNumId w:val="10"/>
  </w:num>
  <w:num w:numId="14">
    <w:abstractNumId w:val="17"/>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 w:numId="20">
    <w:abstractNumId w:val="1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043"/>
    <w:rsid w:val="00006B85"/>
    <w:rsid w:val="00012CAF"/>
    <w:rsid w:val="00014DEF"/>
    <w:rsid w:val="000153BF"/>
    <w:rsid w:val="000158C3"/>
    <w:rsid w:val="000163D5"/>
    <w:rsid w:val="0001792C"/>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7038"/>
    <w:rsid w:val="000408F8"/>
    <w:rsid w:val="00042134"/>
    <w:rsid w:val="0004334D"/>
    <w:rsid w:val="00044C9B"/>
    <w:rsid w:val="00044CAF"/>
    <w:rsid w:val="00046634"/>
    <w:rsid w:val="00047798"/>
    <w:rsid w:val="0004780C"/>
    <w:rsid w:val="0005054E"/>
    <w:rsid w:val="00052421"/>
    <w:rsid w:val="000530DC"/>
    <w:rsid w:val="00054088"/>
    <w:rsid w:val="00055722"/>
    <w:rsid w:val="0005573F"/>
    <w:rsid w:val="00055D51"/>
    <w:rsid w:val="00055FD8"/>
    <w:rsid w:val="000603F9"/>
    <w:rsid w:val="00060F6E"/>
    <w:rsid w:val="000639A0"/>
    <w:rsid w:val="00063A84"/>
    <w:rsid w:val="000641FE"/>
    <w:rsid w:val="00064537"/>
    <w:rsid w:val="00064951"/>
    <w:rsid w:val="00066405"/>
    <w:rsid w:val="00066458"/>
    <w:rsid w:val="00066602"/>
    <w:rsid w:val="00070521"/>
    <w:rsid w:val="000707F3"/>
    <w:rsid w:val="000711F0"/>
    <w:rsid w:val="00072CF9"/>
    <w:rsid w:val="000730AD"/>
    <w:rsid w:val="00073998"/>
    <w:rsid w:val="000739D5"/>
    <w:rsid w:val="000751DC"/>
    <w:rsid w:val="00076B00"/>
    <w:rsid w:val="00076F37"/>
    <w:rsid w:val="0008082B"/>
    <w:rsid w:val="0008083E"/>
    <w:rsid w:val="0008101E"/>
    <w:rsid w:val="0008120B"/>
    <w:rsid w:val="00081614"/>
    <w:rsid w:val="00082414"/>
    <w:rsid w:val="00082DBE"/>
    <w:rsid w:val="00083AB3"/>
    <w:rsid w:val="00085AD5"/>
    <w:rsid w:val="00085C61"/>
    <w:rsid w:val="00086046"/>
    <w:rsid w:val="00086724"/>
    <w:rsid w:val="00087A97"/>
    <w:rsid w:val="00090141"/>
    <w:rsid w:val="00091703"/>
    <w:rsid w:val="00091D71"/>
    <w:rsid w:val="0009622A"/>
    <w:rsid w:val="000964AA"/>
    <w:rsid w:val="000966BD"/>
    <w:rsid w:val="00096999"/>
    <w:rsid w:val="0009740F"/>
    <w:rsid w:val="00097411"/>
    <w:rsid w:val="00097490"/>
    <w:rsid w:val="000978F4"/>
    <w:rsid w:val="00097D74"/>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F3B"/>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E4E"/>
    <w:rsid w:val="00134565"/>
    <w:rsid w:val="001349A3"/>
    <w:rsid w:val="001355DD"/>
    <w:rsid w:val="00137FE1"/>
    <w:rsid w:val="0014173B"/>
    <w:rsid w:val="0014180E"/>
    <w:rsid w:val="00141905"/>
    <w:rsid w:val="00141C53"/>
    <w:rsid w:val="001425D2"/>
    <w:rsid w:val="001427E8"/>
    <w:rsid w:val="00142914"/>
    <w:rsid w:val="0014325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6A94"/>
    <w:rsid w:val="001704B4"/>
    <w:rsid w:val="00170AE7"/>
    <w:rsid w:val="00171492"/>
    <w:rsid w:val="00173041"/>
    <w:rsid w:val="0017357C"/>
    <w:rsid w:val="00173ED5"/>
    <w:rsid w:val="00174833"/>
    <w:rsid w:val="00175C64"/>
    <w:rsid w:val="00181C7E"/>
    <w:rsid w:val="00182715"/>
    <w:rsid w:val="00182947"/>
    <w:rsid w:val="00183C0A"/>
    <w:rsid w:val="0018556F"/>
    <w:rsid w:val="001865E8"/>
    <w:rsid w:val="001865FE"/>
    <w:rsid w:val="001915BF"/>
    <w:rsid w:val="00192933"/>
    <w:rsid w:val="00192E26"/>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C00"/>
    <w:rsid w:val="001C7175"/>
    <w:rsid w:val="001C7209"/>
    <w:rsid w:val="001C79B8"/>
    <w:rsid w:val="001D145D"/>
    <w:rsid w:val="001D16FA"/>
    <w:rsid w:val="001D3289"/>
    <w:rsid w:val="001D33DC"/>
    <w:rsid w:val="001D3851"/>
    <w:rsid w:val="001D3CC0"/>
    <w:rsid w:val="001D468C"/>
    <w:rsid w:val="001D672B"/>
    <w:rsid w:val="001D72AF"/>
    <w:rsid w:val="001E02CD"/>
    <w:rsid w:val="001E1194"/>
    <w:rsid w:val="001E1579"/>
    <w:rsid w:val="001E1E1B"/>
    <w:rsid w:val="001E3532"/>
    <w:rsid w:val="001E4A11"/>
    <w:rsid w:val="001E5341"/>
    <w:rsid w:val="001E6283"/>
    <w:rsid w:val="001E7B39"/>
    <w:rsid w:val="001E7DA1"/>
    <w:rsid w:val="001F0FFB"/>
    <w:rsid w:val="001F24A7"/>
    <w:rsid w:val="001F362A"/>
    <w:rsid w:val="001F4404"/>
    <w:rsid w:val="001F6B78"/>
    <w:rsid w:val="001F71FF"/>
    <w:rsid w:val="001F7957"/>
    <w:rsid w:val="002002D2"/>
    <w:rsid w:val="00201D3F"/>
    <w:rsid w:val="00201D9A"/>
    <w:rsid w:val="00202101"/>
    <w:rsid w:val="00202EB3"/>
    <w:rsid w:val="002036FB"/>
    <w:rsid w:val="00203C75"/>
    <w:rsid w:val="00206170"/>
    <w:rsid w:val="00207FB4"/>
    <w:rsid w:val="0021084E"/>
    <w:rsid w:val="0021190D"/>
    <w:rsid w:val="002119CC"/>
    <w:rsid w:val="00212245"/>
    <w:rsid w:val="002128B4"/>
    <w:rsid w:val="00213C9F"/>
    <w:rsid w:val="00214ED2"/>
    <w:rsid w:val="00215B54"/>
    <w:rsid w:val="00215D65"/>
    <w:rsid w:val="00215E4B"/>
    <w:rsid w:val="002200D9"/>
    <w:rsid w:val="002213D8"/>
    <w:rsid w:val="00221D19"/>
    <w:rsid w:val="00222022"/>
    <w:rsid w:val="00224D1D"/>
    <w:rsid w:val="002250AF"/>
    <w:rsid w:val="002273D5"/>
    <w:rsid w:val="00227C4E"/>
    <w:rsid w:val="00232757"/>
    <w:rsid w:val="00233503"/>
    <w:rsid w:val="002342B5"/>
    <w:rsid w:val="00236AAE"/>
    <w:rsid w:val="00236C1E"/>
    <w:rsid w:val="00240CF7"/>
    <w:rsid w:val="00243271"/>
    <w:rsid w:val="00243524"/>
    <w:rsid w:val="00244474"/>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44F2"/>
    <w:rsid w:val="00264C9C"/>
    <w:rsid w:val="00264FCE"/>
    <w:rsid w:val="00265119"/>
    <w:rsid w:val="00270BDE"/>
    <w:rsid w:val="00270D8B"/>
    <w:rsid w:val="002736F7"/>
    <w:rsid w:val="00273CD3"/>
    <w:rsid w:val="00273EB7"/>
    <w:rsid w:val="002756F3"/>
    <w:rsid w:val="00280F32"/>
    <w:rsid w:val="0028216E"/>
    <w:rsid w:val="00282C66"/>
    <w:rsid w:val="00285289"/>
    <w:rsid w:val="00285D5C"/>
    <w:rsid w:val="00286874"/>
    <w:rsid w:val="00287076"/>
    <w:rsid w:val="002877F1"/>
    <w:rsid w:val="00290E39"/>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DAE"/>
    <w:rsid w:val="002A4EF0"/>
    <w:rsid w:val="002A72CB"/>
    <w:rsid w:val="002B0C40"/>
    <w:rsid w:val="002B1C82"/>
    <w:rsid w:val="002B251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323A"/>
    <w:rsid w:val="002D68C7"/>
    <w:rsid w:val="002D73C2"/>
    <w:rsid w:val="002E023F"/>
    <w:rsid w:val="002E0AC3"/>
    <w:rsid w:val="002E1685"/>
    <w:rsid w:val="002E1725"/>
    <w:rsid w:val="002E1F22"/>
    <w:rsid w:val="002E37A2"/>
    <w:rsid w:val="002E4F4B"/>
    <w:rsid w:val="002E6878"/>
    <w:rsid w:val="002E70F3"/>
    <w:rsid w:val="002F0016"/>
    <w:rsid w:val="002F0203"/>
    <w:rsid w:val="002F1D3E"/>
    <w:rsid w:val="002F3BB8"/>
    <w:rsid w:val="002F55D2"/>
    <w:rsid w:val="00301C82"/>
    <w:rsid w:val="0030206E"/>
    <w:rsid w:val="00303FC4"/>
    <w:rsid w:val="00304FD8"/>
    <w:rsid w:val="00305111"/>
    <w:rsid w:val="00306D6D"/>
    <w:rsid w:val="00310F65"/>
    <w:rsid w:val="00311282"/>
    <w:rsid w:val="00311933"/>
    <w:rsid w:val="00313237"/>
    <w:rsid w:val="00313F6D"/>
    <w:rsid w:val="003161A4"/>
    <w:rsid w:val="00316AF1"/>
    <w:rsid w:val="00316E08"/>
    <w:rsid w:val="0031763F"/>
    <w:rsid w:val="00320069"/>
    <w:rsid w:val="00320595"/>
    <w:rsid w:val="00320CCE"/>
    <w:rsid w:val="00321E90"/>
    <w:rsid w:val="003235B9"/>
    <w:rsid w:val="00323B9A"/>
    <w:rsid w:val="0032459F"/>
    <w:rsid w:val="00325182"/>
    <w:rsid w:val="003253E5"/>
    <w:rsid w:val="00326F5E"/>
    <w:rsid w:val="00332F69"/>
    <w:rsid w:val="00333E21"/>
    <w:rsid w:val="0033582F"/>
    <w:rsid w:val="00336851"/>
    <w:rsid w:val="003370EF"/>
    <w:rsid w:val="0033735B"/>
    <w:rsid w:val="003379A5"/>
    <w:rsid w:val="0034156F"/>
    <w:rsid w:val="003415AB"/>
    <w:rsid w:val="00343483"/>
    <w:rsid w:val="003448C5"/>
    <w:rsid w:val="0034756C"/>
    <w:rsid w:val="00347AE4"/>
    <w:rsid w:val="00347D10"/>
    <w:rsid w:val="003500ED"/>
    <w:rsid w:val="00350C25"/>
    <w:rsid w:val="00353880"/>
    <w:rsid w:val="00355A30"/>
    <w:rsid w:val="00356C2F"/>
    <w:rsid w:val="00357397"/>
    <w:rsid w:val="00357C3A"/>
    <w:rsid w:val="00360742"/>
    <w:rsid w:val="003625F3"/>
    <w:rsid w:val="00362ADD"/>
    <w:rsid w:val="00362D40"/>
    <w:rsid w:val="00363A01"/>
    <w:rsid w:val="00363AE9"/>
    <w:rsid w:val="00364677"/>
    <w:rsid w:val="00364B2E"/>
    <w:rsid w:val="00366292"/>
    <w:rsid w:val="00366FBB"/>
    <w:rsid w:val="00367B7A"/>
    <w:rsid w:val="00370332"/>
    <w:rsid w:val="003703EE"/>
    <w:rsid w:val="00370BF1"/>
    <w:rsid w:val="00370FB1"/>
    <w:rsid w:val="00373222"/>
    <w:rsid w:val="00373335"/>
    <w:rsid w:val="003735A8"/>
    <w:rsid w:val="00373C18"/>
    <w:rsid w:val="00373DB3"/>
    <w:rsid w:val="00373F7E"/>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A1AA1"/>
    <w:rsid w:val="003A1E68"/>
    <w:rsid w:val="003A2DB9"/>
    <w:rsid w:val="003A3721"/>
    <w:rsid w:val="003A5565"/>
    <w:rsid w:val="003A5A32"/>
    <w:rsid w:val="003A6B7E"/>
    <w:rsid w:val="003A6B86"/>
    <w:rsid w:val="003A6F65"/>
    <w:rsid w:val="003A7AB3"/>
    <w:rsid w:val="003A7B39"/>
    <w:rsid w:val="003A7BD5"/>
    <w:rsid w:val="003B2CC7"/>
    <w:rsid w:val="003B4182"/>
    <w:rsid w:val="003B4B65"/>
    <w:rsid w:val="003B6257"/>
    <w:rsid w:val="003B7676"/>
    <w:rsid w:val="003B76D5"/>
    <w:rsid w:val="003C05FF"/>
    <w:rsid w:val="003C0E2F"/>
    <w:rsid w:val="003C10D6"/>
    <w:rsid w:val="003C1C3A"/>
    <w:rsid w:val="003C571B"/>
    <w:rsid w:val="003C6A87"/>
    <w:rsid w:val="003C6EF6"/>
    <w:rsid w:val="003C7783"/>
    <w:rsid w:val="003C7E3C"/>
    <w:rsid w:val="003D0E1A"/>
    <w:rsid w:val="003D11FF"/>
    <w:rsid w:val="003D168D"/>
    <w:rsid w:val="003D1AF3"/>
    <w:rsid w:val="003D2132"/>
    <w:rsid w:val="003D6ECD"/>
    <w:rsid w:val="003E048F"/>
    <w:rsid w:val="003E0B32"/>
    <w:rsid w:val="003E140A"/>
    <w:rsid w:val="003E18DB"/>
    <w:rsid w:val="003E1D22"/>
    <w:rsid w:val="003E20B0"/>
    <w:rsid w:val="003E221C"/>
    <w:rsid w:val="003E2453"/>
    <w:rsid w:val="003E2CF5"/>
    <w:rsid w:val="003E3EC5"/>
    <w:rsid w:val="003E5417"/>
    <w:rsid w:val="003E588B"/>
    <w:rsid w:val="003E5DC6"/>
    <w:rsid w:val="003F039B"/>
    <w:rsid w:val="003F0C64"/>
    <w:rsid w:val="003F0D21"/>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3FD2"/>
    <w:rsid w:val="00415FEA"/>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C15"/>
    <w:rsid w:val="004422BD"/>
    <w:rsid w:val="00442BC8"/>
    <w:rsid w:val="00445571"/>
    <w:rsid w:val="00445E3B"/>
    <w:rsid w:val="00446462"/>
    <w:rsid w:val="0045074C"/>
    <w:rsid w:val="004507DF"/>
    <w:rsid w:val="00451623"/>
    <w:rsid w:val="00451956"/>
    <w:rsid w:val="00452374"/>
    <w:rsid w:val="0045245A"/>
    <w:rsid w:val="00455DFC"/>
    <w:rsid w:val="00456B8C"/>
    <w:rsid w:val="00457AAF"/>
    <w:rsid w:val="00460A28"/>
    <w:rsid w:val="00460B23"/>
    <w:rsid w:val="00462A70"/>
    <w:rsid w:val="00462EB5"/>
    <w:rsid w:val="00467681"/>
    <w:rsid w:val="00470537"/>
    <w:rsid w:val="004712B8"/>
    <w:rsid w:val="004719A7"/>
    <w:rsid w:val="00472A3E"/>
    <w:rsid w:val="00472B59"/>
    <w:rsid w:val="00472D49"/>
    <w:rsid w:val="00473623"/>
    <w:rsid w:val="0047379A"/>
    <w:rsid w:val="00473FE0"/>
    <w:rsid w:val="004752DC"/>
    <w:rsid w:val="004761E1"/>
    <w:rsid w:val="00477B40"/>
    <w:rsid w:val="00477E5C"/>
    <w:rsid w:val="004806BC"/>
    <w:rsid w:val="00480791"/>
    <w:rsid w:val="0048229C"/>
    <w:rsid w:val="00482BD5"/>
    <w:rsid w:val="004839D0"/>
    <w:rsid w:val="00485090"/>
    <w:rsid w:val="00485626"/>
    <w:rsid w:val="004864D1"/>
    <w:rsid w:val="00487853"/>
    <w:rsid w:val="00487B4C"/>
    <w:rsid w:val="00487F92"/>
    <w:rsid w:val="004907B9"/>
    <w:rsid w:val="00493E7A"/>
    <w:rsid w:val="00495D8A"/>
    <w:rsid w:val="0049697C"/>
    <w:rsid w:val="00496A1D"/>
    <w:rsid w:val="00496C58"/>
    <w:rsid w:val="004A0B53"/>
    <w:rsid w:val="004A1928"/>
    <w:rsid w:val="004A1D5D"/>
    <w:rsid w:val="004A2E61"/>
    <w:rsid w:val="004A2EF6"/>
    <w:rsid w:val="004A4F1C"/>
    <w:rsid w:val="004A5D3E"/>
    <w:rsid w:val="004A7067"/>
    <w:rsid w:val="004A75DB"/>
    <w:rsid w:val="004B0B03"/>
    <w:rsid w:val="004B146A"/>
    <w:rsid w:val="004B2975"/>
    <w:rsid w:val="004B2E65"/>
    <w:rsid w:val="004B3675"/>
    <w:rsid w:val="004B3910"/>
    <w:rsid w:val="004B4641"/>
    <w:rsid w:val="004B4C0D"/>
    <w:rsid w:val="004B5248"/>
    <w:rsid w:val="004B6036"/>
    <w:rsid w:val="004B6B3A"/>
    <w:rsid w:val="004B719F"/>
    <w:rsid w:val="004B732B"/>
    <w:rsid w:val="004C260D"/>
    <w:rsid w:val="004C44CB"/>
    <w:rsid w:val="004C4516"/>
    <w:rsid w:val="004C5580"/>
    <w:rsid w:val="004C63DF"/>
    <w:rsid w:val="004C7E40"/>
    <w:rsid w:val="004C7E5B"/>
    <w:rsid w:val="004D070D"/>
    <w:rsid w:val="004D0D04"/>
    <w:rsid w:val="004D1074"/>
    <w:rsid w:val="004D125E"/>
    <w:rsid w:val="004D1C4D"/>
    <w:rsid w:val="004D2F41"/>
    <w:rsid w:val="004D3EF9"/>
    <w:rsid w:val="004D489D"/>
    <w:rsid w:val="004D6001"/>
    <w:rsid w:val="004E256A"/>
    <w:rsid w:val="004E3AFC"/>
    <w:rsid w:val="004E6740"/>
    <w:rsid w:val="004F2DD7"/>
    <w:rsid w:val="004F38DE"/>
    <w:rsid w:val="004F3B76"/>
    <w:rsid w:val="004F3CD9"/>
    <w:rsid w:val="004F3F53"/>
    <w:rsid w:val="004F4707"/>
    <w:rsid w:val="004F54C6"/>
    <w:rsid w:val="004F577A"/>
    <w:rsid w:val="004F5996"/>
    <w:rsid w:val="004F7AE7"/>
    <w:rsid w:val="0050051D"/>
    <w:rsid w:val="00500BA3"/>
    <w:rsid w:val="005020C8"/>
    <w:rsid w:val="005041F6"/>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4BD2"/>
    <w:rsid w:val="0052576E"/>
    <w:rsid w:val="005277D0"/>
    <w:rsid w:val="00530D57"/>
    <w:rsid w:val="00532D6C"/>
    <w:rsid w:val="00532DF4"/>
    <w:rsid w:val="00533371"/>
    <w:rsid w:val="005333BC"/>
    <w:rsid w:val="00534107"/>
    <w:rsid w:val="0053490F"/>
    <w:rsid w:val="00534A39"/>
    <w:rsid w:val="005354CB"/>
    <w:rsid w:val="00535ABA"/>
    <w:rsid w:val="00535E4C"/>
    <w:rsid w:val="00535F77"/>
    <w:rsid w:val="00536584"/>
    <w:rsid w:val="00536D9C"/>
    <w:rsid w:val="00537ED8"/>
    <w:rsid w:val="00541C47"/>
    <w:rsid w:val="0054314D"/>
    <w:rsid w:val="00543D51"/>
    <w:rsid w:val="005442AF"/>
    <w:rsid w:val="00544992"/>
    <w:rsid w:val="00544D41"/>
    <w:rsid w:val="00546ED0"/>
    <w:rsid w:val="0055115B"/>
    <w:rsid w:val="005516F1"/>
    <w:rsid w:val="00551B92"/>
    <w:rsid w:val="00552AC8"/>
    <w:rsid w:val="00553E3E"/>
    <w:rsid w:val="00554372"/>
    <w:rsid w:val="0055481D"/>
    <w:rsid w:val="00556138"/>
    <w:rsid w:val="00557A45"/>
    <w:rsid w:val="00557D9C"/>
    <w:rsid w:val="005610E3"/>
    <w:rsid w:val="00561DCF"/>
    <w:rsid w:val="0056243F"/>
    <w:rsid w:val="00562E7B"/>
    <w:rsid w:val="00563D96"/>
    <w:rsid w:val="0056420A"/>
    <w:rsid w:val="005655EC"/>
    <w:rsid w:val="00565E75"/>
    <w:rsid w:val="00565EFC"/>
    <w:rsid w:val="00566156"/>
    <w:rsid w:val="005669A3"/>
    <w:rsid w:val="00567B32"/>
    <w:rsid w:val="005705FA"/>
    <w:rsid w:val="00570A38"/>
    <w:rsid w:val="00570B36"/>
    <w:rsid w:val="00570EB1"/>
    <w:rsid w:val="00571155"/>
    <w:rsid w:val="00572AB5"/>
    <w:rsid w:val="005743F9"/>
    <w:rsid w:val="00574FB7"/>
    <w:rsid w:val="00575FB6"/>
    <w:rsid w:val="00580637"/>
    <w:rsid w:val="00581412"/>
    <w:rsid w:val="0058274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3C9"/>
    <w:rsid w:val="005A129B"/>
    <w:rsid w:val="005A1F50"/>
    <w:rsid w:val="005A2C45"/>
    <w:rsid w:val="005A3510"/>
    <w:rsid w:val="005A3B29"/>
    <w:rsid w:val="005A4280"/>
    <w:rsid w:val="005A72D6"/>
    <w:rsid w:val="005B068E"/>
    <w:rsid w:val="005B1A6E"/>
    <w:rsid w:val="005B2660"/>
    <w:rsid w:val="005B3043"/>
    <w:rsid w:val="005B6D0B"/>
    <w:rsid w:val="005B7B72"/>
    <w:rsid w:val="005C0709"/>
    <w:rsid w:val="005C0D18"/>
    <w:rsid w:val="005C0E72"/>
    <w:rsid w:val="005C10D6"/>
    <w:rsid w:val="005C25B3"/>
    <w:rsid w:val="005C460F"/>
    <w:rsid w:val="005C588B"/>
    <w:rsid w:val="005C6A71"/>
    <w:rsid w:val="005C6C16"/>
    <w:rsid w:val="005C6D81"/>
    <w:rsid w:val="005D01C0"/>
    <w:rsid w:val="005D109E"/>
    <w:rsid w:val="005D134B"/>
    <w:rsid w:val="005D155D"/>
    <w:rsid w:val="005D1B01"/>
    <w:rsid w:val="005D2C0B"/>
    <w:rsid w:val="005D4C3B"/>
    <w:rsid w:val="005D624D"/>
    <w:rsid w:val="005E24A2"/>
    <w:rsid w:val="005E2E8F"/>
    <w:rsid w:val="005E2F15"/>
    <w:rsid w:val="005E3116"/>
    <w:rsid w:val="005E4D8E"/>
    <w:rsid w:val="005E520A"/>
    <w:rsid w:val="005E6B2E"/>
    <w:rsid w:val="005E7567"/>
    <w:rsid w:val="005F07A2"/>
    <w:rsid w:val="005F148C"/>
    <w:rsid w:val="005F15FB"/>
    <w:rsid w:val="005F2228"/>
    <w:rsid w:val="005F350E"/>
    <w:rsid w:val="005F4F9C"/>
    <w:rsid w:val="005F5924"/>
    <w:rsid w:val="005F6495"/>
    <w:rsid w:val="0060053B"/>
    <w:rsid w:val="006013FA"/>
    <w:rsid w:val="00601958"/>
    <w:rsid w:val="0060233D"/>
    <w:rsid w:val="00602A33"/>
    <w:rsid w:val="0061066F"/>
    <w:rsid w:val="0061176B"/>
    <w:rsid w:val="006122D3"/>
    <w:rsid w:val="006130E6"/>
    <w:rsid w:val="0061375D"/>
    <w:rsid w:val="00613D59"/>
    <w:rsid w:val="006159FC"/>
    <w:rsid w:val="0061632E"/>
    <w:rsid w:val="00616B93"/>
    <w:rsid w:val="00617A57"/>
    <w:rsid w:val="006209F9"/>
    <w:rsid w:val="006210CD"/>
    <w:rsid w:val="006210DA"/>
    <w:rsid w:val="00621368"/>
    <w:rsid w:val="00621699"/>
    <w:rsid w:val="00621BB4"/>
    <w:rsid w:val="00621C55"/>
    <w:rsid w:val="00625C6D"/>
    <w:rsid w:val="006264E7"/>
    <w:rsid w:val="00627437"/>
    <w:rsid w:val="00627B48"/>
    <w:rsid w:val="00627B93"/>
    <w:rsid w:val="006300D6"/>
    <w:rsid w:val="0063077A"/>
    <w:rsid w:val="00630989"/>
    <w:rsid w:val="0063172F"/>
    <w:rsid w:val="006333F4"/>
    <w:rsid w:val="00633AF7"/>
    <w:rsid w:val="006423B1"/>
    <w:rsid w:val="00642E8D"/>
    <w:rsid w:val="00643E18"/>
    <w:rsid w:val="0064499F"/>
    <w:rsid w:val="00646714"/>
    <w:rsid w:val="00646EA5"/>
    <w:rsid w:val="0064785C"/>
    <w:rsid w:val="00647D9B"/>
    <w:rsid w:val="00651CCC"/>
    <w:rsid w:val="00652403"/>
    <w:rsid w:val="00653A9A"/>
    <w:rsid w:val="006540A3"/>
    <w:rsid w:val="006546B3"/>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40BF"/>
    <w:rsid w:val="00694FE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D294E"/>
    <w:rsid w:val="006D30D8"/>
    <w:rsid w:val="006D32A7"/>
    <w:rsid w:val="006D42E4"/>
    <w:rsid w:val="006D507C"/>
    <w:rsid w:val="006D5EFC"/>
    <w:rsid w:val="006D678D"/>
    <w:rsid w:val="006D6CEF"/>
    <w:rsid w:val="006E0562"/>
    <w:rsid w:val="006E1297"/>
    <w:rsid w:val="006E1C4B"/>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63B1"/>
    <w:rsid w:val="006F6B11"/>
    <w:rsid w:val="006F7497"/>
    <w:rsid w:val="00700409"/>
    <w:rsid w:val="00700F2F"/>
    <w:rsid w:val="00701260"/>
    <w:rsid w:val="00701A55"/>
    <w:rsid w:val="00703594"/>
    <w:rsid w:val="00703BC0"/>
    <w:rsid w:val="00704E6A"/>
    <w:rsid w:val="007053DD"/>
    <w:rsid w:val="0070663A"/>
    <w:rsid w:val="00707420"/>
    <w:rsid w:val="00710B77"/>
    <w:rsid w:val="007113FC"/>
    <w:rsid w:val="00711A9C"/>
    <w:rsid w:val="00711E7F"/>
    <w:rsid w:val="00713839"/>
    <w:rsid w:val="00713DEE"/>
    <w:rsid w:val="00714584"/>
    <w:rsid w:val="00714F40"/>
    <w:rsid w:val="00717834"/>
    <w:rsid w:val="0072213A"/>
    <w:rsid w:val="007229E0"/>
    <w:rsid w:val="007243B0"/>
    <w:rsid w:val="00724BCE"/>
    <w:rsid w:val="007306BC"/>
    <w:rsid w:val="00732BC8"/>
    <w:rsid w:val="00732CA9"/>
    <w:rsid w:val="007338EA"/>
    <w:rsid w:val="00734E73"/>
    <w:rsid w:val="007358DD"/>
    <w:rsid w:val="00740B03"/>
    <w:rsid w:val="00740C88"/>
    <w:rsid w:val="007423A7"/>
    <w:rsid w:val="007428EC"/>
    <w:rsid w:val="00744784"/>
    <w:rsid w:val="00744995"/>
    <w:rsid w:val="00746E60"/>
    <w:rsid w:val="00750FCF"/>
    <w:rsid w:val="00751C34"/>
    <w:rsid w:val="00751FF2"/>
    <w:rsid w:val="00752B7F"/>
    <w:rsid w:val="007544EA"/>
    <w:rsid w:val="00754F7D"/>
    <w:rsid w:val="007552F4"/>
    <w:rsid w:val="0075604A"/>
    <w:rsid w:val="007560E1"/>
    <w:rsid w:val="00760C2F"/>
    <w:rsid w:val="00762126"/>
    <w:rsid w:val="007636EA"/>
    <w:rsid w:val="00764224"/>
    <w:rsid w:val="00772BE9"/>
    <w:rsid w:val="007756E7"/>
    <w:rsid w:val="007758C6"/>
    <w:rsid w:val="00775EF5"/>
    <w:rsid w:val="00780B55"/>
    <w:rsid w:val="00780B9D"/>
    <w:rsid w:val="00781C82"/>
    <w:rsid w:val="00782FE5"/>
    <w:rsid w:val="00783437"/>
    <w:rsid w:val="007858D9"/>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1F25"/>
    <w:rsid w:val="007A443C"/>
    <w:rsid w:val="007A4D39"/>
    <w:rsid w:val="007A4FFC"/>
    <w:rsid w:val="007A6518"/>
    <w:rsid w:val="007A67AA"/>
    <w:rsid w:val="007A73ED"/>
    <w:rsid w:val="007B133A"/>
    <w:rsid w:val="007B1489"/>
    <w:rsid w:val="007B2967"/>
    <w:rsid w:val="007B3649"/>
    <w:rsid w:val="007B364C"/>
    <w:rsid w:val="007B37EC"/>
    <w:rsid w:val="007B7BD9"/>
    <w:rsid w:val="007B7C58"/>
    <w:rsid w:val="007B7E4F"/>
    <w:rsid w:val="007C2070"/>
    <w:rsid w:val="007C23E7"/>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C6F"/>
    <w:rsid w:val="007F41D9"/>
    <w:rsid w:val="007F50B7"/>
    <w:rsid w:val="007F570E"/>
    <w:rsid w:val="007F597C"/>
    <w:rsid w:val="007F62A7"/>
    <w:rsid w:val="00800B7B"/>
    <w:rsid w:val="008021E6"/>
    <w:rsid w:val="008022AE"/>
    <w:rsid w:val="00802F35"/>
    <w:rsid w:val="00803D62"/>
    <w:rsid w:val="00805BD1"/>
    <w:rsid w:val="008112EC"/>
    <w:rsid w:val="00812909"/>
    <w:rsid w:val="00813519"/>
    <w:rsid w:val="00813B54"/>
    <w:rsid w:val="00815AEA"/>
    <w:rsid w:val="0081692E"/>
    <w:rsid w:val="008169BC"/>
    <w:rsid w:val="00816A52"/>
    <w:rsid w:val="008175FF"/>
    <w:rsid w:val="0081767A"/>
    <w:rsid w:val="00817B18"/>
    <w:rsid w:val="00820FBE"/>
    <w:rsid w:val="008213DD"/>
    <w:rsid w:val="0082258A"/>
    <w:rsid w:val="00822FB7"/>
    <w:rsid w:val="00823136"/>
    <w:rsid w:val="008234B4"/>
    <w:rsid w:val="0082487B"/>
    <w:rsid w:val="0082559D"/>
    <w:rsid w:val="00826C07"/>
    <w:rsid w:val="00826E6C"/>
    <w:rsid w:val="008271A7"/>
    <w:rsid w:val="008272F8"/>
    <w:rsid w:val="00827EB0"/>
    <w:rsid w:val="008305A6"/>
    <w:rsid w:val="00831977"/>
    <w:rsid w:val="00831D70"/>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10B8"/>
    <w:rsid w:val="0086205A"/>
    <w:rsid w:val="008640DF"/>
    <w:rsid w:val="00864E8F"/>
    <w:rsid w:val="00864FFC"/>
    <w:rsid w:val="0086649D"/>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4C3"/>
    <w:rsid w:val="00883702"/>
    <w:rsid w:val="00883A3D"/>
    <w:rsid w:val="008848A9"/>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6BB3"/>
    <w:rsid w:val="00897014"/>
    <w:rsid w:val="008978AD"/>
    <w:rsid w:val="00897CAC"/>
    <w:rsid w:val="008A011D"/>
    <w:rsid w:val="008A02A1"/>
    <w:rsid w:val="008A07B2"/>
    <w:rsid w:val="008A1C35"/>
    <w:rsid w:val="008A1D62"/>
    <w:rsid w:val="008A26E6"/>
    <w:rsid w:val="008A37CD"/>
    <w:rsid w:val="008A3FE3"/>
    <w:rsid w:val="008A49A3"/>
    <w:rsid w:val="008A7DD9"/>
    <w:rsid w:val="008A7E4D"/>
    <w:rsid w:val="008B0E51"/>
    <w:rsid w:val="008B15E9"/>
    <w:rsid w:val="008B1650"/>
    <w:rsid w:val="008B1940"/>
    <w:rsid w:val="008B332B"/>
    <w:rsid w:val="008B44B1"/>
    <w:rsid w:val="008B6314"/>
    <w:rsid w:val="008C076C"/>
    <w:rsid w:val="008C0B7B"/>
    <w:rsid w:val="008C2292"/>
    <w:rsid w:val="008C3005"/>
    <w:rsid w:val="008C31FF"/>
    <w:rsid w:val="008C3669"/>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5F3F"/>
    <w:rsid w:val="008F0006"/>
    <w:rsid w:val="008F01EF"/>
    <w:rsid w:val="008F0466"/>
    <w:rsid w:val="008F060F"/>
    <w:rsid w:val="008F3395"/>
    <w:rsid w:val="008F3733"/>
    <w:rsid w:val="008F5172"/>
    <w:rsid w:val="008F5CCC"/>
    <w:rsid w:val="008F5F96"/>
    <w:rsid w:val="008F6626"/>
    <w:rsid w:val="008F6C97"/>
    <w:rsid w:val="0090026E"/>
    <w:rsid w:val="00902D3C"/>
    <w:rsid w:val="00904B4E"/>
    <w:rsid w:val="009053D8"/>
    <w:rsid w:val="00906DE2"/>
    <w:rsid w:val="00910BD5"/>
    <w:rsid w:val="00910CA5"/>
    <w:rsid w:val="00911D7F"/>
    <w:rsid w:val="00911F28"/>
    <w:rsid w:val="00912893"/>
    <w:rsid w:val="009135EB"/>
    <w:rsid w:val="0091456A"/>
    <w:rsid w:val="00917D1F"/>
    <w:rsid w:val="00920BB5"/>
    <w:rsid w:val="00920E68"/>
    <w:rsid w:val="00921BC4"/>
    <w:rsid w:val="00922A25"/>
    <w:rsid w:val="00922CF3"/>
    <w:rsid w:val="00922D67"/>
    <w:rsid w:val="009230EA"/>
    <w:rsid w:val="00923504"/>
    <w:rsid w:val="0092577F"/>
    <w:rsid w:val="00925B94"/>
    <w:rsid w:val="009305A1"/>
    <w:rsid w:val="009309E4"/>
    <w:rsid w:val="0093195B"/>
    <w:rsid w:val="009329B2"/>
    <w:rsid w:val="0093371B"/>
    <w:rsid w:val="00933B15"/>
    <w:rsid w:val="00933D13"/>
    <w:rsid w:val="009340E4"/>
    <w:rsid w:val="00934498"/>
    <w:rsid w:val="00935139"/>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1057"/>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54F8"/>
    <w:rsid w:val="009E59A4"/>
    <w:rsid w:val="009E5FDB"/>
    <w:rsid w:val="009E6B3C"/>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5E3"/>
    <w:rsid w:val="00A35725"/>
    <w:rsid w:val="00A35918"/>
    <w:rsid w:val="00A3696A"/>
    <w:rsid w:val="00A36ABC"/>
    <w:rsid w:val="00A37DBC"/>
    <w:rsid w:val="00A37EEF"/>
    <w:rsid w:val="00A37F33"/>
    <w:rsid w:val="00A40744"/>
    <w:rsid w:val="00A41AB6"/>
    <w:rsid w:val="00A424E2"/>
    <w:rsid w:val="00A430E4"/>
    <w:rsid w:val="00A43B8B"/>
    <w:rsid w:val="00A4467D"/>
    <w:rsid w:val="00A449CC"/>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AA6"/>
    <w:rsid w:val="00AB02B7"/>
    <w:rsid w:val="00AB0F12"/>
    <w:rsid w:val="00AB1459"/>
    <w:rsid w:val="00AB24FC"/>
    <w:rsid w:val="00AB2B04"/>
    <w:rsid w:val="00AB3DEA"/>
    <w:rsid w:val="00AB43BC"/>
    <w:rsid w:val="00AB7928"/>
    <w:rsid w:val="00AB7D3A"/>
    <w:rsid w:val="00AC30CA"/>
    <w:rsid w:val="00AC409D"/>
    <w:rsid w:val="00AC5A11"/>
    <w:rsid w:val="00AC7946"/>
    <w:rsid w:val="00AD0374"/>
    <w:rsid w:val="00AD2C53"/>
    <w:rsid w:val="00AD48A7"/>
    <w:rsid w:val="00AD58F0"/>
    <w:rsid w:val="00AD5A7E"/>
    <w:rsid w:val="00AD66F9"/>
    <w:rsid w:val="00AD6AE6"/>
    <w:rsid w:val="00AE2B12"/>
    <w:rsid w:val="00AE4413"/>
    <w:rsid w:val="00AE4603"/>
    <w:rsid w:val="00AE49EE"/>
    <w:rsid w:val="00AE6014"/>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B7F"/>
    <w:rsid w:val="00B10AAA"/>
    <w:rsid w:val="00B10F53"/>
    <w:rsid w:val="00B1129F"/>
    <w:rsid w:val="00B114EC"/>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2F1C"/>
    <w:rsid w:val="00B53BD6"/>
    <w:rsid w:val="00B542E1"/>
    <w:rsid w:val="00B54A1A"/>
    <w:rsid w:val="00B54E25"/>
    <w:rsid w:val="00B54E96"/>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B16"/>
    <w:rsid w:val="00B74E26"/>
    <w:rsid w:val="00B7500A"/>
    <w:rsid w:val="00B765F0"/>
    <w:rsid w:val="00B76CD6"/>
    <w:rsid w:val="00B7714E"/>
    <w:rsid w:val="00B828F9"/>
    <w:rsid w:val="00B84622"/>
    <w:rsid w:val="00B84679"/>
    <w:rsid w:val="00B8484B"/>
    <w:rsid w:val="00B84970"/>
    <w:rsid w:val="00B853FD"/>
    <w:rsid w:val="00B85AF4"/>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7E"/>
    <w:rsid w:val="00B977A7"/>
    <w:rsid w:val="00BA08BC"/>
    <w:rsid w:val="00BA1583"/>
    <w:rsid w:val="00BA22B0"/>
    <w:rsid w:val="00BA22F5"/>
    <w:rsid w:val="00BA22F9"/>
    <w:rsid w:val="00BA316E"/>
    <w:rsid w:val="00BA3208"/>
    <w:rsid w:val="00BA3876"/>
    <w:rsid w:val="00BA3970"/>
    <w:rsid w:val="00BA3ED9"/>
    <w:rsid w:val="00BA5345"/>
    <w:rsid w:val="00BA5538"/>
    <w:rsid w:val="00BA58C8"/>
    <w:rsid w:val="00BA6E28"/>
    <w:rsid w:val="00BA7A1A"/>
    <w:rsid w:val="00BB0F0C"/>
    <w:rsid w:val="00BB1C44"/>
    <w:rsid w:val="00BB4A3E"/>
    <w:rsid w:val="00BB4D68"/>
    <w:rsid w:val="00BB505D"/>
    <w:rsid w:val="00BB5096"/>
    <w:rsid w:val="00BB575C"/>
    <w:rsid w:val="00BC13C5"/>
    <w:rsid w:val="00BC315E"/>
    <w:rsid w:val="00BC648F"/>
    <w:rsid w:val="00BC752C"/>
    <w:rsid w:val="00BD1EC4"/>
    <w:rsid w:val="00BD77CD"/>
    <w:rsid w:val="00BD79F4"/>
    <w:rsid w:val="00BE111F"/>
    <w:rsid w:val="00BE1546"/>
    <w:rsid w:val="00BE21CA"/>
    <w:rsid w:val="00BE297A"/>
    <w:rsid w:val="00BE2D8D"/>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C0057F"/>
    <w:rsid w:val="00C02132"/>
    <w:rsid w:val="00C038CF"/>
    <w:rsid w:val="00C03F98"/>
    <w:rsid w:val="00C03FFB"/>
    <w:rsid w:val="00C04743"/>
    <w:rsid w:val="00C05AFB"/>
    <w:rsid w:val="00C06062"/>
    <w:rsid w:val="00C07163"/>
    <w:rsid w:val="00C102E0"/>
    <w:rsid w:val="00C129A0"/>
    <w:rsid w:val="00C14860"/>
    <w:rsid w:val="00C14DCF"/>
    <w:rsid w:val="00C1515D"/>
    <w:rsid w:val="00C1614B"/>
    <w:rsid w:val="00C162BA"/>
    <w:rsid w:val="00C17828"/>
    <w:rsid w:val="00C17C26"/>
    <w:rsid w:val="00C17CAD"/>
    <w:rsid w:val="00C22ECD"/>
    <w:rsid w:val="00C2553F"/>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2E18"/>
    <w:rsid w:val="00C635A1"/>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CD7"/>
    <w:rsid w:val="00C8394F"/>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4F7C"/>
    <w:rsid w:val="00CE6333"/>
    <w:rsid w:val="00CE657E"/>
    <w:rsid w:val="00CE6AC9"/>
    <w:rsid w:val="00CF00BD"/>
    <w:rsid w:val="00CF0666"/>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D71"/>
    <w:rsid w:val="00D10FC3"/>
    <w:rsid w:val="00D13517"/>
    <w:rsid w:val="00D149D0"/>
    <w:rsid w:val="00D14FDE"/>
    <w:rsid w:val="00D15054"/>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3683"/>
    <w:rsid w:val="00D43B46"/>
    <w:rsid w:val="00D44972"/>
    <w:rsid w:val="00D45A87"/>
    <w:rsid w:val="00D46308"/>
    <w:rsid w:val="00D470E4"/>
    <w:rsid w:val="00D477A8"/>
    <w:rsid w:val="00D50876"/>
    <w:rsid w:val="00D537A8"/>
    <w:rsid w:val="00D55E57"/>
    <w:rsid w:val="00D57915"/>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44A3"/>
    <w:rsid w:val="00D74AC6"/>
    <w:rsid w:val="00D75D28"/>
    <w:rsid w:val="00D76261"/>
    <w:rsid w:val="00D770F6"/>
    <w:rsid w:val="00D778FB"/>
    <w:rsid w:val="00D77A82"/>
    <w:rsid w:val="00D8100E"/>
    <w:rsid w:val="00D813E0"/>
    <w:rsid w:val="00D83ED0"/>
    <w:rsid w:val="00D83EDF"/>
    <w:rsid w:val="00D87E58"/>
    <w:rsid w:val="00D92F21"/>
    <w:rsid w:val="00D94E74"/>
    <w:rsid w:val="00D9529F"/>
    <w:rsid w:val="00D9613F"/>
    <w:rsid w:val="00D97312"/>
    <w:rsid w:val="00DA059B"/>
    <w:rsid w:val="00DA0E5F"/>
    <w:rsid w:val="00DA0FA4"/>
    <w:rsid w:val="00DA1089"/>
    <w:rsid w:val="00DA261D"/>
    <w:rsid w:val="00DA3356"/>
    <w:rsid w:val="00DA3A29"/>
    <w:rsid w:val="00DA3E48"/>
    <w:rsid w:val="00DA6903"/>
    <w:rsid w:val="00DA6930"/>
    <w:rsid w:val="00DA71C0"/>
    <w:rsid w:val="00DA71E6"/>
    <w:rsid w:val="00DA722F"/>
    <w:rsid w:val="00DA7FFB"/>
    <w:rsid w:val="00DB1048"/>
    <w:rsid w:val="00DB16CA"/>
    <w:rsid w:val="00DB182F"/>
    <w:rsid w:val="00DB27B6"/>
    <w:rsid w:val="00DB3A91"/>
    <w:rsid w:val="00DB4411"/>
    <w:rsid w:val="00DB5D9F"/>
    <w:rsid w:val="00DB6B50"/>
    <w:rsid w:val="00DB7381"/>
    <w:rsid w:val="00DC1FD3"/>
    <w:rsid w:val="00DC2247"/>
    <w:rsid w:val="00DC25CB"/>
    <w:rsid w:val="00DC2CC2"/>
    <w:rsid w:val="00DC32A6"/>
    <w:rsid w:val="00DC3C16"/>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21FC"/>
    <w:rsid w:val="00DE2E94"/>
    <w:rsid w:val="00DE379B"/>
    <w:rsid w:val="00DE477D"/>
    <w:rsid w:val="00DE4A82"/>
    <w:rsid w:val="00DE5282"/>
    <w:rsid w:val="00DE556B"/>
    <w:rsid w:val="00DE62B0"/>
    <w:rsid w:val="00DF02D1"/>
    <w:rsid w:val="00DF0F3E"/>
    <w:rsid w:val="00DF29B6"/>
    <w:rsid w:val="00DF3EC0"/>
    <w:rsid w:val="00DF5AD8"/>
    <w:rsid w:val="00DF5E97"/>
    <w:rsid w:val="00DF608C"/>
    <w:rsid w:val="00E00EAE"/>
    <w:rsid w:val="00E01131"/>
    <w:rsid w:val="00E01F5E"/>
    <w:rsid w:val="00E03FFD"/>
    <w:rsid w:val="00E047FF"/>
    <w:rsid w:val="00E04813"/>
    <w:rsid w:val="00E048FB"/>
    <w:rsid w:val="00E04A03"/>
    <w:rsid w:val="00E0581F"/>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1EC9"/>
    <w:rsid w:val="00E4302B"/>
    <w:rsid w:val="00E43D3D"/>
    <w:rsid w:val="00E45237"/>
    <w:rsid w:val="00E50E2E"/>
    <w:rsid w:val="00E50EEF"/>
    <w:rsid w:val="00E5281E"/>
    <w:rsid w:val="00E53D9F"/>
    <w:rsid w:val="00E55B5B"/>
    <w:rsid w:val="00E5630B"/>
    <w:rsid w:val="00E60DD5"/>
    <w:rsid w:val="00E614F4"/>
    <w:rsid w:val="00E633AC"/>
    <w:rsid w:val="00E64CAE"/>
    <w:rsid w:val="00E67A5E"/>
    <w:rsid w:val="00E704C7"/>
    <w:rsid w:val="00E72B5F"/>
    <w:rsid w:val="00E72CAF"/>
    <w:rsid w:val="00E733A9"/>
    <w:rsid w:val="00E73964"/>
    <w:rsid w:val="00E76F9E"/>
    <w:rsid w:val="00E80010"/>
    <w:rsid w:val="00E80AE6"/>
    <w:rsid w:val="00E810FC"/>
    <w:rsid w:val="00E81AC7"/>
    <w:rsid w:val="00E81F76"/>
    <w:rsid w:val="00E82794"/>
    <w:rsid w:val="00E83B79"/>
    <w:rsid w:val="00E85390"/>
    <w:rsid w:val="00E8576E"/>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393F"/>
    <w:rsid w:val="00EC46B0"/>
    <w:rsid w:val="00EC4EFB"/>
    <w:rsid w:val="00EC577E"/>
    <w:rsid w:val="00EC7AC8"/>
    <w:rsid w:val="00ED253E"/>
    <w:rsid w:val="00ED2742"/>
    <w:rsid w:val="00ED2A98"/>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48E2"/>
    <w:rsid w:val="00F14E1F"/>
    <w:rsid w:val="00F15ABE"/>
    <w:rsid w:val="00F1632A"/>
    <w:rsid w:val="00F17D8D"/>
    <w:rsid w:val="00F17E38"/>
    <w:rsid w:val="00F22BBD"/>
    <w:rsid w:val="00F2441D"/>
    <w:rsid w:val="00F24740"/>
    <w:rsid w:val="00F27EB6"/>
    <w:rsid w:val="00F304AA"/>
    <w:rsid w:val="00F310B9"/>
    <w:rsid w:val="00F313E4"/>
    <w:rsid w:val="00F3217E"/>
    <w:rsid w:val="00F33410"/>
    <w:rsid w:val="00F3500E"/>
    <w:rsid w:val="00F35256"/>
    <w:rsid w:val="00F368F1"/>
    <w:rsid w:val="00F36A4E"/>
    <w:rsid w:val="00F3787E"/>
    <w:rsid w:val="00F37E6F"/>
    <w:rsid w:val="00F4047B"/>
    <w:rsid w:val="00F40B91"/>
    <w:rsid w:val="00F40CE0"/>
    <w:rsid w:val="00F40E33"/>
    <w:rsid w:val="00F411F8"/>
    <w:rsid w:val="00F41909"/>
    <w:rsid w:val="00F41C6A"/>
    <w:rsid w:val="00F42893"/>
    <w:rsid w:val="00F440A5"/>
    <w:rsid w:val="00F444A8"/>
    <w:rsid w:val="00F47A39"/>
    <w:rsid w:val="00F47F75"/>
    <w:rsid w:val="00F504C4"/>
    <w:rsid w:val="00F509CD"/>
    <w:rsid w:val="00F50C30"/>
    <w:rsid w:val="00F5151E"/>
    <w:rsid w:val="00F51F61"/>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E5"/>
    <w:rsid w:val="00F86FDD"/>
    <w:rsid w:val="00F91125"/>
    <w:rsid w:val="00F91F4E"/>
    <w:rsid w:val="00F91F79"/>
    <w:rsid w:val="00F91FC4"/>
    <w:rsid w:val="00F93017"/>
    <w:rsid w:val="00F937CB"/>
    <w:rsid w:val="00F939BD"/>
    <w:rsid w:val="00F939E2"/>
    <w:rsid w:val="00F94001"/>
    <w:rsid w:val="00F940E8"/>
    <w:rsid w:val="00F95E2E"/>
    <w:rsid w:val="00F96639"/>
    <w:rsid w:val="00F96789"/>
    <w:rsid w:val="00F969A2"/>
    <w:rsid w:val="00F97859"/>
    <w:rsid w:val="00F97EB0"/>
    <w:rsid w:val="00FA1498"/>
    <w:rsid w:val="00FA14E6"/>
    <w:rsid w:val="00FA18CA"/>
    <w:rsid w:val="00FA2A38"/>
    <w:rsid w:val="00FA3425"/>
    <w:rsid w:val="00FA34D0"/>
    <w:rsid w:val="00FA5CD7"/>
    <w:rsid w:val="00FA6B9C"/>
    <w:rsid w:val="00FA74AD"/>
    <w:rsid w:val="00FB0232"/>
    <w:rsid w:val="00FB0ACB"/>
    <w:rsid w:val="00FB1921"/>
    <w:rsid w:val="00FB2B62"/>
    <w:rsid w:val="00FB39E3"/>
    <w:rsid w:val="00FB3B85"/>
    <w:rsid w:val="00FB3FA8"/>
    <w:rsid w:val="00FB3FE8"/>
    <w:rsid w:val="00FB41A5"/>
    <w:rsid w:val="00FB42BD"/>
    <w:rsid w:val="00FB49F6"/>
    <w:rsid w:val="00FC0CDD"/>
    <w:rsid w:val="00FC19B0"/>
    <w:rsid w:val="00FC1EE1"/>
    <w:rsid w:val="00FC23F5"/>
    <w:rsid w:val="00FC5510"/>
    <w:rsid w:val="00FD0630"/>
    <w:rsid w:val="00FD0819"/>
    <w:rsid w:val="00FD2E70"/>
    <w:rsid w:val="00FD41B4"/>
    <w:rsid w:val="00FD476E"/>
    <w:rsid w:val="00FD496E"/>
    <w:rsid w:val="00FD4F66"/>
    <w:rsid w:val="00FD620B"/>
    <w:rsid w:val="00FD627A"/>
    <w:rsid w:val="00FE0E85"/>
    <w:rsid w:val="00FE2BC7"/>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D26846-5B30-4880-983F-B9C54A6B6D60}"/>
</file>

<file path=customXml/itemProps2.xml><?xml version="1.0" encoding="utf-8"?>
<ds:datastoreItem xmlns:ds="http://schemas.openxmlformats.org/officeDocument/2006/customXml" ds:itemID="{3B69A5BB-EAA9-49AB-99FF-6EE8D963479A}"/>
</file>

<file path=customXml/itemProps3.xml><?xml version="1.0" encoding="utf-8"?>
<ds:datastoreItem xmlns:ds="http://schemas.openxmlformats.org/officeDocument/2006/customXml" ds:itemID="{D28B0272-6C3A-401D-BE18-C489DAED25AF}"/>
</file>

<file path=customXml/itemProps4.xml><?xml version="1.0" encoding="utf-8"?>
<ds:datastoreItem xmlns:ds="http://schemas.openxmlformats.org/officeDocument/2006/customXml" ds:itemID="{C4FF6E59-9910-4897-9DAA-E6E470BFBE77}"/>
</file>

<file path=docProps/app.xml><?xml version="1.0" encoding="utf-8"?>
<Properties xmlns="http://schemas.openxmlformats.org/officeDocument/2006/extended-properties" xmlns:vt="http://schemas.openxmlformats.org/officeDocument/2006/docPropsVTypes">
  <Template>Normal</Template>
  <TotalTime>0</TotalTime>
  <Pages>12</Pages>
  <Words>4533</Words>
  <Characters>25843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HP Inc.</cp:lastModifiedBy>
  <cp:revision>2</cp:revision>
  <cp:lastPrinted>2020-06-02T09:04:00Z</cp:lastPrinted>
  <dcterms:created xsi:type="dcterms:W3CDTF">2022-05-24T10:40:00Z</dcterms:created>
  <dcterms:modified xsi:type="dcterms:W3CDTF">2022-05-24T10:40:00Z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