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720DA"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14944329" w14:textId="77777777" w:rsidR="00AB3DEA" w:rsidRPr="005B080A" w:rsidRDefault="001C6CE0" w:rsidP="00AB3DEA">
      <w:pPr>
        <w:jc w:val="center"/>
        <w:rPr>
          <w:rFonts w:ascii="Arial" w:hAnsi="Arial" w:cs="Arial"/>
          <w:b/>
          <w:sz w:val="24"/>
          <w:szCs w:val="24"/>
        </w:rPr>
      </w:pPr>
      <w:r>
        <w:rPr>
          <w:rFonts w:ascii="Arial" w:hAnsi="Arial" w:cs="Arial"/>
          <w:b/>
          <w:sz w:val="24"/>
          <w:szCs w:val="24"/>
        </w:rPr>
        <w:t>AWARD</w:t>
      </w:r>
    </w:p>
    <w:p w14:paraId="16E127F5"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805B98">
        <w:rPr>
          <w:rFonts w:ascii="Arial" w:hAnsi="Arial" w:cs="Arial"/>
          <w:b/>
          <w:sz w:val="24"/>
          <w:szCs w:val="24"/>
        </w:rPr>
        <w:t>125</w:t>
      </w:r>
      <w:r w:rsidRPr="005B080A">
        <w:rPr>
          <w:rFonts w:ascii="Arial" w:hAnsi="Arial" w:cs="Arial"/>
          <w:b/>
          <w:sz w:val="24"/>
          <w:szCs w:val="24"/>
        </w:rPr>
        <w:t>/1</w:t>
      </w:r>
      <w:r w:rsidR="00805B98">
        <w:rPr>
          <w:rFonts w:ascii="Arial" w:hAnsi="Arial" w:cs="Arial"/>
          <w:b/>
          <w:sz w:val="24"/>
          <w:szCs w:val="24"/>
        </w:rPr>
        <w:t>8</w:t>
      </w:r>
      <w:r w:rsidR="00142789">
        <w:rPr>
          <w:rFonts w:ascii="Arial" w:hAnsi="Arial" w:cs="Arial"/>
          <w:b/>
          <w:sz w:val="24"/>
          <w:szCs w:val="24"/>
        </w:rPr>
        <w:t xml:space="preserve">, </w:t>
      </w:r>
      <w:r w:rsidR="00097D74">
        <w:rPr>
          <w:rFonts w:ascii="Arial" w:hAnsi="Arial" w:cs="Arial"/>
          <w:b/>
          <w:sz w:val="24"/>
          <w:szCs w:val="24"/>
        </w:rPr>
        <w:t xml:space="preserve">ERT/RN </w:t>
      </w:r>
      <w:r w:rsidR="00805B98">
        <w:rPr>
          <w:rFonts w:ascii="Arial" w:hAnsi="Arial" w:cs="Arial"/>
          <w:b/>
          <w:sz w:val="24"/>
          <w:szCs w:val="24"/>
        </w:rPr>
        <w:t>127</w:t>
      </w:r>
      <w:r w:rsidR="00097D74">
        <w:rPr>
          <w:rFonts w:ascii="Arial" w:hAnsi="Arial" w:cs="Arial"/>
          <w:b/>
          <w:sz w:val="24"/>
          <w:szCs w:val="24"/>
        </w:rPr>
        <w:t>/1</w:t>
      </w:r>
      <w:r w:rsidR="00805B98">
        <w:rPr>
          <w:rFonts w:ascii="Arial" w:hAnsi="Arial" w:cs="Arial"/>
          <w:b/>
          <w:sz w:val="24"/>
          <w:szCs w:val="24"/>
        </w:rPr>
        <w:t>8</w:t>
      </w:r>
    </w:p>
    <w:p w14:paraId="56C68DFC" w14:textId="77777777" w:rsidR="00AB3DEA" w:rsidRPr="005B080A" w:rsidRDefault="00AB3DEA" w:rsidP="00AB3DEA">
      <w:pPr>
        <w:ind w:firstLine="720"/>
        <w:rPr>
          <w:rFonts w:ascii="Arial" w:hAnsi="Arial" w:cs="Arial"/>
          <w:b/>
          <w:sz w:val="24"/>
          <w:szCs w:val="24"/>
        </w:rPr>
      </w:pPr>
    </w:p>
    <w:p w14:paraId="1A41EE4A"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6E5F5C61" w14:textId="77777777"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F97BAB">
        <w:rPr>
          <w:rFonts w:ascii="Arial" w:hAnsi="Arial" w:cs="Arial"/>
          <w:b/>
          <w:sz w:val="24"/>
          <w:szCs w:val="24"/>
        </w:rPr>
        <w:t xml:space="preserve">Acting </w:t>
      </w:r>
      <w:r w:rsidRPr="005B080A">
        <w:rPr>
          <w:rFonts w:ascii="Arial" w:hAnsi="Arial" w:cs="Arial"/>
          <w:b/>
          <w:sz w:val="24"/>
          <w:szCs w:val="24"/>
        </w:rPr>
        <w:t>President</w:t>
      </w:r>
    </w:p>
    <w:p w14:paraId="5B67EAB9" w14:textId="77777777" w:rsidR="00AB3DEA" w:rsidRPr="005B080A" w:rsidRDefault="00805B98" w:rsidP="00AB3DEA">
      <w:pPr>
        <w:ind w:left="1440" w:firstLine="720"/>
        <w:jc w:val="both"/>
        <w:rPr>
          <w:rFonts w:ascii="Arial" w:hAnsi="Arial" w:cs="Arial"/>
          <w:b/>
          <w:sz w:val="24"/>
          <w:szCs w:val="24"/>
        </w:rPr>
      </w:pPr>
      <w:r>
        <w:rPr>
          <w:rFonts w:ascii="Arial" w:hAnsi="Arial" w:cs="Arial"/>
          <w:b/>
          <w:sz w:val="24"/>
          <w:szCs w:val="24"/>
        </w:rPr>
        <w:t xml:space="preserve">Francis </w:t>
      </w:r>
      <w:proofErr w:type="spellStart"/>
      <w:r>
        <w:rPr>
          <w:rFonts w:ascii="Arial" w:hAnsi="Arial" w:cs="Arial"/>
          <w:b/>
          <w:sz w:val="24"/>
          <w:szCs w:val="24"/>
        </w:rPr>
        <w:t>Supparayen</w:t>
      </w:r>
      <w:proofErr w:type="spellEnd"/>
      <w:r>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3CA4B437" w14:textId="77777777" w:rsidR="00AB3DEA" w:rsidRPr="005B080A" w:rsidRDefault="00805B98" w:rsidP="00AB3DEA">
      <w:pPr>
        <w:ind w:left="1440" w:firstLine="720"/>
        <w:jc w:val="both"/>
        <w:rPr>
          <w:rFonts w:ascii="Arial" w:hAnsi="Arial" w:cs="Arial"/>
          <w:b/>
          <w:sz w:val="24"/>
          <w:szCs w:val="24"/>
        </w:rPr>
      </w:pPr>
      <w:r>
        <w:rPr>
          <w:rFonts w:ascii="Arial" w:hAnsi="Arial" w:cs="Arial"/>
          <w:b/>
          <w:sz w:val="24"/>
          <w:szCs w:val="24"/>
        </w:rPr>
        <w:t xml:space="preserve">Rabin </w:t>
      </w:r>
      <w:proofErr w:type="spellStart"/>
      <w:r>
        <w:rPr>
          <w:rFonts w:ascii="Arial" w:hAnsi="Arial" w:cs="Arial"/>
          <w:b/>
          <w:sz w:val="24"/>
          <w:szCs w:val="24"/>
        </w:rPr>
        <w:t>Gungoo</w:t>
      </w:r>
      <w:proofErr w:type="spellEnd"/>
      <w:r>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15A2893C"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1C6CE0">
        <w:rPr>
          <w:rFonts w:ascii="Arial" w:hAnsi="Arial" w:cs="Arial"/>
          <w:b/>
          <w:sz w:val="24"/>
          <w:szCs w:val="24"/>
        </w:rPr>
        <w:t xml:space="preserve"> </w:t>
      </w:r>
      <w:proofErr w:type="spellStart"/>
      <w:r w:rsidR="00805B98">
        <w:rPr>
          <w:rFonts w:ascii="Arial" w:hAnsi="Arial" w:cs="Arial"/>
          <w:b/>
          <w:sz w:val="24"/>
          <w:szCs w:val="24"/>
        </w:rPr>
        <w:t>Arassen</w:t>
      </w:r>
      <w:proofErr w:type="spellEnd"/>
      <w:r w:rsidR="00805B98">
        <w:rPr>
          <w:rFonts w:ascii="Arial" w:hAnsi="Arial" w:cs="Arial"/>
          <w:b/>
          <w:sz w:val="24"/>
          <w:szCs w:val="24"/>
        </w:rPr>
        <w:t xml:space="preserve"> </w:t>
      </w:r>
      <w:proofErr w:type="spellStart"/>
      <w:r w:rsidR="00805B98">
        <w:rPr>
          <w:rFonts w:ascii="Arial" w:hAnsi="Arial" w:cs="Arial"/>
          <w:b/>
          <w:sz w:val="24"/>
          <w:szCs w:val="24"/>
        </w:rPr>
        <w:t>Kallee</w:t>
      </w:r>
      <w:proofErr w:type="spellEnd"/>
      <w:r w:rsidR="00805B98">
        <w:rPr>
          <w:rFonts w:ascii="Arial" w:hAnsi="Arial" w:cs="Arial"/>
          <w:b/>
          <w:sz w:val="24"/>
          <w:szCs w:val="24"/>
        </w:rPr>
        <w:tab/>
      </w:r>
      <w:r w:rsidR="001C6CE0">
        <w:rPr>
          <w:rFonts w:ascii="Arial" w:hAnsi="Arial" w:cs="Arial"/>
          <w:b/>
          <w:sz w:val="24"/>
          <w:szCs w:val="24"/>
        </w:rPr>
        <w:t xml:space="preserve">    </w:t>
      </w:r>
      <w:r w:rsidR="00CA6F27">
        <w:rPr>
          <w:rFonts w:ascii="Arial" w:hAnsi="Arial" w:cs="Arial"/>
          <w:b/>
          <w:sz w:val="24"/>
          <w:szCs w:val="24"/>
        </w:rPr>
        <w:t xml:space="preserve">      </w:t>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177781D0" w14:textId="77777777" w:rsidR="00215955" w:rsidRDefault="00215955" w:rsidP="00AB3DEA">
      <w:pPr>
        <w:rPr>
          <w:rFonts w:ascii="Arial" w:hAnsi="Arial" w:cs="Arial"/>
          <w:b/>
          <w:sz w:val="24"/>
          <w:szCs w:val="24"/>
        </w:rPr>
      </w:pPr>
    </w:p>
    <w:p w14:paraId="5EBBD92F"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6787CAFF" w14:textId="77777777" w:rsidR="00AB3DEA" w:rsidRPr="005B080A" w:rsidRDefault="00AB3DEA" w:rsidP="00AB3DEA">
      <w:pPr>
        <w:ind w:firstLine="720"/>
        <w:jc w:val="center"/>
        <w:rPr>
          <w:rFonts w:ascii="Arial" w:hAnsi="Arial" w:cs="Arial"/>
          <w:b/>
          <w:sz w:val="24"/>
          <w:szCs w:val="24"/>
        </w:rPr>
      </w:pPr>
      <w:proofErr w:type="spellStart"/>
      <w:r>
        <w:rPr>
          <w:rFonts w:ascii="Arial" w:hAnsi="Arial" w:cs="Arial"/>
          <w:b/>
          <w:sz w:val="24"/>
          <w:szCs w:val="24"/>
        </w:rPr>
        <w:t>Mr</w:t>
      </w:r>
      <w:proofErr w:type="spellEnd"/>
      <w:r>
        <w:rPr>
          <w:rFonts w:ascii="Arial" w:hAnsi="Arial" w:cs="Arial"/>
          <w:b/>
          <w:sz w:val="24"/>
          <w:szCs w:val="24"/>
        </w:rPr>
        <w:t xml:space="preserve"> </w:t>
      </w:r>
      <w:proofErr w:type="spellStart"/>
      <w:r w:rsidR="00805B98">
        <w:rPr>
          <w:rFonts w:ascii="Arial" w:hAnsi="Arial" w:cs="Arial"/>
          <w:b/>
          <w:sz w:val="24"/>
          <w:szCs w:val="24"/>
        </w:rPr>
        <w:t>Gulshan</w:t>
      </w:r>
      <w:proofErr w:type="spellEnd"/>
      <w:r w:rsidR="00805B98">
        <w:rPr>
          <w:rFonts w:ascii="Arial" w:hAnsi="Arial" w:cs="Arial"/>
          <w:b/>
          <w:sz w:val="24"/>
          <w:szCs w:val="24"/>
        </w:rPr>
        <w:t xml:space="preserve"> Raj </w:t>
      </w:r>
      <w:proofErr w:type="spellStart"/>
      <w:r w:rsidR="00805B98">
        <w:rPr>
          <w:rFonts w:ascii="Arial" w:hAnsi="Arial" w:cs="Arial"/>
          <w:b/>
          <w:sz w:val="24"/>
          <w:szCs w:val="24"/>
        </w:rPr>
        <w:t>Anand</w:t>
      </w:r>
      <w:proofErr w:type="spellEnd"/>
      <w:r w:rsidR="00805B98">
        <w:rPr>
          <w:rFonts w:ascii="Arial" w:hAnsi="Arial" w:cs="Arial"/>
          <w:b/>
          <w:sz w:val="24"/>
          <w:szCs w:val="24"/>
        </w:rPr>
        <w:t xml:space="preserve"> </w:t>
      </w:r>
      <w:proofErr w:type="spellStart"/>
      <w:r w:rsidR="00805B98">
        <w:rPr>
          <w:rFonts w:ascii="Arial" w:hAnsi="Arial" w:cs="Arial"/>
          <w:b/>
          <w:sz w:val="24"/>
          <w:szCs w:val="24"/>
        </w:rPr>
        <w:t>Teeluck</w:t>
      </w:r>
      <w:proofErr w:type="spellEnd"/>
      <w:r w:rsidRPr="005B080A">
        <w:rPr>
          <w:rFonts w:ascii="Arial" w:hAnsi="Arial" w:cs="Arial"/>
          <w:b/>
          <w:sz w:val="24"/>
          <w:szCs w:val="24"/>
        </w:rPr>
        <w:t xml:space="preserve"> (</w:t>
      </w:r>
      <w:r w:rsidR="00FB39E3">
        <w:rPr>
          <w:rFonts w:ascii="Arial" w:hAnsi="Arial" w:cs="Arial"/>
          <w:b/>
          <w:sz w:val="24"/>
          <w:szCs w:val="24"/>
        </w:rPr>
        <w:t>Disputant</w:t>
      </w:r>
      <w:r w:rsidR="00087A97">
        <w:rPr>
          <w:rFonts w:ascii="Arial" w:hAnsi="Arial" w:cs="Arial"/>
          <w:b/>
          <w:sz w:val="24"/>
          <w:szCs w:val="24"/>
        </w:rPr>
        <w:t xml:space="preserve"> </w:t>
      </w:r>
      <w:r w:rsidR="004B7A10">
        <w:rPr>
          <w:rFonts w:ascii="Arial" w:hAnsi="Arial" w:cs="Arial"/>
          <w:b/>
          <w:sz w:val="24"/>
          <w:szCs w:val="24"/>
        </w:rPr>
        <w:t>No.</w:t>
      </w:r>
      <w:r w:rsidR="00087A97">
        <w:rPr>
          <w:rFonts w:ascii="Arial" w:hAnsi="Arial" w:cs="Arial"/>
          <w:b/>
          <w:sz w:val="24"/>
          <w:szCs w:val="24"/>
        </w:rPr>
        <w:t xml:space="preserve"> 1</w:t>
      </w:r>
      <w:r w:rsidRPr="005B080A">
        <w:rPr>
          <w:rFonts w:ascii="Arial" w:hAnsi="Arial" w:cs="Arial"/>
          <w:b/>
          <w:sz w:val="24"/>
          <w:szCs w:val="24"/>
        </w:rPr>
        <w:t>)</w:t>
      </w:r>
    </w:p>
    <w:p w14:paraId="5F837A31"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51F396AC" w14:textId="77777777" w:rsidR="00AB3DEA" w:rsidRDefault="00805B98" w:rsidP="00AB3DEA">
      <w:pPr>
        <w:ind w:left="1440" w:firstLine="720"/>
        <w:jc w:val="center"/>
        <w:rPr>
          <w:rFonts w:ascii="Arial" w:hAnsi="Arial" w:cs="Arial"/>
          <w:b/>
          <w:sz w:val="28"/>
          <w:szCs w:val="28"/>
        </w:rPr>
      </w:pPr>
      <w:r>
        <w:rPr>
          <w:rFonts w:ascii="Arial" w:hAnsi="Arial" w:cs="Arial"/>
          <w:b/>
          <w:sz w:val="24"/>
          <w:szCs w:val="24"/>
        </w:rPr>
        <w:t xml:space="preserve">Mauritius Institute of Training &amp; Development </w:t>
      </w:r>
      <w:r w:rsidR="00AB3DEA" w:rsidRPr="005B080A">
        <w:rPr>
          <w:rFonts w:ascii="Arial" w:hAnsi="Arial" w:cs="Arial"/>
          <w:b/>
          <w:sz w:val="24"/>
          <w:szCs w:val="24"/>
        </w:rPr>
        <w:t>(Respondent</w:t>
      </w:r>
      <w:r w:rsidR="00AB3DEA" w:rsidRPr="00906543">
        <w:rPr>
          <w:rFonts w:ascii="Arial" w:hAnsi="Arial" w:cs="Arial"/>
          <w:b/>
          <w:sz w:val="28"/>
          <w:szCs w:val="28"/>
        </w:rPr>
        <w:t>)</w:t>
      </w:r>
    </w:p>
    <w:p w14:paraId="08E81B68" w14:textId="77777777" w:rsidR="00CA6F27" w:rsidRDefault="00CA6F27" w:rsidP="00F33410">
      <w:pPr>
        <w:ind w:firstLine="720"/>
        <w:jc w:val="center"/>
        <w:rPr>
          <w:rFonts w:ascii="Arial" w:hAnsi="Arial" w:cs="Arial"/>
          <w:b/>
          <w:sz w:val="24"/>
          <w:szCs w:val="24"/>
        </w:rPr>
      </w:pPr>
    </w:p>
    <w:p w14:paraId="4B700CDE" w14:textId="77777777" w:rsidR="00F33410" w:rsidRPr="005B080A" w:rsidRDefault="00F33410" w:rsidP="00F33410">
      <w:pPr>
        <w:ind w:firstLine="720"/>
        <w:jc w:val="center"/>
        <w:rPr>
          <w:rFonts w:ascii="Arial" w:hAnsi="Arial" w:cs="Arial"/>
          <w:b/>
          <w:sz w:val="24"/>
          <w:szCs w:val="24"/>
        </w:rPr>
      </w:pPr>
      <w:proofErr w:type="spellStart"/>
      <w:r>
        <w:rPr>
          <w:rFonts w:ascii="Arial" w:hAnsi="Arial" w:cs="Arial"/>
          <w:b/>
          <w:sz w:val="24"/>
          <w:szCs w:val="24"/>
        </w:rPr>
        <w:t>Mr</w:t>
      </w:r>
      <w:r w:rsidR="00805B98">
        <w:rPr>
          <w:rFonts w:ascii="Arial" w:hAnsi="Arial" w:cs="Arial"/>
          <w:b/>
          <w:sz w:val="24"/>
          <w:szCs w:val="24"/>
        </w:rPr>
        <w:t>s</w:t>
      </w:r>
      <w:proofErr w:type="spellEnd"/>
      <w:r w:rsidRPr="005B080A">
        <w:rPr>
          <w:rFonts w:ascii="Arial" w:hAnsi="Arial" w:cs="Arial"/>
          <w:b/>
          <w:sz w:val="24"/>
          <w:szCs w:val="24"/>
        </w:rPr>
        <w:t xml:space="preserve"> </w:t>
      </w:r>
      <w:r w:rsidR="00805B98">
        <w:rPr>
          <w:rFonts w:ascii="Arial" w:hAnsi="Arial" w:cs="Arial"/>
          <w:b/>
          <w:sz w:val="24"/>
          <w:szCs w:val="24"/>
        </w:rPr>
        <w:t xml:space="preserve">Pamela </w:t>
      </w:r>
      <w:proofErr w:type="spellStart"/>
      <w:r w:rsidR="00805B98">
        <w:rPr>
          <w:rFonts w:ascii="Arial" w:hAnsi="Arial" w:cs="Arial"/>
          <w:b/>
          <w:sz w:val="24"/>
          <w:szCs w:val="24"/>
        </w:rPr>
        <w:t>Narainsamy</w:t>
      </w:r>
      <w:proofErr w:type="spellEnd"/>
      <w:r w:rsidR="00805B98">
        <w:rPr>
          <w:rFonts w:ascii="Arial" w:hAnsi="Arial" w:cs="Arial"/>
          <w:b/>
          <w:sz w:val="24"/>
          <w:szCs w:val="24"/>
        </w:rPr>
        <w:t xml:space="preserve"> </w:t>
      </w:r>
      <w:r w:rsidRPr="005B080A">
        <w:rPr>
          <w:rFonts w:ascii="Arial" w:hAnsi="Arial" w:cs="Arial"/>
          <w:b/>
          <w:sz w:val="24"/>
          <w:szCs w:val="24"/>
        </w:rPr>
        <w:t>(</w:t>
      </w:r>
      <w:r>
        <w:rPr>
          <w:rFonts w:ascii="Arial" w:hAnsi="Arial" w:cs="Arial"/>
          <w:b/>
          <w:sz w:val="24"/>
          <w:szCs w:val="24"/>
        </w:rPr>
        <w:t xml:space="preserve">Disputant </w:t>
      </w:r>
      <w:r w:rsidR="004B7A10">
        <w:rPr>
          <w:rFonts w:ascii="Arial" w:hAnsi="Arial" w:cs="Arial"/>
          <w:b/>
          <w:sz w:val="24"/>
          <w:szCs w:val="24"/>
        </w:rPr>
        <w:t>No.</w:t>
      </w:r>
      <w:r>
        <w:rPr>
          <w:rFonts w:ascii="Arial" w:hAnsi="Arial" w:cs="Arial"/>
          <w:b/>
          <w:sz w:val="24"/>
          <w:szCs w:val="24"/>
        </w:rPr>
        <w:t xml:space="preserve"> 2</w:t>
      </w:r>
      <w:r w:rsidRPr="005B080A">
        <w:rPr>
          <w:rFonts w:ascii="Arial" w:hAnsi="Arial" w:cs="Arial"/>
          <w:b/>
          <w:sz w:val="24"/>
          <w:szCs w:val="24"/>
        </w:rPr>
        <w:t>)</w:t>
      </w:r>
    </w:p>
    <w:p w14:paraId="24AA814F" w14:textId="77777777" w:rsidR="00F33410" w:rsidRPr="005B080A" w:rsidRDefault="00F33410" w:rsidP="00F33410">
      <w:pPr>
        <w:jc w:val="center"/>
        <w:rPr>
          <w:rFonts w:ascii="Arial" w:hAnsi="Arial" w:cs="Arial"/>
          <w:b/>
          <w:sz w:val="24"/>
          <w:szCs w:val="24"/>
        </w:rPr>
      </w:pPr>
      <w:r w:rsidRPr="005B080A">
        <w:rPr>
          <w:rFonts w:ascii="Arial" w:hAnsi="Arial" w:cs="Arial"/>
          <w:b/>
          <w:sz w:val="24"/>
          <w:szCs w:val="24"/>
        </w:rPr>
        <w:t>And</w:t>
      </w:r>
    </w:p>
    <w:p w14:paraId="3C2F7350" w14:textId="77777777" w:rsidR="00F33410" w:rsidRDefault="00805B98" w:rsidP="00F33410">
      <w:pPr>
        <w:ind w:left="1440" w:firstLine="720"/>
        <w:jc w:val="center"/>
        <w:rPr>
          <w:rFonts w:ascii="Arial" w:hAnsi="Arial" w:cs="Arial"/>
          <w:b/>
          <w:sz w:val="28"/>
          <w:szCs w:val="28"/>
        </w:rPr>
      </w:pPr>
      <w:r>
        <w:rPr>
          <w:rFonts w:ascii="Arial" w:hAnsi="Arial" w:cs="Arial"/>
          <w:b/>
          <w:sz w:val="24"/>
          <w:szCs w:val="24"/>
        </w:rPr>
        <w:t>Mauritius Institute of Training &amp; Development</w:t>
      </w:r>
      <w:r w:rsidR="001C6CE0" w:rsidRPr="005B080A">
        <w:rPr>
          <w:rFonts w:ascii="Arial" w:hAnsi="Arial" w:cs="Arial"/>
          <w:b/>
          <w:sz w:val="24"/>
          <w:szCs w:val="24"/>
        </w:rPr>
        <w:t xml:space="preserve"> </w:t>
      </w:r>
      <w:r w:rsidR="00F33410" w:rsidRPr="005B080A">
        <w:rPr>
          <w:rFonts w:ascii="Arial" w:hAnsi="Arial" w:cs="Arial"/>
          <w:b/>
          <w:sz w:val="24"/>
          <w:szCs w:val="24"/>
        </w:rPr>
        <w:t>(Respondent</w:t>
      </w:r>
      <w:r w:rsidR="00F33410" w:rsidRPr="00906543">
        <w:rPr>
          <w:rFonts w:ascii="Arial" w:hAnsi="Arial" w:cs="Arial"/>
          <w:b/>
          <w:sz w:val="28"/>
          <w:szCs w:val="28"/>
        </w:rPr>
        <w:t>)</w:t>
      </w:r>
    </w:p>
    <w:p w14:paraId="0367A613" w14:textId="77777777" w:rsidR="00F33410" w:rsidRDefault="00F33410" w:rsidP="00F33410">
      <w:pPr>
        <w:ind w:left="1440" w:firstLine="720"/>
        <w:jc w:val="center"/>
        <w:rPr>
          <w:rFonts w:ascii="Arial" w:hAnsi="Arial" w:cs="Arial"/>
          <w:b/>
          <w:sz w:val="28"/>
          <w:szCs w:val="28"/>
        </w:rPr>
      </w:pPr>
    </w:p>
    <w:p w14:paraId="3A5ACA7E" w14:textId="77777777" w:rsidR="00800201" w:rsidRDefault="00FB39E3" w:rsidP="00AB3DEA">
      <w:pPr>
        <w:jc w:val="both"/>
        <w:rPr>
          <w:rFonts w:ascii="Arial" w:hAnsi="Arial" w:cs="Arial"/>
          <w:sz w:val="24"/>
          <w:szCs w:val="24"/>
        </w:rPr>
      </w:pPr>
      <w:r w:rsidRPr="00FB39E3">
        <w:rPr>
          <w:rFonts w:ascii="Arial" w:hAnsi="Arial" w:cs="Arial"/>
          <w:sz w:val="24"/>
          <w:szCs w:val="24"/>
        </w:rPr>
        <w:t xml:space="preserve">The </w:t>
      </w:r>
      <w:r w:rsidR="00087A97">
        <w:rPr>
          <w:rFonts w:ascii="Arial" w:hAnsi="Arial" w:cs="Arial"/>
          <w:sz w:val="24"/>
          <w:szCs w:val="24"/>
        </w:rPr>
        <w:t>above</w:t>
      </w:r>
      <w:r w:rsidRPr="00FB39E3">
        <w:rPr>
          <w:rFonts w:ascii="Arial" w:hAnsi="Arial" w:cs="Arial"/>
          <w:sz w:val="24"/>
          <w:szCs w:val="24"/>
        </w:rPr>
        <w:t xml:space="preserve"> </w:t>
      </w:r>
      <w:r w:rsidR="00394FF7">
        <w:rPr>
          <w:rFonts w:ascii="Arial" w:hAnsi="Arial" w:cs="Arial"/>
          <w:sz w:val="24"/>
          <w:szCs w:val="24"/>
        </w:rPr>
        <w:t xml:space="preserve">two </w:t>
      </w:r>
      <w:r w:rsidR="00087A97">
        <w:rPr>
          <w:rFonts w:ascii="Arial" w:hAnsi="Arial" w:cs="Arial"/>
          <w:sz w:val="24"/>
          <w:szCs w:val="24"/>
        </w:rPr>
        <w:t>cases</w:t>
      </w:r>
      <w:r w:rsidRPr="00FB39E3">
        <w:rPr>
          <w:rFonts w:ascii="Arial" w:hAnsi="Arial" w:cs="Arial"/>
          <w:sz w:val="24"/>
          <w:szCs w:val="24"/>
        </w:rPr>
        <w:t xml:space="preserve"> </w:t>
      </w:r>
      <w:r w:rsidR="00394FF7">
        <w:rPr>
          <w:rFonts w:ascii="Arial" w:hAnsi="Arial" w:cs="Arial"/>
          <w:sz w:val="24"/>
          <w:szCs w:val="24"/>
        </w:rPr>
        <w:t>were r</w:t>
      </w:r>
      <w:r w:rsidRPr="00FB39E3">
        <w:rPr>
          <w:rFonts w:ascii="Arial" w:hAnsi="Arial" w:cs="Arial"/>
          <w:sz w:val="24"/>
          <w:szCs w:val="24"/>
        </w:rPr>
        <w:t xml:space="preserve">eferred to the Tribunal by the Commission for Conciliation and Mediation under </w:t>
      </w:r>
      <w:r w:rsidR="00CA6F27">
        <w:rPr>
          <w:rFonts w:ascii="Arial" w:hAnsi="Arial" w:cs="Arial"/>
          <w:sz w:val="24"/>
          <w:szCs w:val="24"/>
        </w:rPr>
        <w:t xml:space="preserve">the then </w:t>
      </w:r>
      <w:r w:rsidRPr="00FB39E3">
        <w:rPr>
          <w:rFonts w:ascii="Arial" w:hAnsi="Arial" w:cs="Arial"/>
          <w:sz w:val="24"/>
          <w:szCs w:val="24"/>
        </w:rPr>
        <w:t xml:space="preserve">Section 69(7) </w:t>
      </w:r>
      <w:r w:rsidR="00800201">
        <w:rPr>
          <w:rFonts w:ascii="Arial" w:hAnsi="Arial" w:cs="Arial"/>
          <w:sz w:val="24"/>
          <w:szCs w:val="24"/>
        </w:rPr>
        <w:t xml:space="preserve">(repealed since then by section 21 of the Employment Relations (Amendment) Act 2019) </w:t>
      </w:r>
      <w:r w:rsidRPr="00FB39E3">
        <w:rPr>
          <w:rFonts w:ascii="Arial" w:hAnsi="Arial" w:cs="Arial"/>
          <w:sz w:val="24"/>
          <w:szCs w:val="24"/>
        </w:rPr>
        <w:t xml:space="preserve">of the Employment Relations Act (hereinafter referred to as “the Act”). </w:t>
      </w:r>
      <w:r>
        <w:rPr>
          <w:rFonts w:ascii="Arial" w:hAnsi="Arial" w:cs="Arial"/>
          <w:sz w:val="24"/>
          <w:szCs w:val="24"/>
        </w:rPr>
        <w:t xml:space="preserve"> </w:t>
      </w:r>
      <w:r w:rsidR="00692AC8">
        <w:rPr>
          <w:rFonts w:ascii="Arial" w:hAnsi="Arial" w:cs="Arial"/>
          <w:sz w:val="24"/>
          <w:szCs w:val="24"/>
        </w:rPr>
        <w:t xml:space="preserve">Section 29 of </w:t>
      </w:r>
      <w:r w:rsidR="00800201">
        <w:rPr>
          <w:rFonts w:ascii="Arial" w:hAnsi="Arial" w:cs="Arial"/>
          <w:sz w:val="24"/>
          <w:szCs w:val="24"/>
        </w:rPr>
        <w:t xml:space="preserve">the Employment Relations (Amendment) Act 2019 </w:t>
      </w:r>
      <w:r w:rsidR="00692AC8">
        <w:rPr>
          <w:rFonts w:ascii="Arial" w:hAnsi="Arial" w:cs="Arial"/>
          <w:sz w:val="24"/>
          <w:szCs w:val="24"/>
        </w:rPr>
        <w:t xml:space="preserve">which amends the </w:t>
      </w:r>
      <w:r w:rsidR="00692AC8" w:rsidRPr="00692AC8">
        <w:rPr>
          <w:rFonts w:ascii="Arial" w:hAnsi="Arial" w:cs="Arial"/>
          <w:i/>
          <w:sz w:val="24"/>
          <w:szCs w:val="24"/>
        </w:rPr>
        <w:t>Transitional provisions</w:t>
      </w:r>
      <w:r w:rsidR="00692AC8">
        <w:rPr>
          <w:rFonts w:ascii="Arial" w:hAnsi="Arial" w:cs="Arial"/>
          <w:sz w:val="24"/>
          <w:szCs w:val="24"/>
        </w:rPr>
        <w:t xml:space="preserve"> at section 108 of the Act </w:t>
      </w:r>
      <w:r w:rsidR="00800201">
        <w:rPr>
          <w:rFonts w:ascii="Arial" w:hAnsi="Arial" w:cs="Arial"/>
          <w:sz w:val="24"/>
          <w:szCs w:val="24"/>
        </w:rPr>
        <w:t>provide</w:t>
      </w:r>
      <w:r w:rsidR="00692AC8">
        <w:rPr>
          <w:rFonts w:ascii="Arial" w:hAnsi="Arial" w:cs="Arial"/>
          <w:sz w:val="24"/>
          <w:szCs w:val="24"/>
        </w:rPr>
        <w:t>s</w:t>
      </w:r>
      <w:r w:rsidR="00800201">
        <w:rPr>
          <w:rFonts w:ascii="Arial" w:hAnsi="Arial" w:cs="Arial"/>
          <w:sz w:val="24"/>
          <w:szCs w:val="24"/>
        </w:rPr>
        <w:t xml:space="preserve"> (at section 108(</w:t>
      </w:r>
      <w:r w:rsidR="00692AC8">
        <w:rPr>
          <w:rFonts w:ascii="Arial" w:hAnsi="Arial" w:cs="Arial"/>
          <w:sz w:val="24"/>
          <w:szCs w:val="24"/>
        </w:rPr>
        <w:t>9</w:t>
      </w:r>
      <w:r w:rsidR="00800201">
        <w:rPr>
          <w:rFonts w:ascii="Arial" w:hAnsi="Arial" w:cs="Arial"/>
          <w:sz w:val="24"/>
          <w:szCs w:val="24"/>
        </w:rPr>
        <w:t>) of the Act as amended) that “</w:t>
      </w:r>
      <w:r w:rsidR="00800201" w:rsidRPr="00BE0662">
        <w:rPr>
          <w:rFonts w:ascii="Arial" w:hAnsi="Arial" w:cs="Arial"/>
          <w:i/>
          <w:sz w:val="24"/>
          <w:szCs w:val="24"/>
        </w:rPr>
        <w:t xml:space="preserve">Any </w:t>
      </w:r>
      <w:proofErr w:type="spellStart"/>
      <w:r w:rsidR="00800201" w:rsidRPr="00BE0662">
        <w:rPr>
          <w:rFonts w:ascii="Arial" w:hAnsi="Arial" w:cs="Arial"/>
          <w:i/>
          <w:sz w:val="24"/>
          <w:szCs w:val="24"/>
        </w:rPr>
        <w:t>labour</w:t>
      </w:r>
      <w:proofErr w:type="spellEnd"/>
      <w:r w:rsidR="00800201" w:rsidRPr="00BE0662">
        <w:rPr>
          <w:rFonts w:ascii="Arial" w:hAnsi="Arial" w:cs="Arial"/>
          <w:i/>
          <w:sz w:val="24"/>
          <w:szCs w:val="24"/>
        </w:rPr>
        <w:t xml:space="preserve"> dispute </w:t>
      </w:r>
      <w:r w:rsidR="00692AC8">
        <w:rPr>
          <w:rFonts w:ascii="Arial" w:hAnsi="Arial" w:cs="Arial"/>
          <w:i/>
          <w:sz w:val="24"/>
          <w:szCs w:val="24"/>
        </w:rPr>
        <w:t xml:space="preserve">pending immediately before the commencement of the Employment Relations (Amendment) Act 2019 before the Tribunal </w:t>
      </w:r>
      <w:r w:rsidR="00BE0662" w:rsidRPr="00BE0662">
        <w:rPr>
          <w:rFonts w:ascii="Arial" w:hAnsi="Arial" w:cs="Arial"/>
          <w:i/>
          <w:sz w:val="24"/>
          <w:szCs w:val="24"/>
        </w:rPr>
        <w:t xml:space="preserve">shall be dealt with in accordance with Part VI as if </w:t>
      </w:r>
      <w:r w:rsidR="00692AC8">
        <w:rPr>
          <w:rFonts w:ascii="Arial" w:hAnsi="Arial" w:cs="Arial"/>
          <w:i/>
          <w:sz w:val="24"/>
          <w:szCs w:val="24"/>
        </w:rPr>
        <w:t>the definition of “</w:t>
      </w:r>
      <w:proofErr w:type="spellStart"/>
      <w:r w:rsidR="00692AC8">
        <w:rPr>
          <w:rFonts w:ascii="Arial" w:hAnsi="Arial" w:cs="Arial"/>
          <w:i/>
          <w:sz w:val="24"/>
          <w:szCs w:val="24"/>
        </w:rPr>
        <w:t>labour</w:t>
      </w:r>
      <w:proofErr w:type="spellEnd"/>
      <w:r w:rsidR="00692AC8">
        <w:rPr>
          <w:rFonts w:ascii="Arial" w:hAnsi="Arial" w:cs="Arial"/>
          <w:i/>
          <w:sz w:val="24"/>
          <w:szCs w:val="24"/>
        </w:rPr>
        <w:t xml:space="preserve"> dispute” in section 2 and </w:t>
      </w:r>
      <w:r w:rsidR="00BE0662" w:rsidRPr="00BE0662">
        <w:rPr>
          <w:rFonts w:ascii="Arial" w:hAnsi="Arial" w:cs="Arial"/>
          <w:i/>
          <w:sz w:val="24"/>
          <w:szCs w:val="24"/>
        </w:rPr>
        <w:t>sections 64, 65,</w:t>
      </w:r>
      <w:r w:rsidR="00BE0662">
        <w:rPr>
          <w:rFonts w:ascii="Arial" w:hAnsi="Arial" w:cs="Arial"/>
          <w:i/>
          <w:sz w:val="24"/>
          <w:szCs w:val="24"/>
        </w:rPr>
        <w:t xml:space="preserve"> </w:t>
      </w:r>
      <w:r w:rsidR="00BE0662" w:rsidRPr="00BE0662">
        <w:rPr>
          <w:rFonts w:ascii="Arial" w:hAnsi="Arial" w:cs="Arial"/>
          <w:i/>
          <w:sz w:val="24"/>
          <w:szCs w:val="24"/>
        </w:rPr>
        <w:t>69,</w:t>
      </w:r>
      <w:r w:rsidR="00BE0662">
        <w:rPr>
          <w:rFonts w:ascii="Arial" w:hAnsi="Arial" w:cs="Arial"/>
          <w:i/>
          <w:sz w:val="24"/>
          <w:szCs w:val="24"/>
        </w:rPr>
        <w:t xml:space="preserve"> </w:t>
      </w:r>
      <w:r w:rsidR="00BE0662" w:rsidRPr="00BE0662">
        <w:rPr>
          <w:rFonts w:ascii="Arial" w:hAnsi="Arial" w:cs="Arial"/>
          <w:i/>
          <w:sz w:val="24"/>
          <w:szCs w:val="24"/>
        </w:rPr>
        <w:t xml:space="preserve">70, 76, 78 and 88 </w:t>
      </w:r>
      <w:r w:rsidR="00BE0662" w:rsidRPr="00BE0662">
        <w:rPr>
          <w:rFonts w:ascii="Arial" w:hAnsi="Arial" w:cs="Arial"/>
          <w:i/>
          <w:sz w:val="24"/>
          <w:szCs w:val="24"/>
        </w:rPr>
        <w:lastRenderedPageBreak/>
        <w:t>have not been amended or repealed and replaced</w:t>
      </w:r>
      <w:r w:rsidR="00BE0662">
        <w:rPr>
          <w:rFonts w:ascii="Arial" w:hAnsi="Arial" w:cs="Arial"/>
          <w:sz w:val="24"/>
          <w:szCs w:val="24"/>
        </w:rPr>
        <w:t>.”</w:t>
      </w:r>
      <w:r w:rsidR="00800201">
        <w:rPr>
          <w:rFonts w:ascii="Arial" w:hAnsi="Arial" w:cs="Arial"/>
          <w:sz w:val="24"/>
          <w:szCs w:val="24"/>
        </w:rPr>
        <w:t xml:space="preserve">  </w:t>
      </w:r>
      <w:r w:rsidR="00970A22">
        <w:rPr>
          <w:rFonts w:ascii="Arial" w:hAnsi="Arial" w:cs="Arial"/>
          <w:sz w:val="24"/>
          <w:szCs w:val="24"/>
        </w:rPr>
        <w:t>T</w:t>
      </w:r>
      <w:r w:rsidR="00BE0662">
        <w:rPr>
          <w:rFonts w:ascii="Arial" w:hAnsi="Arial" w:cs="Arial"/>
          <w:sz w:val="24"/>
          <w:szCs w:val="24"/>
        </w:rPr>
        <w:t>he present dispute</w:t>
      </w:r>
      <w:r w:rsidR="007E3282">
        <w:rPr>
          <w:rFonts w:ascii="Arial" w:hAnsi="Arial" w:cs="Arial"/>
          <w:sz w:val="24"/>
          <w:szCs w:val="24"/>
        </w:rPr>
        <w:t>s</w:t>
      </w:r>
      <w:r w:rsidR="00BE0662">
        <w:rPr>
          <w:rFonts w:ascii="Arial" w:hAnsi="Arial" w:cs="Arial"/>
          <w:sz w:val="24"/>
          <w:szCs w:val="24"/>
        </w:rPr>
        <w:t xml:space="preserve"> w</w:t>
      </w:r>
      <w:r w:rsidR="007E3282">
        <w:rPr>
          <w:rFonts w:ascii="Arial" w:hAnsi="Arial" w:cs="Arial"/>
          <w:sz w:val="24"/>
          <w:szCs w:val="24"/>
        </w:rPr>
        <w:t>ere</w:t>
      </w:r>
      <w:r w:rsidR="00BE0662">
        <w:rPr>
          <w:rFonts w:ascii="Arial" w:hAnsi="Arial" w:cs="Arial"/>
          <w:sz w:val="24"/>
          <w:szCs w:val="24"/>
        </w:rPr>
        <w:t xml:space="preserve"> reported to the President of the Commission for Conciliation and Mediation on 1</w:t>
      </w:r>
      <w:r w:rsidR="00123DD2">
        <w:rPr>
          <w:rFonts w:ascii="Arial" w:hAnsi="Arial" w:cs="Arial"/>
          <w:sz w:val="24"/>
          <w:szCs w:val="24"/>
        </w:rPr>
        <w:t>9 October 2016 and 4 October 2016 respectively</w:t>
      </w:r>
      <w:r w:rsidR="00970A22">
        <w:rPr>
          <w:rFonts w:ascii="Arial" w:hAnsi="Arial" w:cs="Arial"/>
          <w:sz w:val="24"/>
          <w:szCs w:val="24"/>
        </w:rPr>
        <w:t xml:space="preserve"> and were referred to the Tribunal on 24 September 2018 and 25 September 2018 respectively</w:t>
      </w:r>
      <w:r w:rsidR="00BE0662">
        <w:rPr>
          <w:rFonts w:ascii="Arial" w:hAnsi="Arial" w:cs="Arial"/>
          <w:sz w:val="24"/>
          <w:szCs w:val="24"/>
        </w:rPr>
        <w:t>, that is, before the commencement of the Employment Relations (Amendment) Act 2019.  The Tribunal thus proceeded to hear the case</w:t>
      </w:r>
      <w:r w:rsidR="007E3282">
        <w:rPr>
          <w:rFonts w:ascii="Arial" w:hAnsi="Arial" w:cs="Arial"/>
          <w:sz w:val="24"/>
          <w:szCs w:val="24"/>
        </w:rPr>
        <w:t>s</w:t>
      </w:r>
      <w:r w:rsidR="00BE0662">
        <w:rPr>
          <w:rFonts w:ascii="Arial" w:hAnsi="Arial" w:cs="Arial"/>
          <w:sz w:val="24"/>
          <w:szCs w:val="24"/>
        </w:rPr>
        <w:t xml:space="preserve"> </w:t>
      </w:r>
      <w:r w:rsidR="0047016A">
        <w:rPr>
          <w:rFonts w:ascii="Arial" w:hAnsi="Arial" w:cs="Arial"/>
          <w:sz w:val="24"/>
          <w:szCs w:val="24"/>
        </w:rPr>
        <w:t xml:space="preserve">on the basis that </w:t>
      </w:r>
      <w:r w:rsidR="00BE0662">
        <w:rPr>
          <w:rFonts w:ascii="Arial" w:hAnsi="Arial" w:cs="Arial"/>
          <w:sz w:val="24"/>
          <w:szCs w:val="24"/>
        </w:rPr>
        <w:t xml:space="preserve">the then section 69 of the Act had not been repealed and replaced.  </w:t>
      </w:r>
    </w:p>
    <w:p w14:paraId="48172854" w14:textId="77777777" w:rsidR="00FB39E3" w:rsidRDefault="00123DD2" w:rsidP="00394FF7">
      <w:pPr>
        <w:pStyle w:val="NormalWeb"/>
        <w:spacing w:before="0" w:beforeAutospacing="0" w:after="315" w:afterAutospacing="0" w:line="315" w:lineRule="atLeast"/>
        <w:jc w:val="both"/>
        <w:rPr>
          <w:rFonts w:ascii="Arial" w:hAnsi="Arial" w:cs="Arial"/>
        </w:rPr>
      </w:pPr>
      <w:r>
        <w:rPr>
          <w:rFonts w:ascii="Arial" w:hAnsi="Arial" w:cs="Arial"/>
        </w:rPr>
        <w:t>All</w:t>
      </w:r>
      <w:r w:rsidR="001349A3">
        <w:rPr>
          <w:rFonts w:ascii="Arial" w:hAnsi="Arial" w:cs="Arial"/>
        </w:rPr>
        <w:t xml:space="preserve"> parties were assisted by Counsel</w:t>
      </w:r>
      <w:r w:rsidR="00EB609C">
        <w:rPr>
          <w:rFonts w:ascii="Arial" w:hAnsi="Arial" w:cs="Arial"/>
        </w:rPr>
        <w:t xml:space="preserve"> </w:t>
      </w:r>
      <w:r>
        <w:rPr>
          <w:rFonts w:ascii="Arial" w:hAnsi="Arial" w:cs="Arial"/>
        </w:rPr>
        <w:t xml:space="preserve">and the two cases which raise similar issues were consolidated.  </w:t>
      </w:r>
      <w:r w:rsidR="00FB39E3" w:rsidRPr="00FB39E3">
        <w:rPr>
          <w:rFonts w:ascii="Arial" w:hAnsi="Arial" w:cs="Arial"/>
        </w:rPr>
        <w:t xml:space="preserve">The terms of reference </w:t>
      </w:r>
      <w:r w:rsidR="00251C54">
        <w:rPr>
          <w:rFonts w:ascii="Arial" w:hAnsi="Arial" w:cs="Arial"/>
        </w:rPr>
        <w:t>are</w:t>
      </w:r>
      <w:r w:rsidR="00F33410">
        <w:rPr>
          <w:rFonts w:ascii="Arial" w:hAnsi="Arial" w:cs="Arial"/>
        </w:rPr>
        <w:t xml:space="preserve"> </w:t>
      </w:r>
      <w:r w:rsidR="00EA2B3B">
        <w:rPr>
          <w:rFonts w:ascii="Arial" w:hAnsi="Arial" w:cs="Arial"/>
        </w:rPr>
        <w:t>similar</w:t>
      </w:r>
      <w:r w:rsidR="00F33410">
        <w:rPr>
          <w:rFonts w:ascii="Arial" w:hAnsi="Arial" w:cs="Arial"/>
        </w:rPr>
        <w:t xml:space="preserve"> </w:t>
      </w:r>
      <w:r w:rsidR="0096359A">
        <w:rPr>
          <w:rFonts w:ascii="Arial" w:hAnsi="Arial" w:cs="Arial"/>
        </w:rPr>
        <w:t>i</w:t>
      </w:r>
      <w:r w:rsidR="00F33410">
        <w:rPr>
          <w:rFonts w:ascii="Arial" w:hAnsi="Arial" w:cs="Arial"/>
        </w:rPr>
        <w:t xml:space="preserve">n </w:t>
      </w:r>
      <w:r w:rsidR="00EB609C">
        <w:rPr>
          <w:rFonts w:ascii="Arial" w:hAnsi="Arial" w:cs="Arial"/>
        </w:rPr>
        <w:t>both</w:t>
      </w:r>
      <w:r w:rsidR="00F33410">
        <w:rPr>
          <w:rFonts w:ascii="Arial" w:hAnsi="Arial" w:cs="Arial"/>
        </w:rPr>
        <w:t xml:space="preserve"> cases and read as </w:t>
      </w:r>
      <w:r w:rsidR="00FB39E3" w:rsidRPr="00FB39E3">
        <w:rPr>
          <w:rFonts w:ascii="Arial" w:hAnsi="Arial" w:cs="Arial"/>
        </w:rPr>
        <w:t xml:space="preserve">follows: </w:t>
      </w:r>
    </w:p>
    <w:p w14:paraId="3B72EF37" w14:textId="77777777" w:rsidR="00123DD2" w:rsidRDefault="00123DD2" w:rsidP="00394FF7">
      <w:pPr>
        <w:pStyle w:val="NormalWeb"/>
        <w:spacing w:before="0" w:beforeAutospacing="0" w:after="315" w:afterAutospacing="0" w:line="315" w:lineRule="atLeast"/>
        <w:jc w:val="both"/>
        <w:rPr>
          <w:rFonts w:ascii="Arial" w:hAnsi="Arial" w:cs="Arial"/>
        </w:rPr>
      </w:pPr>
      <w:r w:rsidRPr="00123DD2">
        <w:rPr>
          <w:rFonts w:ascii="Arial" w:hAnsi="Arial" w:cs="Arial"/>
          <w:i/>
        </w:rPr>
        <w:t>“Whether, I</w:t>
      </w:r>
      <w:proofErr w:type="gramStart"/>
      <w:r w:rsidRPr="00123DD2">
        <w:rPr>
          <w:rFonts w:ascii="Arial" w:hAnsi="Arial" w:cs="Arial"/>
        </w:rPr>
        <w:t>,[</w:t>
      </w:r>
      <w:proofErr w:type="gramEnd"/>
      <w:r w:rsidRPr="00123DD2">
        <w:rPr>
          <w:rFonts w:ascii="Arial" w:hAnsi="Arial" w:cs="Arial"/>
        </w:rPr>
        <w:t xml:space="preserve"> ….]</w:t>
      </w:r>
      <w:r w:rsidRPr="00123DD2">
        <w:rPr>
          <w:rFonts w:ascii="Arial" w:hAnsi="Arial" w:cs="Arial"/>
          <w:i/>
        </w:rPr>
        <w:t xml:space="preserve">, should be appointed as Coordinator at </w:t>
      </w:r>
      <w:proofErr w:type="spellStart"/>
      <w:r w:rsidRPr="00123DD2">
        <w:rPr>
          <w:rFonts w:ascii="Arial" w:hAnsi="Arial" w:cs="Arial"/>
          <w:i/>
        </w:rPr>
        <w:t>Ecole</w:t>
      </w:r>
      <w:proofErr w:type="spellEnd"/>
      <w:r w:rsidRPr="00123DD2">
        <w:rPr>
          <w:rFonts w:ascii="Arial" w:hAnsi="Arial" w:cs="Arial"/>
          <w:i/>
        </w:rPr>
        <w:t xml:space="preserve"> </w:t>
      </w:r>
      <w:proofErr w:type="spellStart"/>
      <w:r w:rsidRPr="00123DD2">
        <w:rPr>
          <w:rFonts w:ascii="Arial" w:hAnsi="Arial" w:cs="Arial"/>
          <w:i/>
        </w:rPr>
        <w:t>Hoteliere</w:t>
      </w:r>
      <w:proofErr w:type="spellEnd"/>
      <w:r w:rsidRPr="00123DD2">
        <w:rPr>
          <w:rFonts w:ascii="Arial" w:hAnsi="Arial" w:cs="Arial"/>
          <w:i/>
        </w:rPr>
        <w:t xml:space="preserve"> Sir </w:t>
      </w:r>
      <w:proofErr w:type="spellStart"/>
      <w:r w:rsidRPr="00123DD2">
        <w:rPr>
          <w:rFonts w:ascii="Arial" w:hAnsi="Arial" w:cs="Arial"/>
          <w:i/>
        </w:rPr>
        <w:t>Gaetan</w:t>
      </w:r>
      <w:proofErr w:type="spellEnd"/>
      <w:r w:rsidRPr="00123DD2">
        <w:rPr>
          <w:rFonts w:ascii="Arial" w:hAnsi="Arial" w:cs="Arial"/>
          <w:i/>
        </w:rPr>
        <w:t xml:space="preserve"> Duval (EHSGD) by the Mauritius Institute of Training and Development (MITD) since the post is vacant</w:t>
      </w:r>
      <w:r>
        <w:rPr>
          <w:rFonts w:ascii="Arial" w:hAnsi="Arial" w:cs="Arial"/>
        </w:rPr>
        <w:t>.”</w:t>
      </w:r>
    </w:p>
    <w:p w14:paraId="434FDC82" w14:textId="2ACB7ACB" w:rsidR="00974047" w:rsidRDefault="00F87B73" w:rsidP="00394FF7">
      <w:pPr>
        <w:pStyle w:val="NormalWeb"/>
        <w:spacing w:before="0" w:beforeAutospacing="0" w:after="315" w:afterAutospacing="0" w:line="315" w:lineRule="atLeast"/>
        <w:jc w:val="both"/>
        <w:rPr>
          <w:rFonts w:ascii="Arial" w:hAnsi="Arial" w:cs="Arial"/>
        </w:rPr>
      </w:pPr>
      <w:r>
        <w:rPr>
          <w:rFonts w:ascii="Arial" w:hAnsi="Arial" w:cs="Arial"/>
        </w:rPr>
        <w:t xml:space="preserve">Disputant No 2 deposed before the Tribunal and she stated that </w:t>
      </w:r>
      <w:r w:rsidR="002D1C1B">
        <w:rPr>
          <w:rFonts w:ascii="Arial" w:hAnsi="Arial" w:cs="Arial"/>
        </w:rPr>
        <w:t xml:space="preserve">she </w:t>
      </w:r>
      <w:r w:rsidR="00231C71">
        <w:rPr>
          <w:rFonts w:ascii="Arial" w:hAnsi="Arial" w:cs="Arial"/>
        </w:rPr>
        <w:t>went through</w:t>
      </w:r>
      <w:r w:rsidR="002D1C1B">
        <w:rPr>
          <w:rFonts w:ascii="Arial" w:hAnsi="Arial" w:cs="Arial"/>
        </w:rPr>
        <w:t xml:space="preserve"> a selection process for the post of Coordinator</w:t>
      </w:r>
      <w:r w:rsidR="00A46F5E">
        <w:rPr>
          <w:rFonts w:ascii="Arial" w:hAnsi="Arial" w:cs="Arial"/>
        </w:rPr>
        <w:t xml:space="preserve"> in 2006</w:t>
      </w:r>
      <w:r w:rsidR="002D1C1B">
        <w:rPr>
          <w:rFonts w:ascii="Arial" w:hAnsi="Arial" w:cs="Arial"/>
        </w:rPr>
        <w:t xml:space="preserve">, </w:t>
      </w:r>
      <w:r w:rsidR="00231C71">
        <w:rPr>
          <w:rFonts w:ascii="Arial" w:hAnsi="Arial" w:cs="Arial"/>
        </w:rPr>
        <w:t xml:space="preserve">and attended </w:t>
      </w:r>
      <w:r w:rsidR="002D1C1B">
        <w:rPr>
          <w:rFonts w:ascii="Arial" w:hAnsi="Arial" w:cs="Arial"/>
        </w:rPr>
        <w:t>interview</w:t>
      </w:r>
      <w:r w:rsidR="00231C71">
        <w:rPr>
          <w:rFonts w:ascii="Arial" w:hAnsi="Arial" w:cs="Arial"/>
        </w:rPr>
        <w:t>s</w:t>
      </w:r>
      <w:r w:rsidR="002D1C1B">
        <w:rPr>
          <w:rFonts w:ascii="Arial" w:hAnsi="Arial" w:cs="Arial"/>
        </w:rPr>
        <w:t xml:space="preserve"> but was never informed of the outcome</w:t>
      </w:r>
      <w:r w:rsidR="00231C71">
        <w:rPr>
          <w:rFonts w:ascii="Arial" w:hAnsi="Arial" w:cs="Arial"/>
        </w:rPr>
        <w:t xml:space="preserve"> of the selection process</w:t>
      </w:r>
      <w:r w:rsidR="002D1C1B">
        <w:rPr>
          <w:rFonts w:ascii="Arial" w:hAnsi="Arial" w:cs="Arial"/>
        </w:rPr>
        <w:t xml:space="preserve">.  </w:t>
      </w:r>
      <w:r w:rsidR="006D19BB">
        <w:rPr>
          <w:rFonts w:ascii="Arial" w:hAnsi="Arial" w:cs="Arial"/>
        </w:rPr>
        <w:t>S</w:t>
      </w:r>
      <w:r w:rsidR="00A46F5E">
        <w:rPr>
          <w:rFonts w:ascii="Arial" w:hAnsi="Arial" w:cs="Arial"/>
        </w:rPr>
        <w:t xml:space="preserve">he stated that on 7 September 2006, she was invited to act as Coordinator </w:t>
      </w:r>
      <w:r w:rsidR="00974047">
        <w:rPr>
          <w:rFonts w:ascii="Arial" w:hAnsi="Arial" w:cs="Arial"/>
        </w:rPr>
        <w:t xml:space="preserve">at the </w:t>
      </w:r>
      <w:proofErr w:type="spellStart"/>
      <w:r w:rsidR="00974047">
        <w:rPr>
          <w:rFonts w:ascii="Arial" w:hAnsi="Arial" w:cs="Arial"/>
        </w:rPr>
        <w:t>Ecole</w:t>
      </w:r>
      <w:proofErr w:type="spellEnd"/>
      <w:r w:rsidR="00974047">
        <w:rPr>
          <w:rFonts w:ascii="Arial" w:hAnsi="Arial" w:cs="Arial"/>
        </w:rPr>
        <w:t xml:space="preserve"> </w:t>
      </w:r>
      <w:proofErr w:type="spellStart"/>
      <w:r w:rsidR="00974047">
        <w:rPr>
          <w:rFonts w:ascii="Arial" w:hAnsi="Arial" w:cs="Arial"/>
        </w:rPr>
        <w:t>Hoteliere</w:t>
      </w:r>
      <w:proofErr w:type="spellEnd"/>
      <w:r w:rsidR="00974047">
        <w:rPr>
          <w:rFonts w:ascii="Arial" w:hAnsi="Arial" w:cs="Arial"/>
        </w:rPr>
        <w:t xml:space="preserve"> – Sir </w:t>
      </w:r>
      <w:proofErr w:type="spellStart"/>
      <w:r w:rsidR="00974047">
        <w:rPr>
          <w:rFonts w:ascii="Arial" w:hAnsi="Arial" w:cs="Arial"/>
        </w:rPr>
        <w:t>Gaetan</w:t>
      </w:r>
      <w:proofErr w:type="spellEnd"/>
      <w:r w:rsidR="00974047">
        <w:rPr>
          <w:rFonts w:ascii="Arial" w:hAnsi="Arial" w:cs="Arial"/>
        </w:rPr>
        <w:t xml:space="preserve"> Duval (EHSGD) and since then she is still </w:t>
      </w:r>
      <w:r w:rsidR="006D19BB">
        <w:rPr>
          <w:rFonts w:ascii="Arial" w:hAnsi="Arial" w:cs="Arial"/>
        </w:rPr>
        <w:t>act</w:t>
      </w:r>
      <w:r w:rsidR="00974047">
        <w:rPr>
          <w:rFonts w:ascii="Arial" w:hAnsi="Arial" w:cs="Arial"/>
        </w:rPr>
        <w:t xml:space="preserve">ing as Coordinator.  She described the duties she does </w:t>
      </w:r>
      <w:r w:rsidR="006D19BB">
        <w:rPr>
          <w:rFonts w:ascii="Arial" w:hAnsi="Arial" w:cs="Arial"/>
        </w:rPr>
        <w:t>when</w:t>
      </w:r>
      <w:r w:rsidR="00974047">
        <w:rPr>
          <w:rFonts w:ascii="Arial" w:hAnsi="Arial" w:cs="Arial"/>
        </w:rPr>
        <w:t xml:space="preserve"> act</w:t>
      </w:r>
      <w:r w:rsidR="006D19BB">
        <w:rPr>
          <w:rFonts w:ascii="Arial" w:hAnsi="Arial" w:cs="Arial"/>
        </w:rPr>
        <w:t>ing</w:t>
      </w:r>
      <w:r w:rsidR="00974047">
        <w:rPr>
          <w:rFonts w:ascii="Arial" w:hAnsi="Arial" w:cs="Arial"/>
        </w:rPr>
        <w:t xml:space="preserve"> as Coordinator at the EHSGD.  She stated that she has been performing the duties of Coordinator </w:t>
      </w:r>
      <w:r w:rsidR="00231C71">
        <w:rPr>
          <w:rFonts w:ascii="Arial" w:hAnsi="Arial" w:cs="Arial"/>
        </w:rPr>
        <w:t>for</w:t>
      </w:r>
      <w:r w:rsidR="00974047">
        <w:rPr>
          <w:rFonts w:ascii="Arial" w:hAnsi="Arial" w:cs="Arial"/>
        </w:rPr>
        <w:t xml:space="preserve"> 15 years.  She suggested that the </w:t>
      </w:r>
      <w:r w:rsidR="00231C71">
        <w:rPr>
          <w:rFonts w:ascii="Arial" w:hAnsi="Arial" w:cs="Arial"/>
        </w:rPr>
        <w:t xml:space="preserve">‘coordinating </w:t>
      </w:r>
      <w:r w:rsidR="00974047">
        <w:rPr>
          <w:rFonts w:ascii="Arial" w:hAnsi="Arial" w:cs="Arial"/>
        </w:rPr>
        <w:t>duties</w:t>
      </w:r>
      <w:r w:rsidR="00231C71">
        <w:rPr>
          <w:rFonts w:ascii="Arial" w:hAnsi="Arial" w:cs="Arial"/>
        </w:rPr>
        <w:t>’</w:t>
      </w:r>
      <w:r w:rsidR="00974047">
        <w:rPr>
          <w:rFonts w:ascii="Arial" w:hAnsi="Arial" w:cs="Arial"/>
        </w:rPr>
        <w:t xml:space="preserve"> are critical irrespective of the name which may be given to the post.  </w:t>
      </w:r>
    </w:p>
    <w:p w14:paraId="69CB44A9" w14:textId="5227908F" w:rsidR="00291AB4" w:rsidRDefault="00974047" w:rsidP="00394FF7">
      <w:pPr>
        <w:pStyle w:val="NormalWeb"/>
        <w:spacing w:before="0" w:beforeAutospacing="0" w:after="315" w:afterAutospacing="0" w:line="315" w:lineRule="atLeast"/>
        <w:jc w:val="both"/>
        <w:rPr>
          <w:rFonts w:ascii="Arial" w:hAnsi="Arial" w:cs="Arial"/>
        </w:rPr>
      </w:pPr>
      <w:r>
        <w:rPr>
          <w:rFonts w:ascii="Arial" w:hAnsi="Arial" w:cs="Arial"/>
        </w:rPr>
        <w:t>Disputant No 2 agreed that there was a vacancy for the post of Coordinator in 2006 and that</w:t>
      </w:r>
      <w:r w:rsidR="006D19BB">
        <w:rPr>
          <w:rFonts w:ascii="Arial" w:hAnsi="Arial" w:cs="Arial"/>
        </w:rPr>
        <w:t>,</w:t>
      </w:r>
      <w:r>
        <w:rPr>
          <w:rFonts w:ascii="Arial" w:hAnsi="Arial" w:cs="Arial"/>
        </w:rPr>
        <w:t xml:space="preserve"> with the </w:t>
      </w:r>
      <w:r w:rsidR="00231C71">
        <w:rPr>
          <w:rFonts w:ascii="Arial" w:hAnsi="Arial" w:cs="Arial"/>
        </w:rPr>
        <w:t xml:space="preserve">2013 </w:t>
      </w:r>
      <w:r>
        <w:rPr>
          <w:rFonts w:ascii="Arial" w:hAnsi="Arial" w:cs="Arial"/>
        </w:rPr>
        <w:t xml:space="preserve">Pay Research Bureau (PRB) </w:t>
      </w:r>
      <w:r w:rsidR="0010355A">
        <w:rPr>
          <w:rFonts w:ascii="Arial" w:hAnsi="Arial" w:cs="Arial"/>
        </w:rPr>
        <w:t>R</w:t>
      </w:r>
      <w:r>
        <w:rPr>
          <w:rFonts w:ascii="Arial" w:hAnsi="Arial" w:cs="Arial"/>
        </w:rPr>
        <w:t>eport</w:t>
      </w:r>
      <w:r w:rsidR="006D19BB">
        <w:rPr>
          <w:rFonts w:ascii="Arial" w:hAnsi="Arial" w:cs="Arial"/>
        </w:rPr>
        <w:t xml:space="preserve">, the post </w:t>
      </w:r>
      <w:r w:rsidR="00231C71">
        <w:rPr>
          <w:rFonts w:ascii="Arial" w:hAnsi="Arial" w:cs="Arial"/>
        </w:rPr>
        <w:t xml:space="preserve">of Coordinator (at the Respondent) </w:t>
      </w:r>
      <w:r w:rsidR="006D19BB">
        <w:rPr>
          <w:rFonts w:ascii="Arial" w:hAnsi="Arial" w:cs="Arial"/>
        </w:rPr>
        <w:t>has</w:t>
      </w:r>
      <w:r>
        <w:rPr>
          <w:rFonts w:ascii="Arial" w:hAnsi="Arial" w:cs="Arial"/>
        </w:rPr>
        <w:t xml:space="preserve"> been made personal</w:t>
      </w:r>
      <w:r w:rsidR="00231C71">
        <w:rPr>
          <w:rFonts w:ascii="Arial" w:hAnsi="Arial" w:cs="Arial"/>
        </w:rPr>
        <w:t xml:space="preserve"> to officers in post</w:t>
      </w:r>
      <w:r>
        <w:rPr>
          <w:rFonts w:ascii="Arial" w:hAnsi="Arial" w:cs="Arial"/>
        </w:rPr>
        <w:t xml:space="preserve">.  This was maintained with the PRB </w:t>
      </w:r>
      <w:r w:rsidR="0010355A">
        <w:rPr>
          <w:rFonts w:ascii="Arial" w:hAnsi="Arial" w:cs="Arial"/>
        </w:rPr>
        <w:t>R</w:t>
      </w:r>
      <w:r>
        <w:rPr>
          <w:rFonts w:ascii="Arial" w:hAnsi="Arial" w:cs="Arial"/>
        </w:rPr>
        <w:t xml:space="preserve">eport of 2016.  She agreed that now there is no vacancy for the post of Coordinator but averred that since she has been doing the duties of Coordinator well before 2013 and is still performing same, </w:t>
      </w:r>
      <w:r w:rsidR="008B7EB1">
        <w:rPr>
          <w:rFonts w:ascii="Arial" w:hAnsi="Arial" w:cs="Arial"/>
        </w:rPr>
        <w:t xml:space="preserve">she should also be considered for </w:t>
      </w:r>
      <w:r w:rsidR="00622944">
        <w:rPr>
          <w:rFonts w:ascii="Arial" w:hAnsi="Arial" w:cs="Arial"/>
        </w:rPr>
        <w:t xml:space="preserve">the </w:t>
      </w:r>
      <w:r w:rsidR="008B7EB1">
        <w:rPr>
          <w:rFonts w:ascii="Arial" w:hAnsi="Arial" w:cs="Arial"/>
        </w:rPr>
        <w:t>post of Coordinator which was made</w:t>
      </w:r>
      <w:r w:rsidR="006D19BB">
        <w:rPr>
          <w:rFonts w:ascii="Arial" w:hAnsi="Arial" w:cs="Arial"/>
        </w:rPr>
        <w:t xml:space="preserve"> ‘personal’</w:t>
      </w:r>
      <w:r w:rsidR="00622944">
        <w:rPr>
          <w:rFonts w:ascii="Arial" w:hAnsi="Arial" w:cs="Arial"/>
        </w:rPr>
        <w:t>.</w:t>
      </w:r>
      <w:r w:rsidR="0010355A">
        <w:rPr>
          <w:rFonts w:ascii="Arial" w:hAnsi="Arial" w:cs="Arial"/>
        </w:rPr>
        <w:t xml:space="preserve">  She conceded that she opted for the 2013, 2016 and latest 2021 PRB Reports.  </w:t>
      </w:r>
      <w:r w:rsidR="006D19BB">
        <w:rPr>
          <w:rFonts w:ascii="Arial" w:hAnsi="Arial" w:cs="Arial"/>
        </w:rPr>
        <w:t>H</w:t>
      </w:r>
      <w:r w:rsidR="00291AB4">
        <w:rPr>
          <w:rFonts w:ascii="Arial" w:hAnsi="Arial" w:cs="Arial"/>
        </w:rPr>
        <w:t>owever</w:t>
      </w:r>
      <w:r w:rsidR="006D19BB">
        <w:rPr>
          <w:rFonts w:ascii="Arial" w:hAnsi="Arial" w:cs="Arial"/>
        </w:rPr>
        <w:t>, she</w:t>
      </w:r>
      <w:r w:rsidR="00291AB4">
        <w:rPr>
          <w:rFonts w:ascii="Arial" w:hAnsi="Arial" w:cs="Arial"/>
        </w:rPr>
        <w:t xml:space="preserve"> suggested that she is fully qualified for the job and that she cannot be prejudiced and </w:t>
      </w:r>
      <w:r w:rsidR="006D19BB">
        <w:rPr>
          <w:rFonts w:ascii="Arial" w:hAnsi="Arial" w:cs="Arial"/>
        </w:rPr>
        <w:t>left</w:t>
      </w:r>
      <w:r w:rsidR="00291AB4">
        <w:rPr>
          <w:rFonts w:ascii="Arial" w:hAnsi="Arial" w:cs="Arial"/>
        </w:rPr>
        <w:t xml:space="preserve"> to retire as an acting Coordinator</w:t>
      </w:r>
      <w:r w:rsidR="006D19BB">
        <w:rPr>
          <w:rFonts w:ascii="Arial" w:hAnsi="Arial" w:cs="Arial"/>
        </w:rPr>
        <w:t xml:space="preserve"> because of an administrative error</w:t>
      </w:r>
      <w:r w:rsidR="00291AB4">
        <w:rPr>
          <w:rFonts w:ascii="Arial" w:hAnsi="Arial" w:cs="Arial"/>
        </w:rPr>
        <w:t xml:space="preserve">.  Disputant No 2 agreed that before the present matter, she </w:t>
      </w:r>
      <w:r w:rsidR="008B7EB1">
        <w:rPr>
          <w:rFonts w:ascii="Arial" w:hAnsi="Arial" w:cs="Arial"/>
        </w:rPr>
        <w:t>ha</w:t>
      </w:r>
      <w:r w:rsidR="00291AB4">
        <w:rPr>
          <w:rFonts w:ascii="Arial" w:hAnsi="Arial" w:cs="Arial"/>
        </w:rPr>
        <w:t>d not report</w:t>
      </w:r>
      <w:r w:rsidR="008B7EB1">
        <w:rPr>
          <w:rFonts w:ascii="Arial" w:hAnsi="Arial" w:cs="Arial"/>
        </w:rPr>
        <w:t>ed</w:t>
      </w:r>
      <w:r w:rsidR="00291AB4">
        <w:rPr>
          <w:rFonts w:ascii="Arial" w:hAnsi="Arial" w:cs="Arial"/>
        </w:rPr>
        <w:t xml:space="preserve"> any dispute</w:t>
      </w:r>
      <w:r w:rsidR="008B7EB1">
        <w:rPr>
          <w:rFonts w:ascii="Arial" w:hAnsi="Arial" w:cs="Arial"/>
        </w:rPr>
        <w:t>.  S</w:t>
      </w:r>
      <w:r w:rsidR="00291AB4">
        <w:rPr>
          <w:rFonts w:ascii="Arial" w:hAnsi="Arial" w:cs="Arial"/>
        </w:rPr>
        <w:t>he stated that she trusted Management.  She prayed in terms of the prayers at paragraph 18 of her Statement of Case.</w:t>
      </w:r>
    </w:p>
    <w:p w14:paraId="3615F4A4" w14:textId="3D2F84C7" w:rsidR="00BF4030" w:rsidRDefault="00291AB4" w:rsidP="00394FF7">
      <w:pPr>
        <w:pStyle w:val="NormalWeb"/>
        <w:spacing w:before="0" w:beforeAutospacing="0" w:after="315" w:afterAutospacing="0" w:line="315" w:lineRule="atLeast"/>
        <w:jc w:val="both"/>
        <w:rPr>
          <w:rFonts w:ascii="Arial" w:hAnsi="Arial" w:cs="Arial"/>
        </w:rPr>
      </w:pPr>
      <w:r>
        <w:rPr>
          <w:rFonts w:ascii="Arial" w:hAnsi="Arial" w:cs="Arial"/>
        </w:rPr>
        <w:t xml:space="preserve">Disputant No 1 then </w:t>
      </w:r>
      <w:r w:rsidR="00D85DC9">
        <w:rPr>
          <w:rFonts w:ascii="Arial" w:hAnsi="Arial" w:cs="Arial"/>
        </w:rPr>
        <w:t xml:space="preserve">adduced evidence </w:t>
      </w:r>
      <w:r>
        <w:rPr>
          <w:rFonts w:ascii="Arial" w:hAnsi="Arial" w:cs="Arial"/>
        </w:rPr>
        <w:t xml:space="preserve">before the Tribunal and he </w:t>
      </w:r>
      <w:r w:rsidR="00D85DC9">
        <w:rPr>
          <w:rFonts w:ascii="Arial" w:hAnsi="Arial" w:cs="Arial"/>
        </w:rPr>
        <w:t>stated that he agreed</w:t>
      </w:r>
      <w:r>
        <w:rPr>
          <w:rFonts w:ascii="Arial" w:hAnsi="Arial" w:cs="Arial"/>
        </w:rPr>
        <w:t xml:space="preserve"> </w:t>
      </w:r>
      <w:r w:rsidR="00D85DC9">
        <w:rPr>
          <w:rFonts w:ascii="Arial" w:hAnsi="Arial" w:cs="Arial"/>
        </w:rPr>
        <w:t xml:space="preserve">with the contents of his Statement of Case and with what Disputant No 2 </w:t>
      </w:r>
      <w:r w:rsidR="00C1416E">
        <w:rPr>
          <w:rFonts w:ascii="Arial" w:hAnsi="Arial" w:cs="Arial"/>
        </w:rPr>
        <w:t xml:space="preserve">had </w:t>
      </w:r>
      <w:r w:rsidR="00D85DC9">
        <w:rPr>
          <w:rFonts w:ascii="Arial" w:hAnsi="Arial" w:cs="Arial"/>
        </w:rPr>
        <w:t xml:space="preserve">stated in examination in chief.  He referred to the duties he was performing and stressed on their </w:t>
      </w:r>
      <w:r w:rsidR="00D85DC9">
        <w:rPr>
          <w:rFonts w:ascii="Arial" w:hAnsi="Arial" w:cs="Arial"/>
        </w:rPr>
        <w:lastRenderedPageBreak/>
        <w:t xml:space="preserve">importance </w:t>
      </w:r>
      <w:r w:rsidR="0023184D">
        <w:rPr>
          <w:rFonts w:ascii="Arial" w:hAnsi="Arial" w:cs="Arial"/>
        </w:rPr>
        <w:t xml:space="preserve">for the organisation.  In cross-examination, Disputant No 1 agreed that he opted </w:t>
      </w:r>
      <w:r w:rsidR="00705999">
        <w:rPr>
          <w:rFonts w:ascii="Arial" w:hAnsi="Arial" w:cs="Arial"/>
        </w:rPr>
        <w:t xml:space="preserve">to be governed by the various PRB </w:t>
      </w:r>
      <w:r w:rsidR="00C1416E">
        <w:rPr>
          <w:rFonts w:ascii="Arial" w:hAnsi="Arial" w:cs="Arial"/>
        </w:rPr>
        <w:t>R</w:t>
      </w:r>
      <w:r w:rsidR="00705999">
        <w:rPr>
          <w:rFonts w:ascii="Arial" w:hAnsi="Arial" w:cs="Arial"/>
        </w:rPr>
        <w:t xml:space="preserve">eports.  With the 2013 PRB </w:t>
      </w:r>
      <w:r w:rsidR="00C1416E">
        <w:rPr>
          <w:rFonts w:ascii="Arial" w:hAnsi="Arial" w:cs="Arial"/>
        </w:rPr>
        <w:t>R</w:t>
      </w:r>
      <w:r w:rsidR="00705999">
        <w:rPr>
          <w:rFonts w:ascii="Arial" w:hAnsi="Arial" w:cs="Arial"/>
        </w:rPr>
        <w:t>eport, the post of Coordinator was made personal for those who were already in post</w:t>
      </w:r>
      <w:r w:rsidR="00BF4030">
        <w:rPr>
          <w:rFonts w:ascii="Arial" w:hAnsi="Arial" w:cs="Arial"/>
        </w:rPr>
        <w:t xml:space="preserve"> as at 30 June 2008</w:t>
      </w:r>
      <w:r w:rsidR="00705999">
        <w:rPr>
          <w:rFonts w:ascii="Arial" w:hAnsi="Arial" w:cs="Arial"/>
        </w:rPr>
        <w:t xml:space="preserve">.  This recommendation was again repeated in the 2016 PRB </w:t>
      </w:r>
      <w:r w:rsidR="00C1416E">
        <w:rPr>
          <w:rFonts w:ascii="Arial" w:hAnsi="Arial" w:cs="Arial"/>
        </w:rPr>
        <w:t>R</w:t>
      </w:r>
      <w:r w:rsidR="00705999">
        <w:rPr>
          <w:rFonts w:ascii="Arial" w:hAnsi="Arial" w:cs="Arial"/>
        </w:rPr>
        <w:t xml:space="preserve">eport and </w:t>
      </w:r>
      <w:r w:rsidR="00C1416E">
        <w:rPr>
          <w:rFonts w:ascii="Arial" w:hAnsi="Arial" w:cs="Arial"/>
        </w:rPr>
        <w:t xml:space="preserve">the </w:t>
      </w:r>
      <w:r w:rsidR="00705999">
        <w:rPr>
          <w:rFonts w:ascii="Arial" w:hAnsi="Arial" w:cs="Arial"/>
        </w:rPr>
        <w:t xml:space="preserve">2021 PRB </w:t>
      </w:r>
      <w:r w:rsidR="00C1416E">
        <w:rPr>
          <w:rFonts w:ascii="Arial" w:hAnsi="Arial" w:cs="Arial"/>
        </w:rPr>
        <w:t>R</w:t>
      </w:r>
      <w:r w:rsidR="00705999">
        <w:rPr>
          <w:rFonts w:ascii="Arial" w:hAnsi="Arial" w:cs="Arial"/>
        </w:rPr>
        <w:t xml:space="preserve">eport.  He agreed that there is </w:t>
      </w:r>
      <w:r w:rsidR="006D19BB">
        <w:rPr>
          <w:rFonts w:ascii="Arial" w:hAnsi="Arial" w:cs="Arial"/>
        </w:rPr>
        <w:t xml:space="preserve">currently </w:t>
      </w:r>
      <w:r w:rsidR="00705999">
        <w:rPr>
          <w:rFonts w:ascii="Arial" w:hAnsi="Arial" w:cs="Arial"/>
        </w:rPr>
        <w:t xml:space="preserve">no vacancy </w:t>
      </w:r>
      <w:r w:rsidR="00741E83">
        <w:rPr>
          <w:rFonts w:ascii="Arial" w:hAnsi="Arial" w:cs="Arial"/>
        </w:rPr>
        <w:t>for the said post on the establishment of the Respondent and that there cannot be any appointment for the said post.  He also agreed that prior to 2013 there could be an appointment to the said post of Coordinator.  He accepted that his dispute was reported in 2016 when the post had already become personal</w:t>
      </w:r>
      <w:r w:rsidR="00BF4030">
        <w:rPr>
          <w:rFonts w:ascii="Arial" w:hAnsi="Arial" w:cs="Arial"/>
        </w:rPr>
        <w:t xml:space="preserve"> to officers who were already in post.</w:t>
      </w:r>
    </w:p>
    <w:p w14:paraId="03570AFA" w14:textId="06B47235" w:rsidR="00BF4030" w:rsidRDefault="00BF4030" w:rsidP="00394FF7">
      <w:pPr>
        <w:pStyle w:val="NormalWeb"/>
        <w:spacing w:before="0" w:beforeAutospacing="0" w:after="315" w:afterAutospacing="0" w:line="315" w:lineRule="atLeast"/>
        <w:jc w:val="both"/>
        <w:rPr>
          <w:rFonts w:ascii="Arial" w:hAnsi="Arial" w:cs="Arial"/>
        </w:rPr>
      </w:pPr>
      <w:r>
        <w:rPr>
          <w:rFonts w:ascii="Arial" w:hAnsi="Arial" w:cs="Arial"/>
        </w:rPr>
        <w:t xml:space="preserve">The Acting Managing Director of the Respondent </w:t>
      </w:r>
      <w:r w:rsidR="009661A1">
        <w:rPr>
          <w:rFonts w:ascii="Arial" w:hAnsi="Arial" w:cs="Arial"/>
        </w:rPr>
        <w:t>d</w:t>
      </w:r>
      <w:r>
        <w:rPr>
          <w:rFonts w:ascii="Arial" w:hAnsi="Arial" w:cs="Arial"/>
        </w:rPr>
        <w:t xml:space="preserve">eposed </w:t>
      </w:r>
      <w:r w:rsidR="009661A1">
        <w:rPr>
          <w:rFonts w:ascii="Arial" w:hAnsi="Arial" w:cs="Arial"/>
        </w:rPr>
        <w:t xml:space="preserve">at another sitting </w:t>
      </w:r>
      <w:r>
        <w:rPr>
          <w:rFonts w:ascii="Arial" w:hAnsi="Arial" w:cs="Arial"/>
        </w:rPr>
        <w:t xml:space="preserve">and he </w:t>
      </w:r>
      <w:r w:rsidR="006B64EC">
        <w:rPr>
          <w:rFonts w:ascii="Arial" w:hAnsi="Arial" w:cs="Arial"/>
        </w:rPr>
        <w:t>confirmed</w:t>
      </w:r>
      <w:r w:rsidR="000C7F5A">
        <w:rPr>
          <w:rFonts w:ascii="Arial" w:hAnsi="Arial" w:cs="Arial"/>
        </w:rPr>
        <w:t xml:space="preserve"> as to the correctness and accuracy of the contents of the Statements of Reply filed by Respondent in the two cases.  He stated that both disputants applied for the post of Coordinator in 2005 and were called for interview</w:t>
      </w:r>
      <w:r w:rsidR="006B64EC">
        <w:rPr>
          <w:rFonts w:ascii="Arial" w:hAnsi="Arial" w:cs="Arial"/>
        </w:rPr>
        <w:t>s</w:t>
      </w:r>
      <w:r w:rsidR="000C7F5A">
        <w:rPr>
          <w:rFonts w:ascii="Arial" w:hAnsi="Arial" w:cs="Arial"/>
        </w:rPr>
        <w:t xml:space="preserve"> but the Respondent did not proceed to fill the post.  There was a change in Government in 2005 and there was a change in Government Program</w:t>
      </w:r>
      <w:r w:rsidR="00F24290">
        <w:rPr>
          <w:rFonts w:ascii="Arial" w:hAnsi="Arial" w:cs="Arial"/>
        </w:rPr>
        <w:t>me</w:t>
      </w:r>
      <w:r w:rsidR="000C7F5A">
        <w:rPr>
          <w:rFonts w:ascii="Arial" w:hAnsi="Arial" w:cs="Arial"/>
        </w:rPr>
        <w:t xml:space="preserve">.  </w:t>
      </w:r>
      <w:r w:rsidR="00521FDA">
        <w:rPr>
          <w:rFonts w:ascii="Arial" w:hAnsi="Arial" w:cs="Arial"/>
        </w:rPr>
        <w:t xml:space="preserve">There was going to have the </w:t>
      </w:r>
      <w:proofErr w:type="spellStart"/>
      <w:r w:rsidR="00521FDA" w:rsidRPr="006B64EC">
        <w:rPr>
          <w:rFonts w:ascii="Arial" w:hAnsi="Arial" w:cs="Arial"/>
          <w:i/>
          <w:iCs/>
        </w:rPr>
        <w:t>Institut</w:t>
      </w:r>
      <w:proofErr w:type="spellEnd"/>
      <w:r w:rsidR="00521FDA" w:rsidRPr="006B64EC">
        <w:rPr>
          <w:rFonts w:ascii="Arial" w:hAnsi="Arial" w:cs="Arial"/>
          <w:i/>
          <w:iCs/>
        </w:rPr>
        <w:t xml:space="preserve"> de Formation </w:t>
      </w:r>
      <w:proofErr w:type="gramStart"/>
      <w:r w:rsidR="00521FDA" w:rsidRPr="006B64EC">
        <w:rPr>
          <w:rFonts w:ascii="Arial" w:hAnsi="Arial" w:cs="Arial"/>
          <w:i/>
          <w:iCs/>
        </w:rPr>
        <w:t>et</w:t>
      </w:r>
      <w:proofErr w:type="gramEnd"/>
      <w:r w:rsidR="00521FDA" w:rsidRPr="006B64EC">
        <w:rPr>
          <w:rFonts w:ascii="Arial" w:hAnsi="Arial" w:cs="Arial"/>
          <w:i/>
          <w:iCs/>
        </w:rPr>
        <w:t xml:space="preserve"> </w:t>
      </w:r>
      <w:proofErr w:type="spellStart"/>
      <w:r w:rsidR="00521FDA" w:rsidRPr="006B64EC">
        <w:rPr>
          <w:rFonts w:ascii="Arial" w:hAnsi="Arial" w:cs="Arial"/>
          <w:i/>
          <w:iCs/>
        </w:rPr>
        <w:t>d’</w:t>
      </w:r>
      <w:r w:rsidR="00826924" w:rsidRPr="006B64EC">
        <w:rPr>
          <w:rFonts w:ascii="Arial" w:hAnsi="Arial" w:cs="Arial"/>
          <w:i/>
          <w:iCs/>
        </w:rPr>
        <w:t>Education</w:t>
      </w:r>
      <w:proofErr w:type="spellEnd"/>
      <w:r w:rsidR="00826924" w:rsidRPr="006B64EC">
        <w:rPr>
          <w:rFonts w:ascii="Arial" w:hAnsi="Arial" w:cs="Arial"/>
          <w:i/>
          <w:iCs/>
        </w:rPr>
        <w:t xml:space="preserve"> </w:t>
      </w:r>
      <w:proofErr w:type="spellStart"/>
      <w:r w:rsidR="00826924" w:rsidRPr="006B64EC">
        <w:rPr>
          <w:rFonts w:ascii="Arial" w:hAnsi="Arial" w:cs="Arial"/>
          <w:i/>
          <w:iCs/>
        </w:rPr>
        <w:t>Tertiaire</w:t>
      </w:r>
      <w:proofErr w:type="spellEnd"/>
      <w:r w:rsidR="00826924">
        <w:rPr>
          <w:rFonts w:ascii="Arial" w:hAnsi="Arial" w:cs="Arial"/>
        </w:rPr>
        <w:t xml:space="preserve">.  They were given “policy writing” that pending the setting up </w:t>
      </w:r>
      <w:r w:rsidR="002B1D30">
        <w:rPr>
          <w:rFonts w:ascii="Arial" w:hAnsi="Arial" w:cs="Arial"/>
        </w:rPr>
        <w:t>of that Institute and the restructuring of the I</w:t>
      </w:r>
      <w:r w:rsidR="006B64EC">
        <w:rPr>
          <w:rFonts w:ascii="Arial" w:hAnsi="Arial" w:cs="Arial"/>
        </w:rPr>
        <w:t xml:space="preserve">ndustrial and </w:t>
      </w:r>
      <w:r w:rsidR="002B1D30">
        <w:rPr>
          <w:rFonts w:ascii="Arial" w:hAnsi="Arial" w:cs="Arial"/>
        </w:rPr>
        <w:t>V</w:t>
      </w:r>
      <w:r w:rsidR="006B64EC">
        <w:rPr>
          <w:rFonts w:ascii="Arial" w:hAnsi="Arial" w:cs="Arial"/>
        </w:rPr>
        <w:t xml:space="preserve">ocational </w:t>
      </w:r>
      <w:r w:rsidR="002B1D30">
        <w:rPr>
          <w:rFonts w:ascii="Arial" w:hAnsi="Arial" w:cs="Arial"/>
        </w:rPr>
        <w:t>T</w:t>
      </w:r>
      <w:r w:rsidR="006B64EC">
        <w:rPr>
          <w:rFonts w:ascii="Arial" w:hAnsi="Arial" w:cs="Arial"/>
        </w:rPr>
        <w:t xml:space="preserve">raining </w:t>
      </w:r>
      <w:r w:rsidR="002B1D30">
        <w:rPr>
          <w:rFonts w:ascii="Arial" w:hAnsi="Arial" w:cs="Arial"/>
        </w:rPr>
        <w:t>B</w:t>
      </w:r>
      <w:r w:rsidR="006B64EC">
        <w:rPr>
          <w:rFonts w:ascii="Arial" w:hAnsi="Arial" w:cs="Arial"/>
        </w:rPr>
        <w:t>oard</w:t>
      </w:r>
      <w:r w:rsidR="002B1D30">
        <w:rPr>
          <w:rFonts w:ascii="Arial" w:hAnsi="Arial" w:cs="Arial"/>
        </w:rPr>
        <w:t xml:space="preserve"> (</w:t>
      </w:r>
      <w:r w:rsidR="006B64EC">
        <w:rPr>
          <w:rFonts w:ascii="Arial" w:hAnsi="Arial" w:cs="Arial"/>
        </w:rPr>
        <w:t xml:space="preserve">the “IVTB”- as the institution was then called prior to </w:t>
      </w:r>
      <w:r w:rsidR="0090129D">
        <w:rPr>
          <w:rFonts w:ascii="Arial" w:hAnsi="Arial" w:cs="Arial"/>
        </w:rPr>
        <w:t>its merger with the Technical School Management Trust Fund to create the Respondent</w:t>
      </w:r>
      <w:r w:rsidR="002B1D30">
        <w:rPr>
          <w:rFonts w:ascii="Arial" w:hAnsi="Arial" w:cs="Arial"/>
        </w:rPr>
        <w:t xml:space="preserve">), they should not </w:t>
      </w:r>
      <w:r w:rsidR="00FB5D12">
        <w:rPr>
          <w:rFonts w:ascii="Arial" w:hAnsi="Arial" w:cs="Arial"/>
        </w:rPr>
        <w:t>fill any position.  He stated that only “critical” positions could be filled and that is why they were not able to fill the position of Coordinator even though interviews were held.  He stated that only the posts of Assistant Managers, Training Officers and Instructors were critical and filled.  Following a change in Minister in 2007 or 2008, the Institute was not set up and instead the</w:t>
      </w:r>
      <w:r w:rsidR="0090129D">
        <w:rPr>
          <w:rFonts w:ascii="Arial" w:hAnsi="Arial" w:cs="Arial"/>
        </w:rPr>
        <w:t xml:space="preserve"> Respondent </w:t>
      </w:r>
      <w:r w:rsidR="00FB5D12">
        <w:rPr>
          <w:rFonts w:ascii="Arial" w:hAnsi="Arial" w:cs="Arial"/>
        </w:rPr>
        <w:t>was create</w:t>
      </w:r>
      <w:r w:rsidR="0090129D">
        <w:rPr>
          <w:rFonts w:ascii="Arial" w:hAnsi="Arial" w:cs="Arial"/>
        </w:rPr>
        <w:t>d</w:t>
      </w:r>
      <w:r w:rsidR="00FB5D12">
        <w:rPr>
          <w:rFonts w:ascii="Arial" w:hAnsi="Arial" w:cs="Arial"/>
        </w:rPr>
        <w:t xml:space="preserve">.        </w:t>
      </w:r>
      <w:r w:rsidR="00521FDA">
        <w:rPr>
          <w:rFonts w:ascii="Arial" w:hAnsi="Arial" w:cs="Arial"/>
        </w:rPr>
        <w:t xml:space="preserve"> </w:t>
      </w:r>
      <w:r w:rsidR="000C7F5A">
        <w:rPr>
          <w:rFonts w:ascii="Arial" w:hAnsi="Arial" w:cs="Arial"/>
        </w:rPr>
        <w:t xml:space="preserve">    </w:t>
      </w:r>
    </w:p>
    <w:p w14:paraId="3D4CD2AA" w14:textId="68E6FB3C" w:rsidR="00BF4030" w:rsidRDefault="00011677" w:rsidP="00394FF7">
      <w:pPr>
        <w:pStyle w:val="NormalWeb"/>
        <w:spacing w:before="0" w:beforeAutospacing="0" w:after="315" w:afterAutospacing="0" w:line="315" w:lineRule="atLeast"/>
        <w:jc w:val="both"/>
        <w:rPr>
          <w:rFonts w:ascii="Arial" w:hAnsi="Arial" w:cs="Arial"/>
        </w:rPr>
      </w:pPr>
      <w:r>
        <w:rPr>
          <w:rFonts w:ascii="Arial" w:hAnsi="Arial" w:cs="Arial"/>
        </w:rPr>
        <w:t xml:space="preserve">The Acting Managing Director averred that submissions were made to the PRB </w:t>
      </w:r>
      <w:r w:rsidR="004F388F">
        <w:rPr>
          <w:rFonts w:ascii="Arial" w:hAnsi="Arial" w:cs="Arial"/>
        </w:rPr>
        <w:t>o</w:t>
      </w:r>
      <w:r>
        <w:rPr>
          <w:rFonts w:ascii="Arial" w:hAnsi="Arial" w:cs="Arial"/>
        </w:rPr>
        <w:t xml:space="preserve">n or about 2011 </w:t>
      </w:r>
      <w:r w:rsidR="0090129D">
        <w:rPr>
          <w:rFonts w:ascii="Arial" w:hAnsi="Arial" w:cs="Arial"/>
        </w:rPr>
        <w:t xml:space="preserve">to the effect </w:t>
      </w:r>
      <w:r>
        <w:rPr>
          <w:rFonts w:ascii="Arial" w:hAnsi="Arial" w:cs="Arial"/>
        </w:rPr>
        <w:t xml:space="preserve">that they </w:t>
      </w:r>
      <w:r w:rsidR="004F388F">
        <w:rPr>
          <w:rFonts w:ascii="Arial" w:hAnsi="Arial" w:cs="Arial"/>
        </w:rPr>
        <w:t>required</w:t>
      </w:r>
      <w:r>
        <w:rPr>
          <w:rFonts w:ascii="Arial" w:hAnsi="Arial" w:cs="Arial"/>
        </w:rPr>
        <w:t xml:space="preserve"> the post of Coordinator</w:t>
      </w:r>
      <w:r w:rsidR="00CE3EBB">
        <w:rPr>
          <w:rFonts w:ascii="Arial" w:hAnsi="Arial" w:cs="Arial"/>
        </w:rPr>
        <w:t xml:space="preserve">.  Despite this, </w:t>
      </w:r>
      <w:r>
        <w:rPr>
          <w:rFonts w:ascii="Arial" w:hAnsi="Arial" w:cs="Arial"/>
        </w:rPr>
        <w:t xml:space="preserve">the post of Coordinator was made personal in the </w:t>
      </w:r>
      <w:r w:rsidR="00CE3EBB">
        <w:rPr>
          <w:rFonts w:ascii="Arial" w:hAnsi="Arial" w:cs="Arial"/>
        </w:rPr>
        <w:t xml:space="preserve">2013 </w:t>
      </w:r>
      <w:r>
        <w:rPr>
          <w:rFonts w:ascii="Arial" w:hAnsi="Arial" w:cs="Arial"/>
        </w:rPr>
        <w:t xml:space="preserve">PRB </w:t>
      </w:r>
      <w:r w:rsidR="00CE3EBB">
        <w:rPr>
          <w:rFonts w:ascii="Arial" w:hAnsi="Arial" w:cs="Arial"/>
        </w:rPr>
        <w:t>R</w:t>
      </w:r>
      <w:r>
        <w:rPr>
          <w:rFonts w:ascii="Arial" w:hAnsi="Arial" w:cs="Arial"/>
        </w:rPr>
        <w:t xml:space="preserve">eport.  He stated that the finalization of the </w:t>
      </w:r>
      <w:r w:rsidR="00CE3EBB">
        <w:rPr>
          <w:rFonts w:ascii="Arial" w:hAnsi="Arial" w:cs="Arial"/>
        </w:rPr>
        <w:t xml:space="preserve">organisational </w:t>
      </w:r>
      <w:r>
        <w:rPr>
          <w:rFonts w:ascii="Arial" w:hAnsi="Arial" w:cs="Arial"/>
        </w:rPr>
        <w:t xml:space="preserve">structure </w:t>
      </w:r>
      <w:r w:rsidR="00CE3EBB">
        <w:rPr>
          <w:rFonts w:ascii="Arial" w:hAnsi="Arial" w:cs="Arial"/>
        </w:rPr>
        <w:t xml:space="preserve">of the Respondent </w:t>
      </w:r>
      <w:r>
        <w:rPr>
          <w:rFonts w:ascii="Arial" w:hAnsi="Arial" w:cs="Arial"/>
        </w:rPr>
        <w:t xml:space="preserve">took a long time </w:t>
      </w:r>
      <w:r w:rsidR="00CE3EBB">
        <w:rPr>
          <w:rFonts w:ascii="Arial" w:hAnsi="Arial" w:cs="Arial"/>
        </w:rPr>
        <w:t>and that</w:t>
      </w:r>
      <w:r>
        <w:rPr>
          <w:rFonts w:ascii="Arial" w:hAnsi="Arial" w:cs="Arial"/>
        </w:rPr>
        <w:t xml:space="preserve"> a structure was approved by the Board but </w:t>
      </w:r>
      <w:r w:rsidR="00CE3EBB">
        <w:rPr>
          <w:rFonts w:ascii="Arial" w:hAnsi="Arial" w:cs="Arial"/>
        </w:rPr>
        <w:t xml:space="preserve">was </w:t>
      </w:r>
      <w:r>
        <w:rPr>
          <w:rFonts w:ascii="Arial" w:hAnsi="Arial" w:cs="Arial"/>
        </w:rPr>
        <w:t xml:space="preserve">not </w:t>
      </w:r>
      <w:r w:rsidR="00CE3EBB">
        <w:rPr>
          <w:rFonts w:ascii="Arial" w:hAnsi="Arial" w:cs="Arial"/>
        </w:rPr>
        <w:t>accepted by</w:t>
      </w:r>
      <w:r>
        <w:rPr>
          <w:rFonts w:ascii="Arial" w:hAnsi="Arial" w:cs="Arial"/>
        </w:rPr>
        <w:t xml:space="preserve"> the unions.  He added that for the </w:t>
      </w:r>
      <w:r w:rsidR="00CE3EBB">
        <w:rPr>
          <w:rFonts w:ascii="Arial" w:hAnsi="Arial" w:cs="Arial"/>
        </w:rPr>
        <w:t xml:space="preserve">2016 </w:t>
      </w:r>
      <w:r>
        <w:rPr>
          <w:rFonts w:ascii="Arial" w:hAnsi="Arial" w:cs="Arial"/>
        </w:rPr>
        <w:t xml:space="preserve">PRB </w:t>
      </w:r>
      <w:r w:rsidR="00CE3EBB">
        <w:rPr>
          <w:rFonts w:ascii="Arial" w:hAnsi="Arial" w:cs="Arial"/>
        </w:rPr>
        <w:t>R</w:t>
      </w:r>
      <w:r>
        <w:rPr>
          <w:rFonts w:ascii="Arial" w:hAnsi="Arial" w:cs="Arial"/>
        </w:rPr>
        <w:t xml:space="preserve">eport, management made proposals for the creation of a new post of Senior Training Officer and yet no decision was taken </w:t>
      </w:r>
      <w:r w:rsidR="00CE3EBB">
        <w:rPr>
          <w:rFonts w:ascii="Arial" w:hAnsi="Arial" w:cs="Arial"/>
        </w:rPr>
        <w:t xml:space="preserve">in the report </w:t>
      </w:r>
      <w:proofErr w:type="gramStart"/>
      <w:r>
        <w:rPr>
          <w:rFonts w:ascii="Arial" w:hAnsi="Arial" w:cs="Arial"/>
        </w:rPr>
        <w:t>for the said new post nor</w:t>
      </w:r>
      <w:proofErr w:type="gramEnd"/>
      <w:r>
        <w:rPr>
          <w:rFonts w:ascii="Arial" w:hAnsi="Arial" w:cs="Arial"/>
        </w:rPr>
        <w:t xml:space="preserve"> </w:t>
      </w:r>
      <w:r w:rsidR="00CE3EBB">
        <w:rPr>
          <w:rFonts w:ascii="Arial" w:hAnsi="Arial" w:cs="Arial"/>
        </w:rPr>
        <w:t>in relation to the post</w:t>
      </w:r>
      <w:r>
        <w:rPr>
          <w:rFonts w:ascii="Arial" w:hAnsi="Arial" w:cs="Arial"/>
        </w:rPr>
        <w:t xml:space="preserve"> of Coordinator.  </w:t>
      </w:r>
      <w:r w:rsidR="00B20888">
        <w:rPr>
          <w:rFonts w:ascii="Arial" w:hAnsi="Arial" w:cs="Arial"/>
        </w:rPr>
        <w:t>He stated that during discussion</w:t>
      </w:r>
      <w:r w:rsidR="00CE3EBB">
        <w:rPr>
          <w:rFonts w:ascii="Arial" w:hAnsi="Arial" w:cs="Arial"/>
        </w:rPr>
        <w:t>s</w:t>
      </w:r>
      <w:r w:rsidR="00B20888">
        <w:rPr>
          <w:rFonts w:ascii="Arial" w:hAnsi="Arial" w:cs="Arial"/>
        </w:rPr>
        <w:t xml:space="preserve"> with the PRB for the </w:t>
      </w:r>
      <w:r w:rsidR="00CE3EBB">
        <w:rPr>
          <w:rFonts w:ascii="Arial" w:hAnsi="Arial" w:cs="Arial"/>
        </w:rPr>
        <w:t xml:space="preserve">purposes of the </w:t>
      </w:r>
      <w:r w:rsidR="00B20888">
        <w:rPr>
          <w:rFonts w:ascii="Arial" w:hAnsi="Arial" w:cs="Arial"/>
        </w:rPr>
        <w:t xml:space="preserve">PRB </w:t>
      </w:r>
      <w:r w:rsidR="00CE3EBB">
        <w:rPr>
          <w:rFonts w:ascii="Arial" w:hAnsi="Arial" w:cs="Arial"/>
        </w:rPr>
        <w:t>R</w:t>
      </w:r>
      <w:r w:rsidR="00B20888">
        <w:rPr>
          <w:rFonts w:ascii="Arial" w:hAnsi="Arial" w:cs="Arial"/>
        </w:rPr>
        <w:t xml:space="preserve">eport 2021 which was initially due in 2019, management proposed to re-instate the post of Coordinator and to create </w:t>
      </w:r>
      <w:r w:rsidR="00CE3EBB">
        <w:rPr>
          <w:rFonts w:ascii="Arial" w:hAnsi="Arial" w:cs="Arial"/>
        </w:rPr>
        <w:t>a</w:t>
      </w:r>
      <w:r w:rsidR="00B20888">
        <w:rPr>
          <w:rFonts w:ascii="Arial" w:hAnsi="Arial" w:cs="Arial"/>
        </w:rPr>
        <w:t xml:space="preserve"> new post of Senior Training Officer.  He was under the impression that the post of Coordinator was going to be reinstated but finally the post was not reinstated</w:t>
      </w:r>
      <w:r w:rsidR="00CE3EBB">
        <w:rPr>
          <w:rFonts w:ascii="Arial" w:hAnsi="Arial" w:cs="Arial"/>
        </w:rPr>
        <w:t xml:space="preserve">.  </w:t>
      </w:r>
      <w:r w:rsidR="00B20888">
        <w:rPr>
          <w:rFonts w:ascii="Arial" w:hAnsi="Arial" w:cs="Arial"/>
        </w:rPr>
        <w:t xml:space="preserve"> </w:t>
      </w:r>
      <w:r w:rsidR="003E788C">
        <w:rPr>
          <w:rFonts w:ascii="Arial" w:hAnsi="Arial" w:cs="Arial"/>
        </w:rPr>
        <w:t xml:space="preserve">For the post of Senior Training Officer, </w:t>
      </w:r>
      <w:r w:rsidR="00B20888">
        <w:rPr>
          <w:rFonts w:ascii="Arial" w:hAnsi="Arial" w:cs="Arial"/>
        </w:rPr>
        <w:t>there are certain legal issues to be cleared</w:t>
      </w:r>
      <w:r w:rsidR="003E788C">
        <w:rPr>
          <w:rFonts w:ascii="Arial" w:hAnsi="Arial" w:cs="Arial"/>
        </w:rPr>
        <w:t xml:space="preserve"> as per the recommendations of the 2021 PRB Report</w:t>
      </w:r>
      <w:r w:rsidR="00B20888">
        <w:rPr>
          <w:rFonts w:ascii="Arial" w:hAnsi="Arial" w:cs="Arial"/>
        </w:rPr>
        <w:t xml:space="preserve">.   </w:t>
      </w:r>
      <w:r>
        <w:rPr>
          <w:rFonts w:ascii="Arial" w:hAnsi="Arial" w:cs="Arial"/>
        </w:rPr>
        <w:t xml:space="preserve">   </w:t>
      </w:r>
    </w:p>
    <w:p w14:paraId="473AA64A" w14:textId="092E38C4" w:rsidR="00FB5D12" w:rsidRDefault="00B20888" w:rsidP="00394FF7">
      <w:pPr>
        <w:pStyle w:val="NormalWeb"/>
        <w:spacing w:before="0" w:beforeAutospacing="0" w:after="315" w:afterAutospacing="0" w:line="315" w:lineRule="atLeast"/>
        <w:jc w:val="both"/>
        <w:rPr>
          <w:rFonts w:ascii="Arial" w:hAnsi="Arial" w:cs="Arial"/>
        </w:rPr>
      </w:pPr>
      <w:r>
        <w:rPr>
          <w:rFonts w:ascii="Arial" w:hAnsi="Arial" w:cs="Arial"/>
        </w:rPr>
        <w:lastRenderedPageBreak/>
        <w:t xml:space="preserve">The Acting Managing Director stated that there are vacancies in the posts of Assistant Manager and </w:t>
      </w:r>
      <w:r w:rsidR="00447A0E">
        <w:rPr>
          <w:rFonts w:ascii="Arial" w:hAnsi="Arial" w:cs="Arial"/>
        </w:rPr>
        <w:t xml:space="preserve">Training Centre Manager and to which the disputants may aspire provided they are qualified.  Since the end of 2019, the Respondent falls under the aegis of the Ministry of Labour, Human Resource Development and Training. </w:t>
      </w:r>
      <w:r>
        <w:rPr>
          <w:rFonts w:ascii="Arial" w:hAnsi="Arial" w:cs="Arial"/>
        </w:rPr>
        <w:t xml:space="preserve"> </w:t>
      </w:r>
      <w:r w:rsidR="006F05C4">
        <w:rPr>
          <w:rFonts w:ascii="Arial" w:hAnsi="Arial" w:cs="Arial"/>
        </w:rPr>
        <w:t xml:space="preserve">He referred to paragraph 44.9 of the 2021 PRB </w:t>
      </w:r>
      <w:r w:rsidR="003E788C">
        <w:rPr>
          <w:rFonts w:ascii="Arial" w:hAnsi="Arial" w:cs="Arial"/>
        </w:rPr>
        <w:t>R</w:t>
      </w:r>
      <w:r w:rsidR="006F05C4">
        <w:rPr>
          <w:rFonts w:ascii="Arial" w:hAnsi="Arial" w:cs="Arial"/>
        </w:rPr>
        <w:t xml:space="preserve">eport and to the stand of the relevant Ministry.  He stated that there are again changes in policy directives and that an Institute of Technical Education and Technology is being proposed whilst some of the centres of the Respondent will then be taken over </w:t>
      </w:r>
      <w:r w:rsidR="001E4C70">
        <w:rPr>
          <w:rFonts w:ascii="Arial" w:hAnsi="Arial" w:cs="Arial"/>
        </w:rPr>
        <w:t xml:space="preserve">for the purposes </w:t>
      </w:r>
      <w:r w:rsidR="006F05C4">
        <w:rPr>
          <w:rFonts w:ascii="Arial" w:hAnsi="Arial" w:cs="Arial"/>
        </w:rPr>
        <w:t xml:space="preserve">of the new Institute.  He averred that the </w:t>
      </w:r>
      <w:proofErr w:type="spellStart"/>
      <w:r w:rsidR="006F05C4">
        <w:rPr>
          <w:rFonts w:ascii="Arial" w:hAnsi="Arial" w:cs="Arial"/>
        </w:rPr>
        <w:t>Ecole</w:t>
      </w:r>
      <w:proofErr w:type="spellEnd"/>
      <w:r w:rsidR="006F05C4">
        <w:rPr>
          <w:rFonts w:ascii="Arial" w:hAnsi="Arial" w:cs="Arial"/>
        </w:rPr>
        <w:t xml:space="preserve"> </w:t>
      </w:r>
      <w:proofErr w:type="spellStart"/>
      <w:r w:rsidR="006F05C4">
        <w:rPr>
          <w:rFonts w:ascii="Arial" w:hAnsi="Arial" w:cs="Arial"/>
        </w:rPr>
        <w:t>Hoteliere</w:t>
      </w:r>
      <w:proofErr w:type="spellEnd"/>
      <w:r w:rsidR="006F05C4">
        <w:rPr>
          <w:rFonts w:ascii="Arial" w:hAnsi="Arial" w:cs="Arial"/>
        </w:rPr>
        <w:t xml:space="preserve"> Sir </w:t>
      </w:r>
      <w:proofErr w:type="spellStart"/>
      <w:r w:rsidR="006F05C4">
        <w:rPr>
          <w:rFonts w:ascii="Arial" w:hAnsi="Arial" w:cs="Arial"/>
        </w:rPr>
        <w:t>Gaetan</w:t>
      </w:r>
      <w:proofErr w:type="spellEnd"/>
      <w:r w:rsidR="006F05C4">
        <w:rPr>
          <w:rFonts w:ascii="Arial" w:hAnsi="Arial" w:cs="Arial"/>
        </w:rPr>
        <w:t xml:space="preserve"> Duval will be under the aegis of the Ministry of Tourism.  </w:t>
      </w:r>
      <w:r w:rsidR="005F7473">
        <w:rPr>
          <w:rFonts w:ascii="Arial" w:hAnsi="Arial" w:cs="Arial"/>
        </w:rPr>
        <w:t>Despite this, the</w:t>
      </w:r>
      <w:r w:rsidR="003E788C">
        <w:rPr>
          <w:rFonts w:ascii="Arial" w:hAnsi="Arial" w:cs="Arial"/>
        </w:rPr>
        <w:t xml:space="preserve">re were recommendations in </w:t>
      </w:r>
      <w:proofErr w:type="gramStart"/>
      <w:r w:rsidR="003E788C">
        <w:rPr>
          <w:rFonts w:ascii="Arial" w:hAnsi="Arial" w:cs="Arial"/>
        </w:rPr>
        <w:t xml:space="preserve">the </w:t>
      </w:r>
      <w:r w:rsidR="005F7473">
        <w:rPr>
          <w:rFonts w:ascii="Arial" w:hAnsi="Arial" w:cs="Arial"/>
        </w:rPr>
        <w:t xml:space="preserve"> 2021</w:t>
      </w:r>
      <w:proofErr w:type="gramEnd"/>
      <w:r w:rsidR="005F7473">
        <w:rPr>
          <w:rFonts w:ascii="Arial" w:hAnsi="Arial" w:cs="Arial"/>
        </w:rPr>
        <w:t xml:space="preserve"> PRB </w:t>
      </w:r>
      <w:r w:rsidR="003E788C">
        <w:rPr>
          <w:rFonts w:ascii="Arial" w:hAnsi="Arial" w:cs="Arial"/>
        </w:rPr>
        <w:t>R</w:t>
      </w:r>
      <w:r w:rsidR="005F7473">
        <w:rPr>
          <w:rFonts w:ascii="Arial" w:hAnsi="Arial" w:cs="Arial"/>
        </w:rPr>
        <w:t xml:space="preserve">eport </w:t>
      </w:r>
      <w:r w:rsidR="003E788C">
        <w:rPr>
          <w:rFonts w:ascii="Arial" w:hAnsi="Arial" w:cs="Arial"/>
        </w:rPr>
        <w:t xml:space="preserve">for the </w:t>
      </w:r>
      <w:r w:rsidR="005F7473">
        <w:rPr>
          <w:rFonts w:ascii="Arial" w:hAnsi="Arial" w:cs="Arial"/>
        </w:rPr>
        <w:t>creat</w:t>
      </w:r>
      <w:r w:rsidR="003E788C">
        <w:rPr>
          <w:rFonts w:ascii="Arial" w:hAnsi="Arial" w:cs="Arial"/>
        </w:rPr>
        <w:t>ion of</w:t>
      </w:r>
      <w:r w:rsidR="005F7473">
        <w:rPr>
          <w:rFonts w:ascii="Arial" w:hAnsi="Arial" w:cs="Arial"/>
        </w:rPr>
        <w:t xml:space="preserve"> two new posts at the Respondent</w:t>
      </w:r>
      <w:r w:rsidR="00FA2722">
        <w:rPr>
          <w:rFonts w:ascii="Arial" w:hAnsi="Arial" w:cs="Arial"/>
        </w:rPr>
        <w:t>,</w:t>
      </w:r>
      <w:r w:rsidR="00460F93">
        <w:rPr>
          <w:rFonts w:ascii="Arial" w:hAnsi="Arial" w:cs="Arial"/>
        </w:rPr>
        <w:t xml:space="preserve"> </w:t>
      </w:r>
      <w:r w:rsidR="00686F97">
        <w:rPr>
          <w:rFonts w:ascii="Arial" w:hAnsi="Arial" w:cs="Arial"/>
        </w:rPr>
        <w:t>t</w:t>
      </w:r>
      <w:r w:rsidR="005F7473">
        <w:rPr>
          <w:rFonts w:ascii="Arial" w:hAnsi="Arial" w:cs="Arial"/>
        </w:rPr>
        <w:t xml:space="preserve">hat is, </w:t>
      </w:r>
      <w:r w:rsidR="00686F97">
        <w:rPr>
          <w:rFonts w:ascii="Arial" w:hAnsi="Arial" w:cs="Arial"/>
        </w:rPr>
        <w:t xml:space="preserve">the post of </w:t>
      </w:r>
      <w:r w:rsidR="005F7473">
        <w:rPr>
          <w:rFonts w:ascii="Arial" w:hAnsi="Arial" w:cs="Arial"/>
        </w:rPr>
        <w:t xml:space="preserve">Quality Assurance Officer and </w:t>
      </w:r>
      <w:r w:rsidR="003E788C">
        <w:rPr>
          <w:rFonts w:ascii="Arial" w:hAnsi="Arial" w:cs="Arial"/>
        </w:rPr>
        <w:t xml:space="preserve">the post of </w:t>
      </w:r>
      <w:r w:rsidR="005F7473">
        <w:rPr>
          <w:rFonts w:ascii="Arial" w:hAnsi="Arial" w:cs="Arial"/>
        </w:rPr>
        <w:t>Project Officer.</w:t>
      </w:r>
      <w:r w:rsidR="006F05C4">
        <w:rPr>
          <w:rFonts w:ascii="Arial" w:hAnsi="Arial" w:cs="Arial"/>
        </w:rPr>
        <w:t xml:space="preserve">    </w:t>
      </w:r>
    </w:p>
    <w:p w14:paraId="300A3941" w14:textId="11AFBFD6" w:rsidR="00FB5D12" w:rsidRDefault="00B20888" w:rsidP="00394FF7">
      <w:pPr>
        <w:pStyle w:val="NormalWeb"/>
        <w:spacing w:before="0" w:beforeAutospacing="0" w:after="315" w:afterAutospacing="0" w:line="315" w:lineRule="atLeast"/>
        <w:jc w:val="both"/>
        <w:rPr>
          <w:rFonts w:ascii="Arial" w:hAnsi="Arial" w:cs="Arial"/>
        </w:rPr>
      </w:pPr>
      <w:r>
        <w:rPr>
          <w:rFonts w:ascii="Arial" w:hAnsi="Arial" w:cs="Arial"/>
        </w:rPr>
        <w:t>The Acting Managing Director of Respondent</w:t>
      </w:r>
      <w:r w:rsidR="00FB5D12">
        <w:rPr>
          <w:rFonts w:ascii="Arial" w:hAnsi="Arial" w:cs="Arial"/>
        </w:rPr>
        <w:t xml:space="preserve"> </w:t>
      </w:r>
      <w:r w:rsidR="00E6179C">
        <w:rPr>
          <w:rFonts w:ascii="Arial" w:hAnsi="Arial" w:cs="Arial"/>
        </w:rPr>
        <w:t xml:space="preserve">stated that the </w:t>
      </w:r>
      <w:r w:rsidR="00451E3D">
        <w:rPr>
          <w:rFonts w:ascii="Arial" w:hAnsi="Arial" w:cs="Arial"/>
        </w:rPr>
        <w:t xml:space="preserve">Board of the </w:t>
      </w:r>
      <w:r w:rsidR="00E6179C">
        <w:rPr>
          <w:rFonts w:ascii="Arial" w:hAnsi="Arial" w:cs="Arial"/>
        </w:rPr>
        <w:t xml:space="preserve">Respondent is </w:t>
      </w:r>
      <w:r w:rsidR="00451E3D">
        <w:rPr>
          <w:rFonts w:ascii="Arial" w:hAnsi="Arial" w:cs="Arial"/>
        </w:rPr>
        <w:t xml:space="preserve">agreeable for the reinstatement of the post of Coordinator and that </w:t>
      </w:r>
      <w:r w:rsidR="003E788C">
        <w:rPr>
          <w:rFonts w:ascii="Arial" w:hAnsi="Arial" w:cs="Arial"/>
        </w:rPr>
        <w:t>representations</w:t>
      </w:r>
      <w:r w:rsidR="00E6179C">
        <w:rPr>
          <w:rFonts w:ascii="Arial" w:hAnsi="Arial" w:cs="Arial"/>
        </w:rPr>
        <w:t xml:space="preserve"> </w:t>
      </w:r>
      <w:r w:rsidR="00451E3D">
        <w:rPr>
          <w:rFonts w:ascii="Arial" w:hAnsi="Arial" w:cs="Arial"/>
        </w:rPr>
        <w:t xml:space="preserve">will be made to that effect </w:t>
      </w:r>
      <w:r w:rsidR="00E6179C">
        <w:rPr>
          <w:rFonts w:ascii="Arial" w:hAnsi="Arial" w:cs="Arial"/>
        </w:rPr>
        <w:t xml:space="preserve">for the purposes of the Errors and Omissions </w:t>
      </w:r>
      <w:r w:rsidR="003E788C">
        <w:rPr>
          <w:rFonts w:ascii="Arial" w:hAnsi="Arial" w:cs="Arial"/>
        </w:rPr>
        <w:t>R</w:t>
      </w:r>
      <w:r w:rsidR="00E6179C">
        <w:rPr>
          <w:rFonts w:ascii="Arial" w:hAnsi="Arial" w:cs="Arial"/>
        </w:rPr>
        <w:t xml:space="preserve">eport </w:t>
      </w:r>
      <w:r w:rsidR="003E788C">
        <w:rPr>
          <w:rFonts w:ascii="Arial" w:hAnsi="Arial" w:cs="Arial"/>
        </w:rPr>
        <w:t xml:space="preserve">which will </w:t>
      </w:r>
      <w:r w:rsidR="00E6179C">
        <w:rPr>
          <w:rFonts w:ascii="Arial" w:hAnsi="Arial" w:cs="Arial"/>
        </w:rPr>
        <w:t xml:space="preserve">follow the 2021 PRB </w:t>
      </w:r>
      <w:r w:rsidR="001E5587">
        <w:rPr>
          <w:rFonts w:ascii="Arial" w:hAnsi="Arial" w:cs="Arial"/>
        </w:rPr>
        <w:t>R</w:t>
      </w:r>
      <w:r w:rsidR="00E6179C">
        <w:rPr>
          <w:rFonts w:ascii="Arial" w:hAnsi="Arial" w:cs="Arial"/>
        </w:rPr>
        <w:t xml:space="preserve">eport.  If the post is reinstated, then the post will be filled as per the scheme of service for the post.  He </w:t>
      </w:r>
      <w:r w:rsidR="00FB5D12">
        <w:rPr>
          <w:rFonts w:ascii="Arial" w:hAnsi="Arial" w:cs="Arial"/>
        </w:rPr>
        <w:t xml:space="preserve">produced copies of extracts of the </w:t>
      </w:r>
      <w:r w:rsidR="001E5587">
        <w:rPr>
          <w:rFonts w:ascii="Arial" w:hAnsi="Arial" w:cs="Arial"/>
        </w:rPr>
        <w:t xml:space="preserve">2008, 2013, 2016 and 2021 </w:t>
      </w:r>
      <w:r w:rsidR="00FB5D12">
        <w:rPr>
          <w:rFonts w:ascii="Arial" w:hAnsi="Arial" w:cs="Arial"/>
        </w:rPr>
        <w:t xml:space="preserve">PRB </w:t>
      </w:r>
      <w:r w:rsidR="001E5587">
        <w:rPr>
          <w:rFonts w:ascii="Arial" w:hAnsi="Arial" w:cs="Arial"/>
        </w:rPr>
        <w:t>R</w:t>
      </w:r>
      <w:r w:rsidR="00FB5D12">
        <w:rPr>
          <w:rFonts w:ascii="Arial" w:hAnsi="Arial" w:cs="Arial"/>
        </w:rPr>
        <w:t xml:space="preserve">eports (Docs </w:t>
      </w:r>
      <w:r>
        <w:rPr>
          <w:rFonts w:ascii="Arial" w:hAnsi="Arial" w:cs="Arial"/>
        </w:rPr>
        <w:t>B, C, D and E</w:t>
      </w:r>
      <w:r w:rsidR="00FB5D12">
        <w:rPr>
          <w:rFonts w:ascii="Arial" w:hAnsi="Arial" w:cs="Arial"/>
        </w:rPr>
        <w:t xml:space="preserve">).  </w:t>
      </w:r>
    </w:p>
    <w:p w14:paraId="13433A53" w14:textId="179E4AC1" w:rsidR="00BF4030" w:rsidRDefault="00E6179C" w:rsidP="00394FF7">
      <w:pPr>
        <w:pStyle w:val="NormalWeb"/>
        <w:spacing w:before="0" w:beforeAutospacing="0" w:after="315" w:afterAutospacing="0" w:line="315" w:lineRule="atLeast"/>
        <w:jc w:val="both"/>
        <w:rPr>
          <w:rFonts w:ascii="Arial" w:hAnsi="Arial" w:cs="Arial"/>
        </w:rPr>
      </w:pPr>
      <w:r>
        <w:rPr>
          <w:rFonts w:ascii="Arial" w:hAnsi="Arial" w:cs="Arial"/>
        </w:rPr>
        <w:t xml:space="preserve">In cross-examination, </w:t>
      </w:r>
      <w:r w:rsidR="00A07776">
        <w:rPr>
          <w:rFonts w:ascii="Arial" w:hAnsi="Arial" w:cs="Arial"/>
        </w:rPr>
        <w:t>the Acting Managing Director agreed that the disputants were not informed of the outcome</w:t>
      </w:r>
      <w:r w:rsidR="001E5587">
        <w:rPr>
          <w:rFonts w:ascii="Arial" w:hAnsi="Arial" w:cs="Arial"/>
        </w:rPr>
        <w:t>s</w:t>
      </w:r>
      <w:r w:rsidR="00A07776">
        <w:rPr>
          <w:rFonts w:ascii="Arial" w:hAnsi="Arial" w:cs="Arial"/>
        </w:rPr>
        <w:t xml:space="preserve"> of the interviews they attended for the posts of Coordinator.  The disputants have been discharging the duties of Coordinator ever since they have been offered the position as Acting Coordinator and there has been no adverse report against them.  He stated that the post of Coordinator has been made personal so that no new employees can be appointed as Coordinator in the substantive post. </w:t>
      </w:r>
      <w:r w:rsidR="00BF4030">
        <w:rPr>
          <w:rFonts w:ascii="Arial" w:hAnsi="Arial" w:cs="Arial"/>
        </w:rPr>
        <w:t xml:space="preserve"> </w:t>
      </w:r>
      <w:r w:rsidR="00AB2E3A">
        <w:rPr>
          <w:rFonts w:ascii="Arial" w:hAnsi="Arial" w:cs="Arial"/>
        </w:rPr>
        <w:t xml:space="preserve">He stated that for administrative convenience, and because management did not expect that it would take so long to finalise the new structure, the disputants were asked to carry out the duties and were paid the necessary allowances.  The training of the trainees had to continue.  He stated that the disputants were doing an important job but not a critical one.  He stated that </w:t>
      </w:r>
      <w:proofErr w:type="spellStart"/>
      <w:r w:rsidR="00AB2E3A">
        <w:rPr>
          <w:rFonts w:ascii="Arial" w:hAnsi="Arial" w:cs="Arial"/>
        </w:rPr>
        <w:t>actingship</w:t>
      </w:r>
      <w:proofErr w:type="spellEnd"/>
      <w:r w:rsidR="00AB2E3A">
        <w:rPr>
          <w:rFonts w:ascii="Arial" w:hAnsi="Arial" w:cs="Arial"/>
        </w:rPr>
        <w:t xml:space="preserve"> is usually for a short period of time </w:t>
      </w:r>
      <w:r w:rsidR="00B235F1">
        <w:rPr>
          <w:rFonts w:ascii="Arial" w:hAnsi="Arial" w:cs="Arial"/>
        </w:rPr>
        <w:t xml:space="preserve">but </w:t>
      </w:r>
      <w:r w:rsidR="001E5587">
        <w:rPr>
          <w:rFonts w:ascii="Arial" w:hAnsi="Arial" w:cs="Arial"/>
        </w:rPr>
        <w:t>in the</w:t>
      </w:r>
      <w:r w:rsidR="00B235F1">
        <w:rPr>
          <w:rFonts w:ascii="Arial" w:hAnsi="Arial" w:cs="Arial"/>
        </w:rPr>
        <w:t xml:space="preserve"> </w:t>
      </w:r>
      <w:r w:rsidR="001E5587">
        <w:rPr>
          <w:rFonts w:ascii="Arial" w:hAnsi="Arial" w:cs="Arial"/>
        </w:rPr>
        <w:t xml:space="preserve">present case </w:t>
      </w:r>
      <w:r w:rsidR="00B235F1">
        <w:rPr>
          <w:rFonts w:ascii="Arial" w:hAnsi="Arial" w:cs="Arial"/>
        </w:rPr>
        <w:t xml:space="preserve">in the light of the changes which have taken place over the </w:t>
      </w:r>
      <w:proofErr w:type="gramStart"/>
      <w:r w:rsidR="00B235F1">
        <w:rPr>
          <w:rFonts w:ascii="Arial" w:hAnsi="Arial" w:cs="Arial"/>
        </w:rPr>
        <w:t>years,</w:t>
      </w:r>
      <w:proofErr w:type="gramEnd"/>
      <w:r w:rsidR="00B235F1">
        <w:rPr>
          <w:rFonts w:ascii="Arial" w:hAnsi="Arial" w:cs="Arial"/>
        </w:rPr>
        <w:t xml:space="preserve"> it has taken a long time.</w:t>
      </w:r>
      <w:r w:rsidR="00AB2E3A">
        <w:rPr>
          <w:rFonts w:ascii="Arial" w:hAnsi="Arial" w:cs="Arial"/>
        </w:rPr>
        <w:t xml:space="preserve">  </w:t>
      </w:r>
      <w:r w:rsidR="00145C1E">
        <w:rPr>
          <w:rFonts w:ascii="Arial" w:hAnsi="Arial" w:cs="Arial"/>
        </w:rPr>
        <w:t xml:space="preserve">He also stated that in the internal advertisement dated 12 May 2006 for the relevant posts of Coordinator, it was mentioned that the IVTB reserves the right not to make any appointment following the said advertisement.    </w:t>
      </w:r>
      <w:r w:rsidR="00AB2E3A">
        <w:rPr>
          <w:rFonts w:ascii="Arial" w:hAnsi="Arial" w:cs="Arial"/>
        </w:rPr>
        <w:t xml:space="preserve">     </w:t>
      </w:r>
      <w:r w:rsidR="00BF4030">
        <w:rPr>
          <w:rFonts w:ascii="Arial" w:hAnsi="Arial" w:cs="Arial"/>
        </w:rPr>
        <w:t xml:space="preserve"> </w:t>
      </w:r>
    </w:p>
    <w:p w14:paraId="15212F1D" w14:textId="1538EB72" w:rsidR="00272A43" w:rsidRDefault="00272A43" w:rsidP="00394FF7">
      <w:pPr>
        <w:pStyle w:val="NormalWeb"/>
        <w:spacing w:before="0" w:beforeAutospacing="0" w:after="315" w:afterAutospacing="0" w:line="315" w:lineRule="atLeast"/>
        <w:jc w:val="both"/>
        <w:rPr>
          <w:rFonts w:ascii="Arial" w:hAnsi="Arial" w:cs="Arial"/>
        </w:rPr>
      </w:pPr>
      <w:r>
        <w:rPr>
          <w:rFonts w:ascii="Arial" w:hAnsi="Arial" w:cs="Arial"/>
        </w:rPr>
        <w:t xml:space="preserve">Counsel for Respondent has raised objections in law and parties were informed that objections taken would be considered </w:t>
      </w:r>
      <w:r w:rsidR="001E5587">
        <w:rPr>
          <w:rFonts w:ascii="Arial" w:hAnsi="Arial" w:cs="Arial"/>
        </w:rPr>
        <w:t>toge</w:t>
      </w:r>
      <w:r w:rsidR="00C92A85">
        <w:rPr>
          <w:rFonts w:ascii="Arial" w:hAnsi="Arial" w:cs="Arial"/>
        </w:rPr>
        <w:t>ther with</w:t>
      </w:r>
      <w:r>
        <w:rPr>
          <w:rFonts w:ascii="Arial" w:hAnsi="Arial" w:cs="Arial"/>
        </w:rPr>
        <w:t xml:space="preserve"> the merits of the case.  The objections read as follows:</w:t>
      </w:r>
    </w:p>
    <w:p w14:paraId="35191E6A" w14:textId="77777777" w:rsidR="00272A43" w:rsidRDefault="00272A43" w:rsidP="00272A43">
      <w:pPr>
        <w:pStyle w:val="NormalWeb"/>
        <w:numPr>
          <w:ilvl w:val="0"/>
          <w:numId w:val="9"/>
        </w:numPr>
        <w:spacing w:before="0" w:beforeAutospacing="0" w:after="315" w:afterAutospacing="0" w:line="315" w:lineRule="atLeast"/>
        <w:jc w:val="both"/>
        <w:rPr>
          <w:rFonts w:ascii="Arial" w:hAnsi="Arial" w:cs="Arial"/>
        </w:rPr>
      </w:pPr>
      <w:r>
        <w:rPr>
          <w:rFonts w:ascii="Arial" w:hAnsi="Arial" w:cs="Arial"/>
        </w:rPr>
        <w:lastRenderedPageBreak/>
        <w:t>The present matter does not fall within the ambit of the definition of a labour dispute as provided in Section 2 of the Employment Relations Act;</w:t>
      </w:r>
    </w:p>
    <w:p w14:paraId="1FB088CC" w14:textId="77777777" w:rsidR="00272A43" w:rsidRDefault="00272A43" w:rsidP="00272A43">
      <w:pPr>
        <w:pStyle w:val="NormalWeb"/>
        <w:numPr>
          <w:ilvl w:val="0"/>
          <w:numId w:val="9"/>
        </w:numPr>
        <w:spacing w:before="0" w:beforeAutospacing="0" w:after="315" w:afterAutospacing="0" w:line="315" w:lineRule="atLeast"/>
        <w:jc w:val="both"/>
        <w:rPr>
          <w:rFonts w:ascii="Arial" w:hAnsi="Arial" w:cs="Arial"/>
        </w:rPr>
      </w:pPr>
      <w:r>
        <w:rPr>
          <w:rFonts w:ascii="Arial" w:hAnsi="Arial" w:cs="Arial"/>
        </w:rPr>
        <w:t>This Tribunal does not have jurisdi</w:t>
      </w:r>
      <w:r w:rsidR="00E34701">
        <w:rPr>
          <w:rFonts w:ascii="Arial" w:hAnsi="Arial" w:cs="Arial"/>
        </w:rPr>
        <w:t>c</w:t>
      </w:r>
      <w:r>
        <w:rPr>
          <w:rFonts w:ascii="Arial" w:hAnsi="Arial" w:cs="Arial"/>
        </w:rPr>
        <w:t>t</w:t>
      </w:r>
      <w:r w:rsidR="00E34701">
        <w:rPr>
          <w:rFonts w:ascii="Arial" w:hAnsi="Arial" w:cs="Arial"/>
        </w:rPr>
        <w:t>i</w:t>
      </w:r>
      <w:r>
        <w:rPr>
          <w:rFonts w:ascii="Arial" w:hAnsi="Arial" w:cs="Arial"/>
        </w:rPr>
        <w:t>on to grant an award in terms of the prayer set out in paragraph 13 of the Statement of Case</w:t>
      </w:r>
      <w:r w:rsidR="006D19BB">
        <w:rPr>
          <w:rFonts w:ascii="Arial" w:hAnsi="Arial" w:cs="Arial"/>
        </w:rPr>
        <w:t xml:space="preserve"> of Disputant No. 1 and paragraph 18 of the Statement of Case of Disputant No. 2</w:t>
      </w:r>
      <w:r>
        <w:rPr>
          <w:rFonts w:ascii="Arial" w:hAnsi="Arial" w:cs="Arial"/>
        </w:rPr>
        <w:t>;</w:t>
      </w:r>
    </w:p>
    <w:p w14:paraId="527CCE1A" w14:textId="77777777" w:rsidR="00272A43" w:rsidRDefault="00272A43" w:rsidP="00272A43">
      <w:pPr>
        <w:pStyle w:val="NormalWeb"/>
        <w:numPr>
          <w:ilvl w:val="0"/>
          <w:numId w:val="9"/>
        </w:numPr>
        <w:spacing w:before="0" w:beforeAutospacing="0" w:after="315" w:afterAutospacing="0" w:line="315" w:lineRule="atLeast"/>
        <w:jc w:val="both"/>
        <w:rPr>
          <w:rFonts w:ascii="Arial" w:hAnsi="Arial" w:cs="Arial"/>
        </w:rPr>
      </w:pPr>
      <w:r>
        <w:rPr>
          <w:rFonts w:ascii="Arial" w:hAnsi="Arial" w:cs="Arial"/>
        </w:rPr>
        <w:t xml:space="preserve">The terms of the dispute referred to the Tribunal are not the same as the terms of the dispute reported to the President of the Commission for Conciliation and Mediation on 19 October 2016 and subsequently amended on 25 October 2016; and </w:t>
      </w:r>
    </w:p>
    <w:p w14:paraId="18FBAD0A" w14:textId="77777777" w:rsidR="00F9497C" w:rsidRDefault="00EA366C" w:rsidP="00272A43">
      <w:pPr>
        <w:pStyle w:val="NormalWeb"/>
        <w:numPr>
          <w:ilvl w:val="0"/>
          <w:numId w:val="9"/>
        </w:numPr>
        <w:spacing w:before="0" w:beforeAutospacing="0" w:after="315" w:afterAutospacing="0" w:line="315" w:lineRule="atLeast"/>
        <w:jc w:val="both"/>
        <w:rPr>
          <w:rFonts w:ascii="Arial" w:hAnsi="Arial" w:cs="Arial"/>
        </w:rPr>
      </w:pPr>
      <w:r>
        <w:rPr>
          <w:rFonts w:ascii="Arial" w:hAnsi="Arial" w:cs="Arial"/>
        </w:rPr>
        <w:t xml:space="preserve">the present dispute should be set aside on the ground that it does not disclose any cause of action to the extent that the post of Coordinator, though existing on the establishment of the Respondent, is personal to officers in post as at 30 June 2008 and therefore no new appointment can be made in that grade.   </w:t>
      </w:r>
    </w:p>
    <w:p w14:paraId="0A2A1A33" w14:textId="45618028" w:rsidR="00F9497C" w:rsidRDefault="00393CC4" w:rsidP="00F9497C">
      <w:pPr>
        <w:pStyle w:val="NormalWeb"/>
        <w:spacing w:before="0" w:beforeAutospacing="0" w:after="315" w:afterAutospacing="0" w:line="315" w:lineRule="atLeast"/>
        <w:jc w:val="both"/>
        <w:rPr>
          <w:rFonts w:ascii="Arial" w:hAnsi="Arial" w:cs="Arial"/>
        </w:rPr>
      </w:pPr>
      <w:r>
        <w:rPr>
          <w:rFonts w:ascii="Arial" w:hAnsi="Arial" w:cs="Arial"/>
        </w:rPr>
        <w:t xml:space="preserve">The relevant version of the definition of </w:t>
      </w:r>
      <w:r w:rsidR="008811D6">
        <w:rPr>
          <w:rFonts w:ascii="Arial" w:hAnsi="Arial" w:cs="Arial"/>
        </w:rPr>
        <w:t>“</w:t>
      </w:r>
      <w:r w:rsidR="00C4417A">
        <w:rPr>
          <w:rFonts w:ascii="Arial" w:hAnsi="Arial" w:cs="Arial"/>
        </w:rPr>
        <w:t>l</w:t>
      </w:r>
      <w:r w:rsidR="008811D6">
        <w:rPr>
          <w:rFonts w:ascii="Arial" w:hAnsi="Arial" w:cs="Arial"/>
        </w:rPr>
        <w:t xml:space="preserve">abour dispute” </w:t>
      </w:r>
      <w:r>
        <w:rPr>
          <w:rFonts w:ascii="Arial" w:hAnsi="Arial" w:cs="Arial"/>
        </w:rPr>
        <w:t>for the purposes of the present matter (at</w:t>
      </w:r>
      <w:r w:rsidR="008811D6">
        <w:rPr>
          <w:rFonts w:ascii="Arial" w:hAnsi="Arial" w:cs="Arial"/>
        </w:rPr>
        <w:t xml:space="preserve"> section 2 of the Act</w:t>
      </w:r>
      <w:r>
        <w:rPr>
          <w:rFonts w:ascii="Arial" w:hAnsi="Arial" w:cs="Arial"/>
        </w:rPr>
        <w:t xml:space="preserve"> before the 2019 amendment) reads</w:t>
      </w:r>
      <w:r w:rsidR="008811D6">
        <w:rPr>
          <w:rFonts w:ascii="Arial" w:hAnsi="Arial" w:cs="Arial"/>
        </w:rPr>
        <w:t xml:space="preserve"> as follows:-</w:t>
      </w:r>
    </w:p>
    <w:p w14:paraId="0C3BC789" w14:textId="77777777" w:rsidR="005A036E" w:rsidRDefault="005A036E" w:rsidP="005A036E">
      <w:pPr>
        <w:pStyle w:val="NoSpacing"/>
        <w:jc w:val="both"/>
        <w:rPr>
          <w:rFonts w:ascii="Arial" w:hAnsi="Arial" w:cs="Arial"/>
          <w:i/>
          <w:sz w:val="24"/>
          <w:szCs w:val="24"/>
        </w:rPr>
      </w:pPr>
      <w:r w:rsidRPr="007D4341">
        <w:rPr>
          <w:rFonts w:ascii="Arial" w:hAnsi="Arial" w:cs="Arial"/>
          <w:i/>
          <w:sz w:val="24"/>
          <w:szCs w:val="24"/>
        </w:rPr>
        <w:t>“</w:t>
      </w:r>
      <w:proofErr w:type="gramStart"/>
      <w:r w:rsidRPr="007D4341">
        <w:rPr>
          <w:rFonts w:ascii="Arial" w:hAnsi="Arial" w:cs="Arial"/>
          <w:i/>
          <w:sz w:val="24"/>
          <w:szCs w:val="24"/>
        </w:rPr>
        <w:t>labour</w:t>
      </w:r>
      <w:proofErr w:type="gramEnd"/>
      <w:r w:rsidRPr="007D4341">
        <w:rPr>
          <w:rFonts w:ascii="Arial" w:hAnsi="Arial" w:cs="Arial"/>
          <w:i/>
          <w:sz w:val="24"/>
          <w:szCs w:val="24"/>
        </w:rPr>
        <w:t xml:space="preserve"> dispute” – </w:t>
      </w:r>
    </w:p>
    <w:p w14:paraId="6C627E4D" w14:textId="77777777" w:rsidR="005A036E" w:rsidRDefault="005A036E" w:rsidP="005A036E">
      <w:pPr>
        <w:pStyle w:val="NoSpacing"/>
        <w:jc w:val="both"/>
        <w:rPr>
          <w:rFonts w:ascii="Arial" w:hAnsi="Arial" w:cs="Arial"/>
          <w:i/>
          <w:sz w:val="24"/>
          <w:szCs w:val="24"/>
        </w:rPr>
      </w:pPr>
    </w:p>
    <w:p w14:paraId="19943E45" w14:textId="77777777" w:rsidR="005A036E" w:rsidRDefault="005A036E" w:rsidP="005A036E">
      <w:pPr>
        <w:pStyle w:val="NoSpacing"/>
        <w:jc w:val="both"/>
        <w:rPr>
          <w:rFonts w:ascii="Arial" w:hAnsi="Arial" w:cs="Arial"/>
          <w:i/>
          <w:sz w:val="24"/>
          <w:szCs w:val="24"/>
        </w:rPr>
      </w:pPr>
      <w:r w:rsidRPr="007D4341">
        <w:rPr>
          <w:rFonts w:ascii="Arial" w:hAnsi="Arial" w:cs="Arial"/>
          <w:i/>
          <w:sz w:val="24"/>
          <w:szCs w:val="24"/>
        </w:rPr>
        <w:t xml:space="preserve">(a) means a dispute between a worker, or a recognised trade union of workers, or a joint negotiating panel, and an employer which relates wholly or mainly to wages, terms and conditions of employment, promotion, allocation of work between workers and groups of workers, reinstatement or suspension of employment of a worker; </w:t>
      </w:r>
    </w:p>
    <w:p w14:paraId="67259EED" w14:textId="77777777" w:rsidR="005A036E" w:rsidRDefault="005A036E" w:rsidP="005A036E">
      <w:pPr>
        <w:pStyle w:val="NoSpacing"/>
        <w:jc w:val="both"/>
        <w:rPr>
          <w:rFonts w:ascii="Arial" w:hAnsi="Arial" w:cs="Arial"/>
          <w:i/>
          <w:sz w:val="24"/>
          <w:szCs w:val="24"/>
        </w:rPr>
      </w:pPr>
      <w:r w:rsidRPr="007D4341">
        <w:rPr>
          <w:rFonts w:ascii="Arial" w:hAnsi="Arial" w:cs="Arial"/>
          <w:i/>
          <w:sz w:val="24"/>
          <w:szCs w:val="24"/>
        </w:rPr>
        <w:t xml:space="preserve">(b) 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 </w:t>
      </w:r>
    </w:p>
    <w:p w14:paraId="294EDD57" w14:textId="77777777" w:rsidR="005A036E" w:rsidRDefault="005A036E" w:rsidP="005A036E">
      <w:pPr>
        <w:pStyle w:val="NoSpacing"/>
        <w:jc w:val="both"/>
        <w:rPr>
          <w:rFonts w:ascii="Arial" w:hAnsi="Arial" w:cs="Arial"/>
          <w:sz w:val="24"/>
          <w:szCs w:val="24"/>
        </w:rPr>
      </w:pPr>
      <w:r w:rsidRPr="007D4341">
        <w:rPr>
          <w:rFonts w:ascii="Arial" w:hAnsi="Arial" w:cs="Arial"/>
          <w:i/>
          <w:sz w:val="24"/>
          <w:szCs w:val="24"/>
        </w:rPr>
        <w:t xml:space="preserve">(c) </w:t>
      </w:r>
      <w:proofErr w:type="gramStart"/>
      <w:r w:rsidRPr="007D4341">
        <w:rPr>
          <w:rFonts w:ascii="Arial" w:hAnsi="Arial" w:cs="Arial"/>
          <w:i/>
          <w:sz w:val="24"/>
          <w:szCs w:val="24"/>
        </w:rPr>
        <w:t>does</w:t>
      </w:r>
      <w:proofErr w:type="gramEnd"/>
      <w:r w:rsidRPr="007D4341">
        <w:rPr>
          <w:rFonts w:ascii="Arial" w:hAnsi="Arial" w:cs="Arial"/>
          <w:i/>
          <w:sz w:val="24"/>
          <w:szCs w:val="24"/>
        </w:rPr>
        <w:t xml:space="preserve"> not include a dispute that is reported more than 3 years after the act or omission that gave rise to the dispute </w:t>
      </w:r>
      <w:r>
        <w:rPr>
          <w:rFonts w:ascii="Arial" w:hAnsi="Arial" w:cs="Arial"/>
          <w:sz w:val="24"/>
          <w:szCs w:val="24"/>
        </w:rPr>
        <w:t xml:space="preserve"> </w:t>
      </w:r>
    </w:p>
    <w:p w14:paraId="518E1404" w14:textId="77777777" w:rsidR="005A036E" w:rsidRDefault="005A036E" w:rsidP="00F9497C">
      <w:pPr>
        <w:pStyle w:val="NormalWeb"/>
        <w:spacing w:before="0" w:beforeAutospacing="0" w:after="315" w:afterAutospacing="0" w:line="315" w:lineRule="atLeast"/>
        <w:jc w:val="both"/>
        <w:rPr>
          <w:rFonts w:ascii="Arial" w:hAnsi="Arial" w:cs="Arial"/>
        </w:rPr>
      </w:pPr>
    </w:p>
    <w:p w14:paraId="4AA8C406" w14:textId="54DF1090" w:rsidR="0093759E" w:rsidRDefault="00F9497C" w:rsidP="00F9497C">
      <w:pPr>
        <w:pStyle w:val="NormalWeb"/>
        <w:spacing w:before="0" w:beforeAutospacing="0" w:after="315" w:afterAutospacing="0" w:line="315" w:lineRule="atLeast"/>
        <w:jc w:val="both"/>
        <w:rPr>
          <w:rFonts w:ascii="Arial" w:hAnsi="Arial" w:cs="Arial"/>
        </w:rPr>
      </w:pPr>
      <w:r>
        <w:rPr>
          <w:rFonts w:ascii="Arial" w:hAnsi="Arial" w:cs="Arial"/>
        </w:rPr>
        <w:t xml:space="preserve">Under the first limb, it was argued </w:t>
      </w:r>
      <w:r w:rsidR="00393CC4">
        <w:rPr>
          <w:rFonts w:ascii="Arial" w:hAnsi="Arial" w:cs="Arial"/>
        </w:rPr>
        <w:t xml:space="preserve">by Counsel for Respondent </w:t>
      </w:r>
      <w:r>
        <w:rPr>
          <w:rFonts w:ascii="Arial" w:hAnsi="Arial" w:cs="Arial"/>
        </w:rPr>
        <w:t xml:space="preserve">that </w:t>
      </w:r>
      <w:r w:rsidR="005C029D">
        <w:rPr>
          <w:rFonts w:ascii="Arial" w:hAnsi="Arial" w:cs="Arial"/>
        </w:rPr>
        <w:t xml:space="preserve">the definition of labour dispute does not include </w:t>
      </w:r>
      <w:r w:rsidR="00A57509">
        <w:rPr>
          <w:rFonts w:ascii="Arial" w:hAnsi="Arial" w:cs="Arial"/>
        </w:rPr>
        <w:t>‘appointment’</w:t>
      </w:r>
      <w:r w:rsidR="005C029D">
        <w:rPr>
          <w:rFonts w:ascii="Arial" w:hAnsi="Arial" w:cs="Arial"/>
        </w:rPr>
        <w:t xml:space="preserve">.  </w:t>
      </w:r>
      <w:r w:rsidR="00910422">
        <w:rPr>
          <w:rFonts w:ascii="Arial" w:hAnsi="Arial" w:cs="Arial"/>
        </w:rPr>
        <w:t xml:space="preserve">True it is that paragraph (a) </w:t>
      </w:r>
      <w:r w:rsidR="00C4417A">
        <w:rPr>
          <w:rFonts w:ascii="Arial" w:hAnsi="Arial" w:cs="Arial"/>
        </w:rPr>
        <w:t xml:space="preserve">above </w:t>
      </w:r>
      <w:r w:rsidR="00910422">
        <w:rPr>
          <w:rFonts w:ascii="Arial" w:hAnsi="Arial" w:cs="Arial"/>
        </w:rPr>
        <w:t xml:space="preserve">does not refer specifically to “appointment”, but there is mention of </w:t>
      </w:r>
      <w:r w:rsidR="008A464D">
        <w:rPr>
          <w:rFonts w:ascii="Arial" w:hAnsi="Arial" w:cs="Arial"/>
        </w:rPr>
        <w:t>“</w:t>
      </w:r>
      <w:r w:rsidR="00910422">
        <w:rPr>
          <w:rFonts w:ascii="Arial" w:hAnsi="Arial" w:cs="Arial"/>
        </w:rPr>
        <w:t>terms and conditions of employment</w:t>
      </w:r>
      <w:r w:rsidR="008A464D">
        <w:rPr>
          <w:rFonts w:ascii="Arial" w:hAnsi="Arial" w:cs="Arial"/>
        </w:rPr>
        <w:t>”</w:t>
      </w:r>
      <w:r w:rsidR="00910422">
        <w:rPr>
          <w:rFonts w:ascii="Arial" w:hAnsi="Arial" w:cs="Arial"/>
        </w:rPr>
        <w:t xml:space="preserve"> and </w:t>
      </w:r>
      <w:r w:rsidR="008A464D">
        <w:rPr>
          <w:rFonts w:ascii="Arial" w:hAnsi="Arial" w:cs="Arial"/>
        </w:rPr>
        <w:t>“</w:t>
      </w:r>
      <w:r w:rsidR="00910422">
        <w:rPr>
          <w:rFonts w:ascii="Arial" w:hAnsi="Arial" w:cs="Arial"/>
        </w:rPr>
        <w:t>promotion</w:t>
      </w:r>
      <w:r w:rsidR="008A464D">
        <w:rPr>
          <w:rFonts w:ascii="Arial" w:hAnsi="Arial" w:cs="Arial"/>
        </w:rPr>
        <w:t>”</w:t>
      </w:r>
      <w:r w:rsidR="00910422">
        <w:rPr>
          <w:rFonts w:ascii="Arial" w:hAnsi="Arial" w:cs="Arial"/>
        </w:rPr>
        <w:t xml:space="preserve"> and the Tribunal is of the view that </w:t>
      </w:r>
      <w:r w:rsidR="008A464D">
        <w:rPr>
          <w:rFonts w:ascii="Arial" w:hAnsi="Arial" w:cs="Arial"/>
        </w:rPr>
        <w:t xml:space="preserve">the present matter </w:t>
      </w:r>
      <w:r w:rsidR="00393CC4">
        <w:rPr>
          <w:rFonts w:ascii="Arial" w:hAnsi="Arial" w:cs="Arial"/>
        </w:rPr>
        <w:t xml:space="preserve">concerns </w:t>
      </w:r>
      <w:r w:rsidR="00F44299">
        <w:rPr>
          <w:rFonts w:ascii="Arial" w:hAnsi="Arial" w:cs="Arial"/>
        </w:rPr>
        <w:t>dispute</w:t>
      </w:r>
      <w:r w:rsidR="00393CC4">
        <w:rPr>
          <w:rFonts w:ascii="Arial" w:hAnsi="Arial" w:cs="Arial"/>
        </w:rPr>
        <w:t>s</w:t>
      </w:r>
      <w:r w:rsidR="00F44299">
        <w:rPr>
          <w:rFonts w:ascii="Arial" w:hAnsi="Arial" w:cs="Arial"/>
        </w:rPr>
        <w:t xml:space="preserve"> which </w:t>
      </w:r>
      <w:r w:rsidR="008A464D">
        <w:rPr>
          <w:rFonts w:ascii="Arial" w:hAnsi="Arial" w:cs="Arial"/>
        </w:rPr>
        <w:t xml:space="preserve">relate mainly to the ‘promotion’ or absence of promotion of the </w:t>
      </w:r>
      <w:r w:rsidR="00393CC4">
        <w:rPr>
          <w:rFonts w:ascii="Arial" w:hAnsi="Arial" w:cs="Arial"/>
        </w:rPr>
        <w:t>d</w:t>
      </w:r>
      <w:r w:rsidR="008A464D">
        <w:rPr>
          <w:rFonts w:ascii="Arial" w:hAnsi="Arial" w:cs="Arial"/>
        </w:rPr>
        <w:t>isputants</w:t>
      </w:r>
      <w:r w:rsidR="00F44299">
        <w:rPr>
          <w:rFonts w:ascii="Arial" w:hAnsi="Arial" w:cs="Arial"/>
        </w:rPr>
        <w:t xml:space="preserve">.  </w:t>
      </w:r>
      <w:r w:rsidR="00636521">
        <w:rPr>
          <w:rFonts w:ascii="Arial" w:hAnsi="Arial" w:cs="Arial"/>
        </w:rPr>
        <w:t xml:space="preserve">Indeed, it is </w:t>
      </w:r>
      <w:r w:rsidR="00794D8D">
        <w:rPr>
          <w:rFonts w:ascii="Arial" w:hAnsi="Arial" w:cs="Arial"/>
        </w:rPr>
        <w:t xml:space="preserve">apparent from the pleadings, responsibility allowance paid to the disputants (as per the relevant annexes in the Statements of Case of the disputants) </w:t>
      </w:r>
      <w:r w:rsidR="00794D8D">
        <w:rPr>
          <w:rFonts w:ascii="Arial" w:hAnsi="Arial" w:cs="Arial"/>
        </w:rPr>
        <w:lastRenderedPageBreak/>
        <w:t xml:space="preserve">and the documents produced that appointment in the grade of Coordinator would amount to a </w:t>
      </w:r>
      <w:r w:rsidR="00D65E7F">
        <w:rPr>
          <w:rFonts w:ascii="Arial" w:hAnsi="Arial" w:cs="Arial"/>
        </w:rPr>
        <w:t>‘</w:t>
      </w:r>
      <w:r w:rsidR="00794D8D">
        <w:rPr>
          <w:rFonts w:ascii="Arial" w:hAnsi="Arial" w:cs="Arial"/>
        </w:rPr>
        <w:t>promotion</w:t>
      </w:r>
      <w:r w:rsidR="00D65E7F">
        <w:rPr>
          <w:rFonts w:ascii="Arial" w:hAnsi="Arial" w:cs="Arial"/>
        </w:rPr>
        <w:t>’</w:t>
      </w:r>
      <w:r w:rsidR="00794D8D">
        <w:rPr>
          <w:rFonts w:ascii="Arial" w:hAnsi="Arial" w:cs="Arial"/>
        </w:rPr>
        <w:t xml:space="preserve"> for both disputants who are Training Officers.  </w:t>
      </w:r>
      <w:r w:rsidR="00F44299">
        <w:rPr>
          <w:rFonts w:ascii="Arial" w:hAnsi="Arial" w:cs="Arial"/>
        </w:rPr>
        <w:t>The dispute is also closely related</w:t>
      </w:r>
      <w:r w:rsidR="00910422">
        <w:rPr>
          <w:rFonts w:ascii="Arial" w:hAnsi="Arial" w:cs="Arial"/>
        </w:rPr>
        <w:t xml:space="preserve"> </w:t>
      </w:r>
      <w:r w:rsidR="00F44299">
        <w:rPr>
          <w:rFonts w:ascii="Arial" w:hAnsi="Arial" w:cs="Arial"/>
        </w:rPr>
        <w:t xml:space="preserve">or related mainly to the terms and conditions of employment of the </w:t>
      </w:r>
      <w:r w:rsidR="00D65E7F">
        <w:rPr>
          <w:rFonts w:ascii="Arial" w:hAnsi="Arial" w:cs="Arial"/>
        </w:rPr>
        <w:t>d</w:t>
      </w:r>
      <w:r w:rsidR="00F44299">
        <w:rPr>
          <w:rFonts w:ascii="Arial" w:hAnsi="Arial" w:cs="Arial"/>
        </w:rPr>
        <w:t xml:space="preserve">isputants the more so that they have been required to act as Coordinator at the Respondent for </w:t>
      </w:r>
      <w:r w:rsidR="00D65E7F">
        <w:rPr>
          <w:rFonts w:ascii="Arial" w:hAnsi="Arial" w:cs="Arial"/>
        </w:rPr>
        <w:t>long periods of</w:t>
      </w:r>
      <w:r w:rsidR="00F44299">
        <w:rPr>
          <w:rFonts w:ascii="Arial" w:hAnsi="Arial" w:cs="Arial"/>
        </w:rPr>
        <w:t xml:space="preserve"> time</w:t>
      </w:r>
      <w:r w:rsidR="00E34701">
        <w:rPr>
          <w:rFonts w:ascii="Arial" w:hAnsi="Arial" w:cs="Arial"/>
        </w:rPr>
        <w:t xml:space="preserve"> and this despite </w:t>
      </w:r>
      <w:r w:rsidR="00794D8D">
        <w:rPr>
          <w:rFonts w:ascii="Arial" w:hAnsi="Arial" w:cs="Arial"/>
        </w:rPr>
        <w:t xml:space="preserve">the 2013 </w:t>
      </w:r>
      <w:r w:rsidR="00D65E7F">
        <w:rPr>
          <w:rFonts w:ascii="Arial" w:hAnsi="Arial" w:cs="Arial"/>
        </w:rPr>
        <w:t xml:space="preserve">and 2016 </w:t>
      </w:r>
      <w:r w:rsidR="00794D8D">
        <w:rPr>
          <w:rFonts w:ascii="Arial" w:hAnsi="Arial" w:cs="Arial"/>
        </w:rPr>
        <w:t>P</w:t>
      </w:r>
      <w:r w:rsidR="00E34701">
        <w:rPr>
          <w:rFonts w:ascii="Arial" w:hAnsi="Arial" w:cs="Arial"/>
        </w:rPr>
        <w:t>RB Report</w:t>
      </w:r>
      <w:r w:rsidR="00D65E7F">
        <w:rPr>
          <w:rFonts w:ascii="Arial" w:hAnsi="Arial" w:cs="Arial"/>
        </w:rPr>
        <w:t>s</w:t>
      </w:r>
      <w:r w:rsidR="00794D8D">
        <w:rPr>
          <w:rFonts w:ascii="Arial" w:hAnsi="Arial" w:cs="Arial"/>
        </w:rPr>
        <w:t xml:space="preserve">.  The Tribunal is not satisfied that the disputes are not labour disputes simply because the word “appointment” does not appear in the definition of labour dispute under section 2 of the Act. </w:t>
      </w:r>
      <w:r w:rsidR="00E34701">
        <w:rPr>
          <w:rFonts w:ascii="Arial" w:hAnsi="Arial" w:cs="Arial"/>
        </w:rPr>
        <w:t xml:space="preserve">  </w:t>
      </w:r>
    </w:p>
    <w:p w14:paraId="477507BA" w14:textId="02E21386" w:rsidR="00A859DB" w:rsidRDefault="0093759E" w:rsidP="00F9497C">
      <w:pPr>
        <w:pStyle w:val="NormalWeb"/>
        <w:spacing w:before="0" w:beforeAutospacing="0" w:after="315" w:afterAutospacing="0" w:line="315" w:lineRule="atLeast"/>
        <w:jc w:val="both"/>
        <w:rPr>
          <w:rFonts w:ascii="Arial" w:hAnsi="Arial" w:cs="Arial"/>
        </w:rPr>
      </w:pPr>
      <w:r>
        <w:rPr>
          <w:rFonts w:ascii="Arial" w:hAnsi="Arial" w:cs="Arial"/>
        </w:rPr>
        <w:t xml:space="preserve">Also, Counsel for Respondent argued that the dispute is not a labour dispute since it has been reported more than three years after the act or omission that gave rise to the dispute.  </w:t>
      </w:r>
      <w:proofErr w:type="gramStart"/>
      <w:r>
        <w:rPr>
          <w:rFonts w:ascii="Arial" w:hAnsi="Arial" w:cs="Arial"/>
        </w:rPr>
        <w:t>Counsel for Respondent relied on part (c) of the definition of labour dispute under section 2 of the Act (see above).</w:t>
      </w:r>
      <w:proofErr w:type="gramEnd"/>
      <w:r>
        <w:rPr>
          <w:rFonts w:ascii="Arial" w:hAnsi="Arial" w:cs="Arial"/>
        </w:rPr>
        <w:t xml:space="preserve">  Counsel for </w:t>
      </w:r>
      <w:r w:rsidR="00D65E7F">
        <w:rPr>
          <w:rFonts w:ascii="Arial" w:hAnsi="Arial" w:cs="Arial"/>
        </w:rPr>
        <w:t>d</w:t>
      </w:r>
      <w:r>
        <w:rPr>
          <w:rFonts w:ascii="Arial" w:hAnsi="Arial" w:cs="Arial"/>
        </w:rPr>
        <w:t xml:space="preserve">isputants </w:t>
      </w:r>
      <w:r w:rsidR="00D65E7F">
        <w:rPr>
          <w:rFonts w:ascii="Arial" w:hAnsi="Arial" w:cs="Arial"/>
        </w:rPr>
        <w:t xml:space="preserve">however </w:t>
      </w:r>
      <w:r>
        <w:rPr>
          <w:rFonts w:ascii="Arial" w:hAnsi="Arial" w:cs="Arial"/>
        </w:rPr>
        <w:t xml:space="preserve">relied all along on the fact that the </w:t>
      </w:r>
      <w:r w:rsidR="00D65E7F">
        <w:rPr>
          <w:rFonts w:ascii="Arial" w:hAnsi="Arial" w:cs="Arial"/>
        </w:rPr>
        <w:t>d</w:t>
      </w:r>
      <w:r>
        <w:rPr>
          <w:rFonts w:ascii="Arial" w:hAnsi="Arial" w:cs="Arial"/>
        </w:rPr>
        <w:t xml:space="preserve">isputants were not informed </w:t>
      </w:r>
      <w:r w:rsidR="00A859DB">
        <w:rPr>
          <w:rFonts w:ascii="Arial" w:hAnsi="Arial" w:cs="Arial"/>
        </w:rPr>
        <w:t xml:space="preserve">that Coordinators would not be appointed </w:t>
      </w:r>
      <w:r w:rsidR="00C4417A">
        <w:rPr>
          <w:rFonts w:ascii="Arial" w:hAnsi="Arial" w:cs="Arial"/>
        </w:rPr>
        <w:t xml:space="preserve">and were not informed </w:t>
      </w:r>
      <w:r w:rsidR="00A859DB">
        <w:rPr>
          <w:rFonts w:ascii="Arial" w:hAnsi="Arial" w:cs="Arial"/>
        </w:rPr>
        <w:t>about the outcome</w:t>
      </w:r>
      <w:r w:rsidR="00D65E7F">
        <w:rPr>
          <w:rFonts w:ascii="Arial" w:hAnsi="Arial" w:cs="Arial"/>
        </w:rPr>
        <w:t>s</w:t>
      </w:r>
      <w:r w:rsidR="00A859DB">
        <w:rPr>
          <w:rFonts w:ascii="Arial" w:hAnsi="Arial" w:cs="Arial"/>
        </w:rPr>
        <w:t xml:space="preserve"> of their applications for the then vacant posts of Coordinator. </w:t>
      </w:r>
      <w:r>
        <w:rPr>
          <w:rFonts w:ascii="Arial" w:hAnsi="Arial" w:cs="Arial"/>
        </w:rPr>
        <w:t xml:space="preserve"> </w:t>
      </w:r>
    </w:p>
    <w:p w14:paraId="6FB63379" w14:textId="0D7A5EA2" w:rsidR="00E34701" w:rsidRDefault="00A859DB" w:rsidP="00F9497C">
      <w:pPr>
        <w:pStyle w:val="NormalWeb"/>
        <w:spacing w:before="0" w:beforeAutospacing="0" w:after="315" w:afterAutospacing="0" w:line="315" w:lineRule="atLeast"/>
        <w:jc w:val="both"/>
        <w:rPr>
          <w:rFonts w:ascii="Arial" w:hAnsi="Arial" w:cs="Arial"/>
        </w:rPr>
      </w:pPr>
      <w:r>
        <w:rPr>
          <w:rFonts w:ascii="Arial" w:hAnsi="Arial" w:cs="Arial"/>
        </w:rPr>
        <w:t>Indeed, the Tribunal is not satisfied in the present matter that there was a precise cut-off date in terms of an act or omission which led to the present dispute</w:t>
      </w:r>
      <w:r w:rsidR="00A7791E">
        <w:rPr>
          <w:rFonts w:ascii="Arial" w:hAnsi="Arial" w:cs="Arial"/>
        </w:rPr>
        <w:t>s</w:t>
      </w:r>
      <w:r>
        <w:rPr>
          <w:rFonts w:ascii="Arial" w:hAnsi="Arial" w:cs="Arial"/>
        </w:rPr>
        <w:t>.  Indeed, it is not disputed that the Respondent did not inform the disputants about the outcome</w:t>
      </w:r>
      <w:r w:rsidR="00D65E7F">
        <w:rPr>
          <w:rFonts w:ascii="Arial" w:hAnsi="Arial" w:cs="Arial"/>
        </w:rPr>
        <w:t>s</w:t>
      </w:r>
      <w:r>
        <w:rPr>
          <w:rFonts w:ascii="Arial" w:hAnsi="Arial" w:cs="Arial"/>
        </w:rPr>
        <w:t xml:space="preserve"> of the selection exercises in which they participated and there is no evidence </w:t>
      </w:r>
      <w:r w:rsidR="00435AF4">
        <w:rPr>
          <w:rFonts w:ascii="Arial" w:hAnsi="Arial" w:cs="Arial"/>
        </w:rPr>
        <w:t xml:space="preserve">either </w:t>
      </w:r>
      <w:r>
        <w:rPr>
          <w:rFonts w:ascii="Arial" w:hAnsi="Arial" w:cs="Arial"/>
        </w:rPr>
        <w:t xml:space="preserve">that someone else apart from </w:t>
      </w:r>
      <w:r w:rsidR="00814914">
        <w:rPr>
          <w:rFonts w:ascii="Arial" w:hAnsi="Arial" w:cs="Arial"/>
        </w:rPr>
        <w:t xml:space="preserve">the </w:t>
      </w:r>
      <w:r>
        <w:rPr>
          <w:rFonts w:ascii="Arial" w:hAnsi="Arial" w:cs="Arial"/>
        </w:rPr>
        <w:t xml:space="preserve">disputants was </w:t>
      </w:r>
      <w:r w:rsidR="00814914">
        <w:rPr>
          <w:rFonts w:ascii="Arial" w:hAnsi="Arial" w:cs="Arial"/>
        </w:rPr>
        <w:t>at any given date</w:t>
      </w:r>
      <w:r w:rsidR="00C6380F">
        <w:rPr>
          <w:rFonts w:ascii="Arial" w:hAnsi="Arial" w:cs="Arial"/>
        </w:rPr>
        <w:t xml:space="preserve"> appointed in the post of Coordinator following the said selection exercise</w:t>
      </w:r>
      <w:r w:rsidR="00D65E7F">
        <w:rPr>
          <w:rFonts w:ascii="Arial" w:hAnsi="Arial" w:cs="Arial"/>
        </w:rPr>
        <w:t>s</w:t>
      </w:r>
      <w:r w:rsidR="00C6380F">
        <w:rPr>
          <w:rFonts w:ascii="Arial" w:hAnsi="Arial" w:cs="Arial"/>
        </w:rPr>
        <w:t xml:space="preserve">.  Instead, Disputant No. 1 was </w:t>
      </w:r>
      <w:r w:rsidR="0079193F">
        <w:rPr>
          <w:rFonts w:ascii="Arial" w:hAnsi="Arial" w:cs="Arial"/>
        </w:rPr>
        <w:t xml:space="preserve">already acting as Coordinator and this was simply continued despite the abovementioned selection exercise and Disputant No. 2 was on her side offered to act as Coordinator with effect from 25 August 2006, that is, after her interviews, and this </w:t>
      </w:r>
      <w:proofErr w:type="spellStart"/>
      <w:r w:rsidR="00435AF4">
        <w:rPr>
          <w:rFonts w:ascii="Arial" w:hAnsi="Arial" w:cs="Arial"/>
        </w:rPr>
        <w:t>actingship</w:t>
      </w:r>
      <w:proofErr w:type="spellEnd"/>
      <w:r w:rsidR="00435AF4">
        <w:rPr>
          <w:rFonts w:ascii="Arial" w:hAnsi="Arial" w:cs="Arial"/>
        </w:rPr>
        <w:t xml:space="preserve"> </w:t>
      </w:r>
      <w:r w:rsidR="0079193F">
        <w:rPr>
          <w:rFonts w:ascii="Arial" w:hAnsi="Arial" w:cs="Arial"/>
        </w:rPr>
        <w:t xml:space="preserve">was </w:t>
      </w:r>
      <w:r w:rsidR="00814914">
        <w:rPr>
          <w:rFonts w:ascii="Arial" w:hAnsi="Arial" w:cs="Arial"/>
        </w:rPr>
        <w:t>from then on</w:t>
      </w:r>
      <w:r w:rsidR="0079193F">
        <w:rPr>
          <w:rFonts w:ascii="Arial" w:hAnsi="Arial" w:cs="Arial"/>
        </w:rPr>
        <w:t xml:space="preserve"> continued by the Respondent </w:t>
      </w:r>
      <w:r w:rsidR="00814914">
        <w:rPr>
          <w:rFonts w:ascii="Arial" w:hAnsi="Arial" w:cs="Arial"/>
        </w:rPr>
        <w:t>without any interruption</w:t>
      </w:r>
      <w:r w:rsidR="0079193F">
        <w:rPr>
          <w:rFonts w:ascii="Arial" w:hAnsi="Arial" w:cs="Arial"/>
        </w:rPr>
        <w:t xml:space="preserve">.  </w:t>
      </w:r>
      <w:r w:rsidR="00A7791E">
        <w:rPr>
          <w:rFonts w:ascii="Arial" w:hAnsi="Arial" w:cs="Arial"/>
        </w:rPr>
        <w:t xml:space="preserve">This was so even after </w:t>
      </w:r>
      <w:r w:rsidR="009A7A1F">
        <w:rPr>
          <w:rFonts w:ascii="Arial" w:hAnsi="Arial" w:cs="Arial"/>
        </w:rPr>
        <w:t xml:space="preserve">the </w:t>
      </w:r>
      <w:r w:rsidR="00435AF4">
        <w:rPr>
          <w:rFonts w:ascii="Arial" w:hAnsi="Arial" w:cs="Arial"/>
        </w:rPr>
        <w:t xml:space="preserve">2013 and 2016 </w:t>
      </w:r>
      <w:r w:rsidR="009A7A1F">
        <w:rPr>
          <w:rFonts w:ascii="Arial" w:hAnsi="Arial" w:cs="Arial"/>
        </w:rPr>
        <w:t>PRB Reports and wh</w:t>
      </w:r>
      <w:r w:rsidR="00611610">
        <w:rPr>
          <w:rFonts w:ascii="Arial" w:hAnsi="Arial" w:cs="Arial"/>
        </w:rPr>
        <w:t>ose</w:t>
      </w:r>
      <w:r w:rsidR="009A7A1F">
        <w:rPr>
          <w:rFonts w:ascii="Arial" w:hAnsi="Arial" w:cs="Arial"/>
        </w:rPr>
        <w:t xml:space="preserve"> </w:t>
      </w:r>
      <w:r w:rsidR="00611610">
        <w:rPr>
          <w:rFonts w:ascii="Arial" w:hAnsi="Arial" w:cs="Arial"/>
        </w:rPr>
        <w:t xml:space="preserve">recommendations </w:t>
      </w:r>
      <w:r w:rsidR="009A7A1F">
        <w:rPr>
          <w:rFonts w:ascii="Arial" w:hAnsi="Arial" w:cs="Arial"/>
        </w:rPr>
        <w:t xml:space="preserve">the disputants opted to be governed by.  </w:t>
      </w:r>
      <w:r w:rsidR="0079193F">
        <w:rPr>
          <w:rFonts w:ascii="Arial" w:hAnsi="Arial" w:cs="Arial"/>
        </w:rPr>
        <w:t>Bearing in mind the manner in which the terms of dispute have been drafted and the pleadings before us, the</w:t>
      </w:r>
      <w:r w:rsidR="00435AF4">
        <w:rPr>
          <w:rFonts w:ascii="Arial" w:hAnsi="Arial" w:cs="Arial"/>
        </w:rPr>
        <w:t xml:space="preserve"> Tribunal cannot identify a</w:t>
      </w:r>
      <w:r w:rsidR="0079193F">
        <w:rPr>
          <w:rFonts w:ascii="Arial" w:hAnsi="Arial" w:cs="Arial"/>
        </w:rPr>
        <w:t xml:space="preserve"> cut-off date for the act</w:t>
      </w:r>
      <w:r w:rsidR="00435AF4">
        <w:rPr>
          <w:rFonts w:ascii="Arial" w:hAnsi="Arial" w:cs="Arial"/>
        </w:rPr>
        <w:t>/s</w:t>
      </w:r>
      <w:r w:rsidR="0079193F">
        <w:rPr>
          <w:rFonts w:ascii="Arial" w:hAnsi="Arial" w:cs="Arial"/>
        </w:rPr>
        <w:t xml:space="preserve"> or omission</w:t>
      </w:r>
      <w:r w:rsidR="00435AF4">
        <w:rPr>
          <w:rFonts w:ascii="Arial" w:hAnsi="Arial" w:cs="Arial"/>
        </w:rPr>
        <w:t>/s</w:t>
      </w:r>
      <w:r w:rsidR="0079193F">
        <w:rPr>
          <w:rFonts w:ascii="Arial" w:hAnsi="Arial" w:cs="Arial"/>
        </w:rPr>
        <w:t xml:space="preserve"> which gave rise to the present dispute</w:t>
      </w:r>
      <w:r w:rsidR="00435AF4">
        <w:rPr>
          <w:rFonts w:ascii="Arial" w:hAnsi="Arial" w:cs="Arial"/>
        </w:rPr>
        <w:t>s</w:t>
      </w:r>
      <w:r w:rsidR="0079193F">
        <w:rPr>
          <w:rFonts w:ascii="Arial" w:hAnsi="Arial" w:cs="Arial"/>
        </w:rPr>
        <w:t xml:space="preserve">.  The disputants instead seem to be relying to a large extent on the long lapse of time that they have been requested to act as Coordinator to buttress their case before the Tribunal.  </w:t>
      </w:r>
      <w:r w:rsidR="0087316A">
        <w:rPr>
          <w:rFonts w:ascii="Arial" w:hAnsi="Arial" w:cs="Arial"/>
        </w:rPr>
        <w:t xml:space="preserve">The particular circumstances of the case are such that </w:t>
      </w:r>
      <w:r w:rsidR="00E62290">
        <w:rPr>
          <w:rFonts w:ascii="Arial" w:hAnsi="Arial" w:cs="Arial"/>
        </w:rPr>
        <w:t xml:space="preserve">they make the present matter fall, in our opinion, </w:t>
      </w:r>
      <w:r w:rsidR="00A7791E">
        <w:rPr>
          <w:rFonts w:ascii="Arial" w:hAnsi="Arial" w:cs="Arial"/>
        </w:rPr>
        <w:t>within s</w:t>
      </w:r>
      <w:r w:rsidR="00E62290">
        <w:rPr>
          <w:rFonts w:ascii="Arial" w:hAnsi="Arial" w:cs="Arial"/>
        </w:rPr>
        <w:t xml:space="preserve">uch cases which the Supreme Court in the case of </w:t>
      </w:r>
      <w:proofErr w:type="spellStart"/>
      <w:r w:rsidR="0060641B" w:rsidRPr="0060641B">
        <w:rPr>
          <w:rFonts w:ascii="Arial" w:hAnsi="Arial" w:cs="Arial"/>
          <w:b/>
        </w:rPr>
        <w:t>Ramyead-Banymandhub</w:t>
      </w:r>
      <w:proofErr w:type="spellEnd"/>
      <w:r w:rsidR="0060641B" w:rsidRPr="0060641B">
        <w:rPr>
          <w:rFonts w:ascii="Arial" w:hAnsi="Arial" w:cs="Arial"/>
          <w:b/>
        </w:rPr>
        <w:t xml:space="preserve"> v The Employment Relations Tribunal 2018 SCJ 252</w:t>
      </w:r>
      <w:r w:rsidR="0060641B">
        <w:rPr>
          <w:rFonts w:ascii="Arial" w:hAnsi="Arial" w:cs="Arial"/>
        </w:rPr>
        <w:t xml:space="preserve">, contemplated as </w:t>
      </w:r>
      <w:r w:rsidR="00A7791E">
        <w:rPr>
          <w:rFonts w:ascii="Arial" w:hAnsi="Arial" w:cs="Arial"/>
        </w:rPr>
        <w:t xml:space="preserve">cases where the act or omission </w:t>
      </w:r>
      <w:r w:rsidR="00611610">
        <w:rPr>
          <w:rFonts w:ascii="Arial" w:hAnsi="Arial" w:cs="Arial"/>
        </w:rPr>
        <w:t>could be</w:t>
      </w:r>
      <w:r w:rsidR="00A7791E">
        <w:rPr>
          <w:rFonts w:ascii="Arial" w:hAnsi="Arial" w:cs="Arial"/>
        </w:rPr>
        <w:t xml:space="preserve"> continuous in nature.  The Tribunal is thus not satisfied that the Respondent has shown positively or at least identified the act</w:t>
      </w:r>
      <w:r w:rsidR="009A7A1F">
        <w:rPr>
          <w:rFonts w:ascii="Arial" w:hAnsi="Arial" w:cs="Arial"/>
        </w:rPr>
        <w:t>/s</w:t>
      </w:r>
      <w:r w:rsidR="00A7791E">
        <w:rPr>
          <w:rFonts w:ascii="Arial" w:hAnsi="Arial" w:cs="Arial"/>
        </w:rPr>
        <w:t xml:space="preserve"> or omission</w:t>
      </w:r>
      <w:r w:rsidR="009A7A1F">
        <w:rPr>
          <w:rFonts w:ascii="Arial" w:hAnsi="Arial" w:cs="Arial"/>
        </w:rPr>
        <w:t>/s</w:t>
      </w:r>
      <w:r w:rsidR="00A7791E">
        <w:rPr>
          <w:rFonts w:ascii="Arial" w:hAnsi="Arial" w:cs="Arial"/>
        </w:rPr>
        <w:t xml:space="preserve"> which led to the present disputes</w:t>
      </w:r>
      <w:r w:rsidR="009A7A1F">
        <w:rPr>
          <w:rFonts w:ascii="Arial" w:hAnsi="Arial" w:cs="Arial"/>
        </w:rPr>
        <w:t>.  The Tribunal is thus not satisfied t</w:t>
      </w:r>
      <w:r w:rsidR="00E34701">
        <w:rPr>
          <w:rFonts w:ascii="Arial" w:hAnsi="Arial" w:cs="Arial"/>
        </w:rPr>
        <w:t>hat th</w:t>
      </w:r>
      <w:r w:rsidR="009A7A1F">
        <w:rPr>
          <w:rFonts w:ascii="Arial" w:hAnsi="Arial" w:cs="Arial"/>
        </w:rPr>
        <w:t>e</w:t>
      </w:r>
      <w:r w:rsidR="00E34701">
        <w:rPr>
          <w:rFonts w:ascii="Arial" w:hAnsi="Arial" w:cs="Arial"/>
        </w:rPr>
        <w:t xml:space="preserve"> </w:t>
      </w:r>
      <w:r w:rsidR="009A7A1F">
        <w:rPr>
          <w:rFonts w:ascii="Arial" w:hAnsi="Arial" w:cs="Arial"/>
        </w:rPr>
        <w:t xml:space="preserve">present disputes are </w:t>
      </w:r>
      <w:r w:rsidR="00E34701">
        <w:rPr>
          <w:rFonts w:ascii="Arial" w:hAnsi="Arial" w:cs="Arial"/>
        </w:rPr>
        <w:t>not labour dispute</w:t>
      </w:r>
      <w:r w:rsidR="009A7A1F">
        <w:rPr>
          <w:rFonts w:ascii="Arial" w:hAnsi="Arial" w:cs="Arial"/>
        </w:rPr>
        <w:t>s</w:t>
      </w:r>
      <w:r w:rsidR="00E34701">
        <w:rPr>
          <w:rFonts w:ascii="Arial" w:hAnsi="Arial" w:cs="Arial"/>
        </w:rPr>
        <w:t xml:space="preserve"> and</w:t>
      </w:r>
      <w:r w:rsidR="00F44299">
        <w:rPr>
          <w:rFonts w:ascii="Arial" w:hAnsi="Arial" w:cs="Arial"/>
        </w:rPr>
        <w:t xml:space="preserve"> </w:t>
      </w:r>
      <w:r w:rsidR="00E34701">
        <w:rPr>
          <w:rFonts w:ascii="Arial" w:hAnsi="Arial" w:cs="Arial"/>
        </w:rPr>
        <w:t>the objection under this limb is set aside.</w:t>
      </w:r>
    </w:p>
    <w:p w14:paraId="3BE19F0B" w14:textId="01B9983A" w:rsidR="00531630" w:rsidRDefault="00E34701" w:rsidP="00F9497C">
      <w:pPr>
        <w:pStyle w:val="NormalWeb"/>
        <w:spacing w:before="0" w:beforeAutospacing="0" w:after="315" w:afterAutospacing="0" w:line="315" w:lineRule="atLeast"/>
        <w:jc w:val="both"/>
        <w:rPr>
          <w:rFonts w:ascii="Arial" w:hAnsi="Arial" w:cs="Arial"/>
        </w:rPr>
      </w:pPr>
      <w:r>
        <w:rPr>
          <w:rFonts w:ascii="Arial" w:hAnsi="Arial" w:cs="Arial"/>
        </w:rPr>
        <w:lastRenderedPageBreak/>
        <w:t xml:space="preserve">As regards the objection under the second limb, </w:t>
      </w:r>
      <w:r w:rsidR="00531630">
        <w:rPr>
          <w:rFonts w:ascii="Arial" w:hAnsi="Arial" w:cs="Arial"/>
        </w:rPr>
        <w:t>Counsel for Respondent referred to Sections 13 and 14 of the Mauritius Institute of Training and Development Act and to the “</w:t>
      </w:r>
      <w:proofErr w:type="spellStart"/>
      <w:r w:rsidR="00531630" w:rsidRPr="00611610">
        <w:rPr>
          <w:rFonts w:ascii="Arial" w:hAnsi="Arial" w:cs="Arial"/>
          <w:i/>
        </w:rPr>
        <w:t>Pouvoir</w:t>
      </w:r>
      <w:proofErr w:type="spellEnd"/>
      <w:r w:rsidR="00531630" w:rsidRPr="00611610">
        <w:rPr>
          <w:rFonts w:ascii="Arial" w:hAnsi="Arial" w:cs="Arial"/>
          <w:i/>
        </w:rPr>
        <w:t xml:space="preserve"> de direction et de </w:t>
      </w:r>
      <w:proofErr w:type="spellStart"/>
      <w:r w:rsidR="00531630" w:rsidRPr="00611610">
        <w:rPr>
          <w:rFonts w:ascii="Arial" w:hAnsi="Arial" w:cs="Arial"/>
          <w:i/>
        </w:rPr>
        <w:t>gestion</w:t>
      </w:r>
      <w:proofErr w:type="spellEnd"/>
      <w:r w:rsidR="00531630">
        <w:rPr>
          <w:rFonts w:ascii="Arial" w:hAnsi="Arial" w:cs="Arial"/>
        </w:rPr>
        <w:t xml:space="preserve">” of the Respondent as employer.  </w:t>
      </w:r>
      <w:proofErr w:type="gramStart"/>
      <w:r w:rsidR="00531630">
        <w:rPr>
          <w:rFonts w:ascii="Arial" w:hAnsi="Arial" w:cs="Arial"/>
        </w:rPr>
        <w:t>Counsel for Respondent also referred to another point which we may deal with under th</w:t>
      </w:r>
      <w:r w:rsidR="0012320C">
        <w:rPr>
          <w:rFonts w:ascii="Arial" w:hAnsi="Arial" w:cs="Arial"/>
        </w:rPr>
        <w:t>is second</w:t>
      </w:r>
      <w:r w:rsidR="00531630">
        <w:rPr>
          <w:rFonts w:ascii="Arial" w:hAnsi="Arial" w:cs="Arial"/>
        </w:rPr>
        <w:t xml:space="preserve"> limb.</w:t>
      </w:r>
      <w:proofErr w:type="gramEnd"/>
      <w:r w:rsidR="00531630">
        <w:rPr>
          <w:rFonts w:ascii="Arial" w:hAnsi="Arial" w:cs="Arial"/>
        </w:rPr>
        <w:t xml:space="preserve">  Counsel suggested that</w:t>
      </w:r>
      <w:r w:rsidR="0012320C">
        <w:rPr>
          <w:rFonts w:ascii="Arial" w:hAnsi="Arial" w:cs="Arial"/>
        </w:rPr>
        <w:t xml:space="preserve"> an</w:t>
      </w:r>
      <w:r w:rsidR="00531630">
        <w:rPr>
          <w:rFonts w:ascii="Arial" w:hAnsi="Arial" w:cs="Arial"/>
        </w:rPr>
        <w:t xml:space="preserve"> order</w:t>
      </w:r>
      <w:r w:rsidR="0012320C">
        <w:rPr>
          <w:rFonts w:ascii="Arial" w:hAnsi="Arial" w:cs="Arial"/>
        </w:rPr>
        <w:t xml:space="preserve"> against</w:t>
      </w:r>
      <w:r w:rsidR="00531630">
        <w:rPr>
          <w:rFonts w:ascii="Arial" w:hAnsi="Arial" w:cs="Arial"/>
        </w:rPr>
        <w:t xml:space="preserve"> a statutory body like the Respondent to take action as per the prayers of the </w:t>
      </w:r>
      <w:r w:rsidR="00435AF4">
        <w:rPr>
          <w:rFonts w:ascii="Arial" w:hAnsi="Arial" w:cs="Arial"/>
        </w:rPr>
        <w:t>d</w:t>
      </w:r>
      <w:r w:rsidR="00531630">
        <w:rPr>
          <w:rFonts w:ascii="Arial" w:hAnsi="Arial" w:cs="Arial"/>
        </w:rPr>
        <w:t>isputants will be in the form of a mandamus</w:t>
      </w:r>
      <w:r w:rsidR="0035377B">
        <w:rPr>
          <w:rFonts w:ascii="Arial" w:hAnsi="Arial" w:cs="Arial"/>
        </w:rPr>
        <w:t xml:space="preserve"> and </w:t>
      </w:r>
      <w:r w:rsidR="0012320C">
        <w:rPr>
          <w:rFonts w:ascii="Arial" w:hAnsi="Arial" w:cs="Arial"/>
        </w:rPr>
        <w:t xml:space="preserve">in the nature of </w:t>
      </w:r>
      <w:r w:rsidR="0035377B">
        <w:rPr>
          <w:rFonts w:ascii="Arial" w:hAnsi="Arial" w:cs="Arial"/>
        </w:rPr>
        <w:t>a judicial review procedure</w:t>
      </w:r>
      <w:r w:rsidR="0012320C">
        <w:rPr>
          <w:rFonts w:ascii="Arial" w:hAnsi="Arial" w:cs="Arial"/>
        </w:rPr>
        <w:t>, and which this Tribunal cannot make</w:t>
      </w:r>
      <w:r w:rsidR="0035377B">
        <w:rPr>
          <w:rFonts w:ascii="Arial" w:hAnsi="Arial" w:cs="Arial"/>
        </w:rPr>
        <w:t>.</w:t>
      </w:r>
      <w:r w:rsidR="009663D9">
        <w:rPr>
          <w:rFonts w:ascii="Arial" w:hAnsi="Arial" w:cs="Arial"/>
        </w:rPr>
        <w:t xml:space="preserve">  </w:t>
      </w:r>
      <w:r w:rsidR="00531630">
        <w:rPr>
          <w:rFonts w:ascii="Arial" w:hAnsi="Arial" w:cs="Arial"/>
        </w:rPr>
        <w:t xml:space="preserve">  </w:t>
      </w:r>
    </w:p>
    <w:p w14:paraId="599F4D06" w14:textId="1C5B7B74" w:rsidR="00AB1763" w:rsidRDefault="0035377B" w:rsidP="006B5CE9">
      <w:pPr>
        <w:jc w:val="both"/>
        <w:rPr>
          <w:rFonts w:ascii="Arial" w:hAnsi="Arial" w:cs="Arial"/>
          <w:sz w:val="24"/>
          <w:szCs w:val="24"/>
        </w:rPr>
      </w:pPr>
      <w:r w:rsidRPr="006B5CE9">
        <w:rPr>
          <w:rFonts w:ascii="Arial" w:hAnsi="Arial" w:cs="Arial"/>
          <w:sz w:val="24"/>
          <w:szCs w:val="24"/>
        </w:rPr>
        <w:t xml:space="preserve">The </w:t>
      </w:r>
      <w:r w:rsidR="00E34701" w:rsidRPr="006B5CE9">
        <w:rPr>
          <w:rFonts w:ascii="Arial" w:hAnsi="Arial" w:cs="Arial"/>
          <w:sz w:val="24"/>
          <w:szCs w:val="24"/>
        </w:rPr>
        <w:t xml:space="preserve">Tribunal </w:t>
      </w:r>
      <w:r w:rsidR="006B5CE9" w:rsidRPr="006B5CE9">
        <w:rPr>
          <w:rFonts w:ascii="Arial" w:hAnsi="Arial" w:cs="Arial"/>
          <w:sz w:val="24"/>
          <w:szCs w:val="24"/>
        </w:rPr>
        <w:t xml:space="preserve">will refer to a ruling delivered in the consolidated cases of </w:t>
      </w:r>
      <w:proofErr w:type="spellStart"/>
      <w:r w:rsidR="006B5CE9" w:rsidRPr="006B5CE9">
        <w:rPr>
          <w:rFonts w:ascii="Arial" w:hAnsi="Arial" w:cs="Arial"/>
          <w:b/>
          <w:sz w:val="24"/>
          <w:szCs w:val="24"/>
        </w:rPr>
        <w:t>Mr</w:t>
      </w:r>
      <w:proofErr w:type="spellEnd"/>
      <w:r w:rsidR="006B5CE9" w:rsidRPr="006B5CE9">
        <w:rPr>
          <w:rFonts w:ascii="Arial" w:hAnsi="Arial" w:cs="Arial"/>
          <w:b/>
          <w:sz w:val="24"/>
          <w:szCs w:val="24"/>
        </w:rPr>
        <w:t xml:space="preserve"> Danny </w:t>
      </w:r>
      <w:proofErr w:type="spellStart"/>
      <w:r w:rsidR="006B5CE9" w:rsidRPr="006B5CE9">
        <w:rPr>
          <w:rFonts w:ascii="Arial" w:hAnsi="Arial" w:cs="Arial"/>
          <w:b/>
          <w:sz w:val="24"/>
          <w:szCs w:val="24"/>
        </w:rPr>
        <w:t>Clarel</w:t>
      </w:r>
      <w:proofErr w:type="spellEnd"/>
      <w:r w:rsidR="006B5CE9" w:rsidRPr="006B5CE9">
        <w:rPr>
          <w:rFonts w:ascii="Arial" w:hAnsi="Arial" w:cs="Arial"/>
          <w:b/>
          <w:sz w:val="24"/>
          <w:szCs w:val="24"/>
        </w:rPr>
        <w:t xml:space="preserve"> </w:t>
      </w:r>
      <w:proofErr w:type="spellStart"/>
      <w:r w:rsidR="006B5CE9" w:rsidRPr="006B5CE9">
        <w:rPr>
          <w:rFonts w:ascii="Arial" w:hAnsi="Arial" w:cs="Arial"/>
          <w:b/>
          <w:sz w:val="24"/>
          <w:szCs w:val="24"/>
        </w:rPr>
        <w:t>Agathe</w:t>
      </w:r>
      <w:proofErr w:type="spellEnd"/>
      <w:r w:rsidR="006B5CE9" w:rsidRPr="006B5CE9">
        <w:rPr>
          <w:rFonts w:ascii="Arial" w:hAnsi="Arial" w:cs="Arial"/>
          <w:b/>
          <w:sz w:val="24"/>
          <w:szCs w:val="24"/>
        </w:rPr>
        <w:t xml:space="preserve"> and Others And </w:t>
      </w:r>
      <w:r w:rsidR="006B5CE9">
        <w:rPr>
          <w:rFonts w:ascii="Arial" w:hAnsi="Arial" w:cs="Arial"/>
          <w:b/>
          <w:sz w:val="24"/>
          <w:szCs w:val="24"/>
        </w:rPr>
        <w:t>T</w:t>
      </w:r>
      <w:r w:rsidR="006B5CE9" w:rsidRPr="006B5CE9">
        <w:rPr>
          <w:rFonts w:ascii="Arial" w:hAnsi="Arial" w:cs="Arial"/>
          <w:b/>
          <w:sz w:val="24"/>
          <w:szCs w:val="24"/>
        </w:rPr>
        <w:t>he State of Mauritius as represented by The Ministry of Finance, Economic Planning and Development</w:t>
      </w:r>
      <w:r w:rsidR="006B5CE9">
        <w:rPr>
          <w:rFonts w:ascii="Arial" w:hAnsi="Arial" w:cs="Arial"/>
          <w:b/>
          <w:sz w:val="24"/>
          <w:szCs w:val="24"/>
        </w:rPr>
        <w:t>, in presence of Pay Research Bureau</w:t>
      </w:r>
      <w:r w:rsidR="006B5CE9" w:rsidRPr="006B5CE9">
        <w:rPr>
          <w:rFonts w:ascii="Arial" w:hAnsi="Arial" w:cs="Arial"/>
          <w:b/>
          <w:sz w:val="24"/>
          <w:szCs w:val="24"/>
        </w:rPr>
        <w:t xml:space="preserve"> &amp; others, </w:t>
      </w:r>
      <w:r w:rsidR="006B5CE9">
        <w:rPr>
          <w:rFonts w:ascii="Arial" w:hAnsi="Arial" w:cs="Arial"/>
          <w:b/>
          <w:sz w:val="24"/>
          <w:szCs w:val="24"/>
        </w:rPr>
        <w:t>ERT/RN 107/20- 135/20</w:t>
      </w:r>
      <w:r w:rsidR="006B5CE9">
        <w:rPr>
          <w:rFonts w:ascii="Arial" w:hAnsi="Arial" w:cs="Arial"/>
          <w:sz w:val="24"/>
          <w:szCs w:val="24"/>
        </w:rPr>
        <w:t>, where the Tribunal highlighted the powers of the Tribunal under the Act, as amended</w:t>
      </w:r>
      <w:r w:rsidR="00435AF4">
        <w:rPr>
          <w:rFonts w:ascii="Arial" w:hAnsi="Arial" w:cs="Arial"/>
          <w:sz w:val="24"/>
          <w:szCs w:val="24"/>
        </w:rPr>
        <w:t>,</w:t>
      </w:r>
      <w:r w:rsidR="006B5CE9">
        <w:rPr>
          <w:rFonts w:ascii="Arial" w:hAnsi="Arial" w:cs="Arial"/>
          <w:sz w:val="24"/>
          <w:szCs w:val="24"/>
        </w:rPr>
        <w:t xml:space="preserve"> and the special nature of the disputes which come before the Tribunal for arbitration.  The Tribunal will </w:t>
      </w:r>
      <w:r w:rsidR="00AB1763">
        <w:rPr>
          <w:rFonts w:ascii="Arial" w:hAnsi="Arial" w:cs="Arial"/>
          <w:sz w:val="24"/>
          <w:szCs w:val="24"/>
        </w:rPr>
        <w:t xml:space="preserve">quote </w:t>
      </w:r>
      <w:r w:rsidR="00BF6416">
        <w:rPr>
          <w:rFonts w:ascii="Arial" w:hAnsi="Arial" w:cs="Arial"/>
          <w:sz w:val="24"/>
          <w:szCs w:val="24"/>
        </w:rPr>
        <w:t xml:space="preserve">extensively </w:t>
      </w:r>
      <w:r w:rsidR="00AB1763">
        <w:rPr>
          <w:rFonts w:ascii="Arial" w:hAnsi="Arial" w:cs="Arial"/>
          <w:sz w:val="24"/>
          <w:szCs w:val="24"/>
        </w:rPr>
        <w:t>from the ruling delivered in t</w:t>
      </w:r>
      <w:r w:rsidR="006B5CE9">
        <w:rPr>
          <w:rFonts w:ascii="Arial" w:hAnsi="Arial" w:cs="Arial"/>
          <w:sz w:val="24"/>
          <w:szCs w:val="24"/>
        </w:rPr>
        <w:t xml:space="preserve">he </w:t>
      </w:r>
      <w:r w:rsidR="00435AF4">
        <w:rPr>
          <w:rFonts w:ascii="Arial" w:hAnsi="Arial" w:cs="Arial"/>
          <w:sz w:val="24"/>
          <w:szCs w:val="24"/>
        </w:rPr>
        <w:t>above-mentioned</w:t>
      </w:r>
      <w:r w:rsidR="006B5CE9">
        <w:rPr>
          <w:rFonts w:ascii="Arial" w:hAnsi="Arial" w:cs="Arial"/>
          <w:sz w:val="24"/>
          <w:szCs w:val="24"/>
        </w:rPr>
        <w:t xml:space="preserve"> cases</w:t>
      </w:r>
      <w:r w:rsidR="00435AF4">
        <w:rPr>
          <w:rFonts w:ascii="Arial" w:hAnsi="Arial" w:cs="Arial"/>
          <w:sz w:val="24"/>
          <w:szCs w:val="24"/>
        </w:rPr>
        <w:t xml:space="preserve"> of </w:t>
      </w:r>
      <w:proofErr w:type="spellStart"/>
      <w:r w:rsidR="00BF6416" w:rsidRPr="006B5CE9">
        <w:rPr>
          <w:rFonts w:ascii="Arial" w:hAnsi="Arial" w:cs="Arial"/>
          <w:b/>
          <w:sz w:val="24"/>
          <w:szCs w:val="24"/>
        </w:rPr>
        <w:t>Mr</w:t>
      </w:r>
      <w:proofErr w:type="spellEnd"/>
      <w:r w:rsidR="00BF6416" w:rsidRPr="006B5CE9">
        <w:rPr>
          <w:rFonts w:ascii="Arial" w:hAnsi="Arial" w:cs="Arial"/>
          <w:b/>
          <w:sz w:val="24"/>
          <w:szCs w:val="24"/>
        </w:rPr>
        <w:t xml:space="preserve"> Danny </w:t>
      </w:r>
      <w:proofErr w:type="spellStart"/>
      <w:r w:rsidR="00BF6416" w:rsidRPr="006B5CE9">
        <w:rPr>
          <w:rFonts w:ascii="Arial" w:hAnsi="Arial" w:cs="Arial"/>
          <w:b/>
          <w:sz w:val="24"/>
          <w:szCs w:val="24"/>
        </w:rPr>
        <w:t>Clarel</w:t>
      </w:r>
      <w:proofErr w:type="spellEnd"/>
      <w:r w:rsidR="00BF6416" w:rsidRPr="006B5CE9">
        <w:rPr>
          <w:rFonts w:ascii="Arial" w:hAnsi="Arial" w:cs="Arial"/>
          <w:b/>
          <w:sz w:val="24"/>
          <w:szCs w:val="24"/>
        </w:rPr>
        <w:t xml:space="preserve"> </w:t>
      </w:r>
      <w:proofErr w:type="spellStart"/>
      <w:r w:rsidR="00BF6416" w:rsidRPr="006B5CE9">
        <w:rPr>
          <w:rFonts w:ascii="Arial" w:hAnsi="Arial" w:cs="Arial"/>
          <w:b/>
          <w:sz w:val="24"/>
          <w:szCs w:val="24"/>
        </w:rPr>
        <w:t>Agathe</w:t>
      </w:r>
      <w:proofErr w:type="spellEnd"/>
      <w:r w:rsidR="00BF6416" w:rsidRPr="006B5CE9">
        <w:rPr>
          <w:rFonts w:ascii="Arial" w:hAnsi="Arial" w:cs="Arial"/>
          <w:b/>
          <w:sz w:val="24"/>
          <w:szCs w:val="24"/>
        </w:rPr>
        <w:t xml:space="preserve"> and Others</w:t>
      </w:r>
      <w:r w:rsidR="00BF6416">
        <w:rPr>
          <w:rFonts w:ascii="Arial" w:hAnsi="Arial" w:cs="Arial"/>
          <w:b/>
          <w:sz w:val="24"/>
          <w:szCs w:val="24"/>
        </w:rPr>
        <w:t xml:space="preserve"> (above)</w:t>
      </w:r>
      <w:r w:rsidR="00AB1763">
        <w:rPr>
          <w:rFonts w:ascii="Arial" w:hAnsi="Arial" w:cs="Arial"/>
          <w:sz w:val="24"/>
          <w:szCs w:val="24"/>
        </w:rPr>
        <w:t>:</w:t>
      </w:r>
    </w:p>
    <w:p w14:paraId="4F5ACBD3" w14:textId="77777777" w:rsidR="00A91097" w:rsidRDefault="00A91097" w:rsidP="00AA47DF">
      <w:pPr>
        <w:ind w:left="426"/>
        <w:jc w:val="both"/>
        <w:rPr>
          <w:rFonts w:ascii="Arial" w:hAnsi="Arial" w:cs="Arial"/>
          <w:sz w:val="24"/>
          <w:szCs w:val="24"/>
        </w:rPr>
      </w:pPr>
      <w:r>
        <w:rPr>
          <w:rFonts w:ascii="Arial" w:hAnsi="Arial" w:cs="Arial"/>
          <w:sz w:val="24"/>
          <w:szCs w:val="24"/>
        </w:rPr>
        <w:t xml:space="preserve">“The Tribunal when enquiring into the dispute, as required under section 70(1) of the Act, will be very cautious not to usurp the powers or jurisdiction of Co-Respondent No 3, or for that matter, of any other party.  The Tribunal will refer to the case of </w:t>
      </w:r>
      <w:r w:rsidRPr="00F70917">
        <w:rPr>
          <w:rFonts w:ascii="Arial" w:hAnsi="Arial" w:cs="Arial"/>
          <w:b/>
          <w:bCs/>
          <w:sz w:val="24"/>
          <w:szCs w:val="24"/>
        </w:rPr>
        <w:t xml:space="preserve">Government Servants’ Association </w:t>
      </w:r>
      <w:proofErr w:type="gramStart"/>
      <w:r>
        <w:rPr>
          <w:rFonts w:ascii="Arial" w:hAnsi="Arial" w:cs="Arial"/>
          <w:b/>
          <w:bCs/>
          <w:sz w:val="24"/>
          <w:szCs w:val="24"/>
        </w:rPr>
        <w:t>A</w:t>
      </w:r>
      <w:r w:rsidRPr="00F70917">
        <w:rPr>
          <w:rFonts w:ascii="Arial" w:hAnsi="Arial" w:cs="Arial"/>
          <w:b/>
          <w:bCs/>
          <w:sz w:val="24"/>
          <w:szCs w:val="24"/>
        </w:rPr>
        <w:t>nd</w:t>
      </w:r>
      <w:proofErr w:type="gramEnd"/>
      <w:r w:rsidRPr="00F70917">
        <w:rPr>
          <w:rFonts w:ascii="Arial" w:hAnsi="Arial" w:cs="Arial"/>
          <w:b/>
          <w:bCs/>
          <w:sz w:val="24"/>
          <w:szCs w:val="24"/>
        </w:rPr>
        <w:t xml:space="preserve"> The Master &amp; Registrar &amp; </w:t>
      </w:r>
      <w:proofErr w:type="spellStart"/>
      <w:r w:rsidRPr="00F70917">
        <w:rPr>
          <w:rFonts w:ascii="Arial" w:hAnsi="Arial" w:cs="Arial"/>
          <w:b/>
          <w:bCs/>
          <w:sz w:val="24"/>
          <w:szCs w:val="24"/>
        </w:rPr>
        <w:t>Anor</w:t>
      </w:r>
      <w:proofErr w:type="spellEnd"/>
      <w:r w:rsidRPr="00F70917">
        <w:rPr>
          <w:rFonts w:ascii="Arial" w:hAnsi="Arial" w:cs="Arial"/>
          <w:b/>
          <w:bCs/>
          <w:sz w:val="24"/>
          <w:szCs w:val="24"/>
        </w:rPr>
        <w:t>, RN 298</w:t>
      </w:r>
      <w:r>
        <w:t xml:space="preserve"> </w:t>
      </w:r>
      <w:r>
        <w:rPr>
          <w:rFonts w:ascii="Arial" w:hAnsi="Arial" w:cs="Arial"/>
          <w:sz w:val="24"/>
          <w:szCs w:val="24"/>
        </w:rPr>
        <w:t>where the Permanent Arbitration Tribunal stated the following:</w:t>
      </w:r>
    </w:p>
    <w:p w14:paraId="694A4606" w14:textId="77777777" w:rsidR="00A91097" w:rsidRPr="00F70917" w:rsidRDefault="00A91097" w:rsidP="00AA47DF">
      <w:pPr>
        <w:ind w:left="426"/>
        <w:jc w:val="both"/>
        <w:rPr>
          <w:rFonts w:ascii="Arial" w:hAnsi="Arial" w:cs="Arial"/>
          <w:i/>
          <w:iCs/>
          <w:sz w:val="24"/>
          <w:szCs w:val="24"/>
        </w:rPr>
      </w:pPr>
      <w:r w:rsidRPr="00F70917">
        <w:rPr>
          <w:rFonts w:ascii="Arial" w:hAnsi="Arial" w:cs="Arial"/>
          <w:i/>
          <w:iCs/>
          <w:sz w:val="24"/>
          <w:szCs w:val="24"/>
        </w:rPr>
        <w:t>“These proceedings have involved a number of institutions, including the Public Service Commission and we are grateful to all those concerned for their utmost cooperation. The Tribunal is conscious that it should not be seen as seeking to usurp the exclusive rights of other authorities. Our sole aim is and can only be industrial peace and the promotion of Justice.”</w:t>
      </w:r>
    </w:p>
    <w:p w14:paraId="616D555B" w14:textId="77777777" w:rsidR="00A91097" w:rsidRDefault="00A91097" w:rsidP="00AA47DF">
      <w:pPr>
        <w:ind w:left="426"/>
        <w:jc w:val="both"/>
        <w:rPr>
          <w:rFonts w:ascii="Arial" w:hAnsi="Arial" w:cs="Arial"/>
          <w:sz w:val="24"/>
          <w:szCs w:val="24"/>
        </w:rPr>
      </w:pPr>
      <w:r>
        <w:rPr>
          <w:rFonts w:ascii="Arial" w:hAnsi="Arial" w:cs="Arial"/>
          <w:sz w:val="24"/>
          <w:szCs w:val="24"/>
        </w:rPr>
        <w:t xml:space="preserve">The Tribunal has wide powers and may, for example, </w:t>
      </w:r>
      <w:r w:rsidRPr="00CA7CF1">
        <w:rPr>
          <w:rFonts w:ascii="Arial" w:hAnsi="Arial" w:cs="Arial"/>
          <w:sz w:val="24"/>
          <w:szCs w:val="24"/>
        </w:rPr>
        <w:t>in relation to any dispute or other matter before it</w:t>
      </w:r>
      <w:r>
        <w:rPr>
          <w:rFonts w:ascii="Arial" w:hAnsi="Arial" w:cs="Arial"/>
          <w:sz w:val="24"/>
          <w:szCs w:val="24"/>
        </w:rPr>
        <w:t>,</w:t>
      </w:r>
      <w:r w:rsidRPr="00CA7CF1">
        <w:rPr>
          <w:rFonts w:ascii="Arial" w:hAnsi="Arial" w:cs="Arial"/>
          <w:sz w:val="24"/>
          <w:szCs w:val="24"/>
        </w:rPr>
        <w:t xml:space="preserve"> remit the matter, subject to such conditions as it may determine, to the parties for further consideration by them with a view to settling or limiting the several issues in dispute</w:t>
      </w:r>
      <w:r>
        <w:rPr>
          <w:rFonts w:ascii="Arial" w:hAnsi="Arial" w:cs="Arial"/>
          <w:sz w:val="24"/>
          <w:szCs w:val="24"/>
        </w:rPr>
        <w:t xml:space="preserve"> (section 6(2</w:t>
      </w:r>
      <w:proofErr w:type="gramStart"/>
      <w:r>
        <w:rPr>
          <w:rFonts w:ascii="Arial" w:hAnsi="Arial" w:cs="Arial"/>
          <w:sz w:val="24"/>
          <w:szCs w:val="24"/>
        </w:rPr>
        <w:t>)(</w:t>
      </w:r>
      <w:proofErr w:type="gramEnd"/>
      <w:r>
        <w:rPr>
          <w:rFonts w:ascii="Arial" w:hAnsi="Arial" w:cs="Arial"/>
          <w:sz w:val="24"/>
          <w:szCs w:val="24"/>
        </w:rPr>
        <w:t>a) of the Second Schedule to the Act).  Sections 6(2</w:t>
      </w:r>
      <w:proofErr w:type="gramStart"/>
      <w:r>
        <w:rPr>
          <w:rFonts w:ascii="Arial" w:hAnsi="Arial" w:cs="Arial"/>
          <w:sz w:val="24"/>
          <w:szCs w:val="24"/>
        </w:rPr>
        <w:t>)(</w:t>
      </w:r>
      <w:proofErr w:type="gramEnd"/>
      <w:r>
        <w:rPr>
          <w:rFonts w:ascii="Arial" w:hAnsi="Arial" w:cs="Arial"/>
          <w:sz w:val="24"/>
          <w:szCs w:val="24"/>
        </w:rPr>
        <w:t>b) of the Second Schedule to the Act even provides as follows:</w:t>
      </w:r>
    </w:p>
    <w:p w14:paraId="3A706398" w14:textId="77777777" w:rsidR="00A91097" w:rsidRDefault="00A91097" w:rsidP="00AA47DF">
      <w:pPr>
        <w:ind w:firstLine="709"/>
        <w:jc w:val="both"/>
        <w:rPr>
          <w:rFonts w:ascii="Arial" w:hAnsi="Arial" w:cs="Arial"/>
          <w:i/>
          <w:iCs/>
          <w:sz w:val="24"/>
          <w:szCs w:val="24"/>
        </w:rPr>
      </w:pPr>
      <w:r w:rsidRPr="00E07BC4">
        <w:rPr>
          <w:rFonts w:ascii="Arial" w:hAnsi="Arial" w:cs="Arial"/>
          <w:i/>
          <w:iCs/>
          <w:sz w:val="24"/>
          <w:szCs w:val="24"/>
        </w:rPr>
        <w:t xml:space="preserve">6. (1) </w:t>
      </w:r>
      <w:r>
        <w:rPr>
          <w:rFonts w:ascii="Arial" w:hAnsi="Arial" w:cs="Arial"/>
          <w:i/>
          <w:iCs/>
          <w:sz w:val="24"/>
          <w:szCs w:val="24"/>
        </w:rPr>
        <w:t xml:space="preserve">… </w:t>
      </w:r>
    </w:p>
    <w:p w14:paraId="04A98867" w14:textId="77777777" w:rsidR="00A91097" w:rsidRDefault="00A91097" w:rsidP="00AA47DF">
      <w:pPr>
        <w:ind w:left="993"/>
        <w:jc w:val="both"/>
        <w:rPr>
          <w:rFonts w:ascii="Arial" w:hAnsi="Arial" w:cs="Arial"/>
          <w:i/>
          <w:iCs/>
          <w:sz w:val="24"/>
          <w:szCs w:val="24"/>
        </w:rPr>
      </w:pPr>
      <w:r w:rsidRPr="00E07BC4">
        <w:rPr>
          <w:rFonts w:ascii="Arial" w:hAnsi="Arial" w:cs="Arial"/>
          <w:i/>
          <w:iCs/>
          <w:sz w:val="24"/>
          <w:szCs w:val="24"/>
        </w:rPr>
        <w:t xml:space="preserve">(2) The Tribunal may in relation to any dispute or other matter before it – </w:t>
      </w:r>
    </w:p>
    <w:p w14:paraId="76E28426" w14:textId="77777777" w:rsidR="00A91097" w:rsidRDefault="00A91097" w:rsidP="00361614">
      <w:pPr>
        <w:ind w:left="993" w:firstLine="141"/>
        <w:jc w:val="both"/>
        <w:rPr>
          <w:rFonts w:ascii="Arial" w:hAnsi="Arial" w:cs="Arial"/>
          <w:i/>
          <w:iCs/>
          <w:sz w:val="24"/>
          <w:szCs w:val="24"/>
        </w:rPr>
      </w:pPr>
      <w:r w:rsidRPr="00E07BC4">
        <w:rPr>
          <w:rFonts w:ascii="Arial" w:hAnsi="Arial" w:cs="Arial"/>
          <w:i/>
          <w:iCs/>
          <w:sz w:val="24"/>
          <w:szCs w:val="24"/>
        </w:rPr>
        <w:t xml:space="preserve">(a) </w:t>
      </w:r>
      <w:r>
        <w:rPr>
          <w:rFonts w:ascii="Arial" w:hAnsi="Arial" w:cs="Arial"/>
          <w:i/>
          <w:iCs/>
          <w:sz w:val="24"/>
          <w:szCs w:val="24"/>
        </w:rPr>
        <w:t>…</w:t>
      </w:r>
      <w:r w:rsidRPr="00E07BC4">
        <w:rPr>
          <w:rFonts w:ascii="Arial" w:hAnsi="Arial" w:cs="Arial"/>
          <w:i/>
          <w:iCs/>
          <w:sz w:val="24"/>
          <w:szCs w:val="24"/>
        </w:rPr>
        <w:t xml:space="preserve">; </w:t>
      </w:r>
    </w:p>
    <w:p w14:paraId="6AF49080" w14:textId="77777777" w:rsidR="00A91097" w:rsidRDefault="00A91097" w:rsidP="00361614">
      <w:pPr>
        <w:ind w:left="1134"/>
        <w:jc w:val="both"/>
        <w:rPr>
          <w:rFonts w:ascii="Arial" w:hAnsi="Arial" w:cs="Arial"/>
          <w:i/>
          <w:iCs/>
          <w:sz w:val="24"/>
          <w:szCs w:val="24"/>
        </w:rPr>
      </w:pPr>
      <w:r w:rsidRPr="00E07BC4">
        <w:rPr>
          <w:rFonts w:ascii="Arial" w:hAnsi="Arial" w:cs="Arial"/>
          <w:i/>
          <w:iCs/>
          <w:sz w:val="24"/>
          <w:szCs w:val="24"/>
        </w:rPr>
        <w:lastRenderedPageBreak/>
        <w:t xml:space="preserve">(b) dismiss any matter or refrain from further hearing or from determining the matter, if it appears to the Tribunal that the matter is trivial, or that further proceedings are unnecessary, or undesirable in the public interest; </w:t>
      </w:r>
    </w:p>
    <w:p w14:paraId="43587184" w14:textId="77777777" w:rsidR="00A91097" w:rsidRDefault="00A91097" w:rsidP="00AA47DF">
      <w:pPr>
        <w:ind w:left="426"/>
        <w:jc w:val="both"/>
        <w:rPr>
          <w:rFonts w:ascii="Arial" w:hAnsi="Arial" w:cs="Arial"/>
          <w:sz w:val="24"/>
          <w:szCs w:val="24"/>
        </w:rPr>
      </w:pPr>
      <w:r>
        <w:rPr>
          <w:rFonts w:ascii="Arial" w:hAnsi="Arial" w:cs="Arial"/>
          <w:sz w:val="24"/>
          <w:szCs w:val="24"/>
        </w:rPr>
        <w:t>The Tribunal will have to ensure, when, and only if, it will have to deliver an award after hearing all the parties, that its award does not contain any provision inconsistent with any enactment in line with section 72(5) of the Act.  This objection is, at best, premature and is set aside.</w:t>
      </w:r>
    </w:p>
    <w:p w14:paraId="3307A7E6" w14:textId="77777777" w:rsidR="00AB1763" w:rsidRDefault="00A91097" w:rsidP="00AA47DF">
      <w:pPr>
        <w:ind w:left="567"/>
        <w:jc w:val="both"/>
        <w:rPr>
          <w:rFonts w:ascii="Arial" w:hAnsi="Arial" w:cs="Arial"/>
          <w:sz w:val="24"/>
          <w:szCs w:val="24"/>
        </w:rPr>
      </w:pPr>
      <w:r>
        <w:rPr>
          <w:rFonts w:ascii="Arial" w:hAnsi="Arial" w:cs="Arial"/>
          <w:sz w:val="24"/>
          <w:szCs w:val="24"/>
        </w:rPr>
        <w:t>…</w:t>
      </w:r>
    </w:p>
    <w:p w14:paraId="47C0FF51" w14:textId="77777777" w:rsidR="00965CC8" w:rsidRDefault="00965CC8" w:rsidP="00965CC8">
      <w:pPr>
        <w:ind w:left="426"/>
        <w:jc w:val="both"/>
        <w:rPr>
          <w:rFonts w:ascii="Arial" w:hAnsi="Arial" w:cs="Arial"/>
          <w:i/>
          <w:iCs/>
          <w:sz w:val="24"/>
          <w:szCs w:val="24"/>
        </w:rPr>
      </w:pPr>
      <w:r>
        <w:rPr>
          <w:rFonts w:ascii="Arial" w:hAnsi="Arial" w:cs="Arial"/>
          <w:sz w:val="24"/>
          <w:szCs w:val="24"/>
        </w:rPr>
        <w:t xml:space="preserve">Once the Tribunal is satisfied that a dispute falls within the definition of a </w:t>
      </w:r>
      <w:proofErr w:type="spellStart"/>
      <w:r>
        <w:rPr>
          <w:rFonts w:ascii="Arial" w:hAnsi="Arial" w:cs="Arial"/>
          <w:sz w:val="24"/>
          <w:szCs w:val="24"/>
        </w:rPr>
        <w:t>labour</w:t>
      </w:r>
      <w:proofErr w:type="spellEnd"/>
      <w:r>
        <w:rPr>
          <w:rFonts w:ascii="Arial" w:hAnsi="Arial" w:cs="Arial"/>
          <w:sz w:val="24"/>
          <w:szCs w:val="24"/>
        </w:rPr>
        <w:t xml:space="preserve"> dispute and is not expressly excluded from the jurisdiction of the Tribunal (under say section 71 of the Act), the Tribunal shall proceed with the matter.  It is apposite to note that section 85(1) of the Act provides that “The Permanent Arbitration Tribunal established under section 39 of the repealed Industrial Relations Act is deemed to have been established under this Act and is renamed as the Employment Relations Tribunal.”  The functions of the Tribunal as per the Act include making awards (section 86 of the Act) and the Tribunal has been given wide powers to deal with </w:t>
      </w:r>
      <w:proofErr w:type="spellStart"/>
      <w:r>
        <w:rPr>
          <w:rFonts w:ascii="Arial" w:hAnsi="Arial" w:cs="Arial"/>
          <w:sz w:val="24"/>
          <w:szCs w:val="24"/>
        </w:rPr>
        <w:t>labour</w:t>
      </w:r>
      <w:proofErr w:type="spellEnd"/>
      <w:r>
        <w:rPr>
          <w:rFonts w:ascii="Arial" w:hAnsi="Arial" w:cs="Arial"/>
          <w:sz w:val="24"/>
          <w:szCs w:val="24"/>
        </w:rPr>
        <w:t xml:space="preserve"> disputes and other matters before it.  Thus, under section 15 (of Part IV) of the Second Schedule to the Act, the Tribunal “</w:t>
      </w:r>
      <w:r w:rsidRPr="00C538CA">
        <w:rPr>
          <w:rFonts w:ascii="Arial" w:hAnsi="Arial" w:cs="Arial"/>
          <w:i/>
          <w:sz w:val="24"/>
          <w:szCs w:val="24"/>
        </w:rPr>
        <w:t>may conduct its proceedings in a manner it deems appropriate in order to determine any matter before it fairly and promptly and may deal with the substantial merits of such matter with a minimum of legal formalities</w:t>
      </w:r>
      <w:r>
        <w:rPr>
          <w:rFonts w:ascii="Arial" w:hAnsi="Arial" w:cs="Arial"/>
          <w:sz w:val="24"/>
          <w:szCs w:val="24"/>
        </w:rPr>
        <w:t xml:space="preserve">.  </w:t>
      </w:r>
    </w:p>
    <w:p w14:paraId="520F9B52" w14:textId="77777777" w:rsidR="00965CC8" w:rsidRDefault="00965CC8" w:rsidP="00965CC8">
      <w:pPr>
        <w:ind w:firstLine="426"/>
        <w:jc w:val="both"/>
        <w:rPr>
          <w:rFonts w:ascii="Arial" w:hAnsi="Arial" w:cs="Arial"/>
          <w:i/>
          <w:iCs/>
          <w:sz w:val="24"/>
          <w:szCs w:val="24"/>
        </w:rPr>
      </w:pPr>
      <w:r>
        <w:rPr>
          <w:rFonts w:ascii="Arial" w:hAnsi="Arial" w:cs="Arial"/>
          <w:i/>
          <w:iCs/>
          <w:sz w:val="24"/>
          <w:szCs w:val="24"/>
        </w:rPr>
        <w:t>…</w:t>
      </w:r>
    </w:p>
    <w:p w14:paraId="3BC66AE9" w14:textId="77777777" w:rsidR="00965CC8" w:rsidRDefault="00965CC8" w:rsidP="00965CC8">
      <w:pPr>
        <w:ind w:left="426"/>
        <w:jc w:val="both"/>
        <w:rPr>
          <w:rFonts w:ascii="Arial" w:hAnsi="Arial" w:cs="Arial"/>
          <w:sz w:val="24"/>
          <w:szCs w:val="24"/>
        </w:rPr>
      </w:pPr>
      <w:r>
        <w:rPr>
          <w:rFonts w:ascii="Arial" w:hAnsi="Arial" w:cs="Arial"/>
          <w:sz w:val="24"/>
          <w:szCs w:val="24"/>
        </w:rPr>
        <w:t xml:space="preserve">The Tribunal deals with employment relations matters and is given wide powers which are consonant with the settlement of </w:t>
      </w:r>
      <w:proofErr w:type="spellStart"/>
      <w:r>
        <w:rPr>
          <w:rFonts w:ascii="Arial" w:hAnsi="Arial" w:cs="Arial"/>
          <w:sz w:val="24"/>
          <w:szCs w:val="24"/>
        </w:rPr>
        <w:t>labour</w:t>
      </w:r>
      <w:proofErr w:type="spellEnd"/>
      <w:r>
        <w:rPr>
          <w:rFonts w:ascii="Arial" w:hAnsi="Arial" w:cs="Arial"/>
          <w:sz w:val="24"/>
          <w:szCs w:val="24"/>
        </w:rPr>
        <w:t xml:space="preserve"> disputes whilst it has also to uphold the principles and best practices of good employment relations.  The Tribunal, for instance, is not bound by the law of evidence in force in Mauritius (section 20(1) (of Part IV) of the Second Schedule to the Act) and may, in the exercise of its functions in relation to a matter before it under the Act have regard to the principles of natural justice, the interests of the persons immediately concerned and the community as a whole and other principles (section 97 of the Act).  </w:t>
      </w:r>
    </w:p>
    <w:p w14:paraId="4600497B" w14:textId="77777777" w:rsidR="00A91097" w:rsidRDefault="0016478E" w:rsidP="0016478E">
      <w:pPr>
        <w:ind w:firstLine="426"/>
        <w:jc w:val="both"/>
        <w:rPr>
          <w:rFonts w:ascii="Arial" w:hAnsi="Arial" w:cs="Arial"/>
          <w:sz w:val="24"/>
          <w:szCs w:val="24"/>
        </w:rPr>
      </w:pPr>
      <w:r>
        <w:rPr>
          <w:rFonts w:ascii="Arial" w:hAnsi="Arial" w:cs="Arial"/>
          <w:sz w:val="24"/>
          <w:szCs w:val="24"/>
        </w:rPr>
        <w:t>…</w:t>
      </w:r>
    </w:p>
    <w:p w14:paraId="140FCF8C" w14:textId="77777777" w:rsidR="0016478E" w:rsidRDefault="0016478E" w:rsidP="0016478E">
      <w:pPr>
        <w:ind w:left="426"/>
        <w:jc w:val="both"/>
        <w:rPr>
          <w:rFonts w:ascii="Arial" w:hAnsi="Arial" w:cs="Arial"/>
          <w:sz w:val="24"/>
          <w:szCs w:val="24"/>
        </w:rPr>
      </w:pPr>
      <w:r>
        <w:rPr>
          <w:rFonts w:ascii="Arial" w:hAnsi="Arial" w:cs="Arial"/>
          <w:sz w:val="24"/>
          <w:szCs w:val="24"/>
        </w:rPr>
        <w:t xml:space="preserve">Bearing in mind our conclusion that the disputes are </w:t>
      </w:r>
      <w:proofErr w:type="spellStart"/>
      <w:r>
        <w:rPr>
          <w:rFonts w:ascii="Arial" w:hAnsi="Arial" w:cs="Arial"/>
          <w:sz w:val="24"/>
          <w:szCs w:val="24"/>
        </w:rPr>
        <w:t>labour</w:t>
      </w:r>
      <w:proofErr w:type="spellEnd"/>
      <w:r>
        <w:rPr>
          <w:rFonts w:ascii="Arial" w:hAnsi="Arial" w:cs="Arial"/>
          <w:sz w:val="24"/>
          <w:szCs w:val="24"/>
        </w:rPr>
        <w:t xml:space="preserve"> disputes as defined, and that the Tribunal is not prepared, at this stage of the proceedings and without having heard any evidence at all, to find that the disputes constitute disguised applications for Judicial Review and/or for constitutional redress, the Tribunal finds that the objection under this limb is at best premature.  It is apposite to note that </w:t>
      </w:r>
      <w:r>
        <w:rPr>
          <w:rFonts w:ascii="Arial" w:hAnsi="Arial" w:cs="Arial"/>
          <w:sz w:val="24"/>
          <w:szCs w:val="24"/>
        </w:rPr>
        <w:lastRenderedPageBreak/>
        <w:t xml:space="preserve">there is no direct averment either that the current disputes do not constitute other actions (other than constitutional redress) which were lawfully available to the disputants.  </w:t>
      </w:r>
    </w:p>
    <w:p w14:paraId="3D99FBDC" w14:textId="77777777" w:rsidR="0016478E" w:rsidRDefault="0016478E" w:rsidP="0016478E">
      <w:pPr>
        <w:ind w:left="426"/>
        <w:jc w:val="both"/>
        <w:rPr>
          <w:rFonts w:ascii="Arial" w:hAnsi="Arial" w:cs="Arial"/>
          <w:sz w:val="24"/>
          <w:szCs w:val="24"/>
        </w:rPr>
      </w:pPr>
      <w:r>
        <w:rPr>
          <w:rFonts w:ascii="Arial" w:hAnsi="Arial" w:cs="Arial"/>
          <w:sz w:val="24"/>
          <w:szCs w:val="24"/>
        </w:rPr>
        <w:t xml:space="preserve">It is apposite to refer to the recent judgment of the Supreme Court in the case of </w:t>
      </w:r>
      <w:proofErr w:type="spellStart"/>
      <w:r w:rsidRPr="00F32D67">
        <w:rPr>
          <w:rFonts w:ascii="Arial" w:hAnsi="Arial" w:cs="Arial"/>
          <w:b/>
          <w:sz w:val="24"/>
          <w:szCs w:val="24"/>
        </w:rPr>
        <w:t>Mr</w:t>
      </w:r>
      <w:proofErr w:type="spellEnd"/>
      <w:r>
        <w:rPr>
          <w:rFonts w:ascii="Arial" w:hAnsi="Arial" w:cs="Arial"/>
          <w:sz w:val="24"/>
          <w:szCs w:val="24"/>
        </w:rPr>
        <w:t xml:space="preserve"> </w:t>
      </w:r>
      <w:proofErr w:type="spellStart"/>
      <w:r w:rsidRPr="00F32D67">
        <w:rPr>
          <w:rFonts w:ascii="Arial" w:hAnsi="Arial" w:cs="Arial"/>
          <w:b/>
          <w:sz w:val="24"/>
          <w:szCs w:val="24"/>
        </w:rPr>
        <w:t>Sebastien</w:t>
      </w:r>
      <w:proofErr w:type="spellEnd"/>
      <w:r w:rsidRPr="00F32D67">
        <w:rPr>
          <w:rFonts w:ascii="Arial" w:hAnsi="Arial" w:cs="Arial"/>
          <w:b/>
          <w:sz w:val="24"/>
          <w:szCs w:val="24"/>
        </w:rPr>
        <w:t xml:space="preserve"> </w:t>
      </w:r>
      <w:proofErr w:type="spellStart"/>
      <w:r w:rsidRPr="00F32D67">
        <w:rPr>
          <w:rFonts w:ascii="Arial" w:hAnsi="Arial" w:cs="Arial"/>
          <w:b/>
          <w:sz w:val="24"/>
          <w:szCs w:val="24"/>
        </w:rPr>
        <w:t>Teycheney</w:t>
      </w:r>
      <w:proofErr w:type="spellEnd"/>
      <w:r w:rsidRPr="00F32D67">
        <w:rPr>
          <w:rFonts w:ascii="Arial" w:hAnsi="Arial" w:cs="Arial"/>
          <w:b/>
          <w:sz w:val="24"/>
          <w:szCs w:val="24"/>
        </w:rPr>
        <w:t xml:space="preserve"> v The Director of Private Secondary Education Authority</w:t>
      </w:r>
      <w:r>
        <w:rPr>
          <w:rFonts w:ascii="Arial" w:hAnsi="Arial" w:cs="Arial"/>
          <w:b/>
          <w:sz w:val="24"/>
          <w:szCs w:val="24"/>
        </w:rPr>
        <w:t xml:space="preserve"> &amp; </w:t>
      </w:r>
      <w:proofErr w:type="spellStart"/>
      <w:r>
        <w:rPr>
          <w:rFonts w:ascii="Arial" w:hAnsi="Arial" w:cs="Arial"/>
          <w:b/>
          <w:sz w:val="24"/>
          <w:szCs w:val="24"/>
        </w:rPr>
        <w:t>Anor</w:t>
      </w:r>
      <w:proofErr w:type="spellEnd"/>
      <w:r w:rsidRPr="00F32D67">
        <w:rPr>
          <w:rFonts w:ascii="Arial" w:hAnsi="Arial" w:cs="Arial"/>
          <w:b/>
          <w:sz w:val="24"/>
          <w:szCs w:val="24"/>
        </w:rPr>
        <w:t xml:space="preserve"> 2021 SCJ 110</w:t>
      </w:r>
      <w:r>
        <w:rPr>
          <w:rFonts w:ascii="Arial" w:hAnsi="Arial" w:cs="Arial"/>
          <w:sz w:val="24"/>
          <w:szCs w:val="24"/>
        </w:rPr>
        <w:t xml:space="preserve">, where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Teycheney</w:t>
      </w:r>
      <w:proofErr w:type="spellEnd"/>
      <w:r>
        <w:rPr>
          <w:rFonts w:ascii="Arial" w:hAnsi="Arial" w:cs="Arial"/>
          <w:sz w:val="24"/>
          <w:szCs w:val="24"/>
        </w:rPr>
        <w:t xml:space="preserve"> had sought </w:t>
      </w:r>
      <w:r w:rsidRPr="00F32D67">
        <w:rPr>
          <w:rFonts w:ascii="Arial" w:hAnsi="Arial" w:cs="Arial"/>
          <w:sz w:val="24"/>
          <w:szCs w:val="24"/>
        </w:rPr>
        <w:t xml:space="preserve">leave to apply for </w:t>
      </w:r>
      <w:r>
        <w:rPr>
          <w:rFonts w:ascii="Arial" w:hAnsi="Arial" w:cs="Arial"/>
          <w:sz w:val="24"/>
          <w:szCs w:val="24"/>
        </w:rPr>
        <w:t>J</w:t>
      </w:r>
      <w:r w:rsidRPr="00F32D67">
        <w:rPr>
          <w:rFonts w:ascii="Arial" w:hAnsi="Arial" w:cs="Arial"/>
          <w:sz w:val="24"/>
          <w:szCs w:val="24"/>
        </w:rPr>
        <w:t xml:space="preserve">udicial </w:t>
      </w:r>
      <w:r>
        <w:rPr>
          <w:rFonts w:ascii="Arial" w:hAnsi="Arial" w:cs="Arial"/>
          <w:sz w:val="24"/>
          <w:szCs w:val="24"/>
        </w:rPr>
        <w:t>R</w:t>
      </w:r>
      <w:r w:rsidRPr="00F32D67">
        <w:rPr>
          <w:rFonts w:ascii="Arial" w:hAnsi="Arial" w:cs="Arial"/>
          <w:sz w:val="24"/>
          <w:szCs w:val="24"/>
        </w:rPr>
        <w:t xml:space="preserve">eview of a decision of </w:t>
      </w:r>
      <w:r>
        <w:rPr>
          <w:rFonts w:ascii="Arial" w:hAnsi="Arial" w:cs="Arial"/>
          <w:sz w:val="24"/>
          <w:szCs w:val="24"/>
        </w:rPr>
        <w:t>T</w:t>
      </w:r>
      <w:r w:rsidRPr="00F32D67">
        <w:rPr>
          <w:rFonts w:ascii="Arial" w:hAnsi="Arial" w:cs="Arial"/>
          <w:sz w:val="24"/>
          <w:szCs w:val="24"/>
        </w:rPr>
        <w:t xml:space="preserve">he </w:t>
      </w:r>
      <w:r>
        <w:rPr>
          <w:rFonts w:ascii="Arial" w:hAnsi="Arial" w:cs="Arial"/>
          <w:sz w:val="24"/>
          <w:szCs w:val="24"/>
        </w:rPr>
        <w:t>Director of the Private Secondary Education Authority</w:t>
      </w:r>
      <w:r w:rsidRPr="00F32D67">
        <w:rPr>
          <w:rFonts w:ascii="Arial" w:hAnsi="Arial" w:cs="Arial"/>
          <w:sz w:val="24"/>
          <w:szCs w:val="24"/>
        </w:rPr>
        <w:t xml:space="preserve"> rejecting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Teycheney’s</w:t>
      </w:r>
      <w:proofErr w:type="spellEnd"/>
      <w:r w:rsidRPr="00F32D67">
        <w:rPr>
          <w:rFonts w:ascii="Arial" w:hAnsi="Arial" w:cs="Arial"/>
          <w:sz w:val="24"/>
          <w:szCs w:val="24"/>
        </w:rPr>
        <w:t xml:space="preserve"> request to adjust his salary</w:t>
      </w:r>
      <w:r>
        <w:rPr>
          <w:rFonts w:ascii="Arial" w:hAnsi="Arial" w:cs="Arial"/>
          <w:sz w:val="24"/>
          <w:szCs w:val="24"/>
        </w:rPr>
        <w:t>.  The Supreme Court stated the following:</w:t>
      </w:r>
    </w:p>
    <w:p w14:paraId="57600422" w14:textId="77777777" w:rsidR="0016478E" w:rsidRDefault="0016478E" w:rsidP="0016478E">
      <w:pPr>
        <w:ind w:left="426"/>
        <w:jc w:val="both"/>
        <w:rPr>
          <w:rFonts w:ascii="Arial" w:hAnsi="Arial" w:cs="Arial"/>
          <w:sz w:val="24"/>
          <w:szCs w:val="24"/>
        </w:rPr>
      </w:pPr>
      <w:r w:rsidRPr="0060781E">
        <w:rPr>
          <w:rFonts w:ascii="Arial" w:hAnsi="Arial" w:cs="Arial"/>
          <w:i/>
          <w:sz w:val="24"/>
          <w:szCs w:val="24"/>
        </w:rPr>
        <w:t>With regard to the second limb of the objection, we need only reiterate that it is well-settled that judicial review is a remedy of last resort and that alternative remedies should therefore be exhausted before an application is made for leave to apply for judicial review.  As rightly submitted by learned Counsel for the respondent and co</w:t>
      </w:r>
      <w:r>
        <w:rPr>
          <w:rFonts w:ascii="Arial" w:hAnsi="Arial" w:cs="Arial"/>
          <w:i/>
          <w:sz w:val="24"/>
          <w:szCs w:val="24"/>
        </w:rPr>
        <w:t>-</w:t>
      </w:r>
      <w:r w:rsidRPr="0060781E">
        <w:rPr>
          <w:rFonts w:ascii="Arial" w:hAnsi="Arial" w:cs="Arial"/>
          <w:i/>
          <w:sz w:val="24"/>
          <w:szCs w:val="24"/>
        </w:rPr>
        <w:t>respondent, the applicant, whose grievance is in substance that he has been discriminated against allegedly on the basis of creed in view of the treatment given to the six new Quality Assurance Officers, could therefore have lodged a complaint at the Equal Opportunities Commission or a case before the Employment Relations Tribunal.</w:t>
      </w:r>
    </w:p>
    <w:p w14:paraId="198B64B2" w14:textId="77777777" w:rsidR="00AA47DF" w:rsidRDefault="00AA47DF" w:rsidP="00AA47DF">
      <w:pPr>
        <w:ind w:firstLine="426"/>
        <w:jc w:val="both"/>
        <w:rPr>
          <w:rFonts w:ascii="Arial" w:hAnsi="Arial" w:cs="Arial"/>
          <w:sz w:val="24"/>
          <w:szCs w:val="24"/>
        </w:rPr>
      </w:pPr>
      <w:r>
        <w:rPr>
          <w:rFonts w:ascii="Arial" w:hAnsi="Arial" w:cs="Arial"/>
          <w:sz w:val="24"/>
          <w:szCs w:val="24"/>
        </w:rPr>
        <w:t>…</w:t>
      </w:r>
    </w:p>
    <w:p w14:paraId="13A2BA10" w14:textId="77777777" w:rsidR="00AA47DF" w:rsidRDefault="00AA47DF" w:rsidP="00AA47DF">
      <w:pPr>
        <w:ind w:left="426"/>
        <w:jc w:val="both"/>
        <w:rPr>
          <w:rFonts w:ascii="Arial" w:hAnsi="Arial" w:cs="Arial"/>
          <w:sz w:val="24"/>
          <w:szCs w:val="24"/>
        </w:rPr>
      </w:pPr>
      <w:r>
        <w:rPr>
          <w:rFonts w:ascii="Arial" w:hAnsi="Arial" w:cs="Arial"/>
          <w:sz w:val="24"/>
          <w:szCs w:val="24"/>
        </w:rPr>
        <w:t xml:space="preserve">The objections taken under this limb, as well as, the case law of the Supreme Court referred to us by Counsel for Respondent and which has been referred to in numerous awards of the Tribunal (for example, </w:t>
      </w:r>
      <w:r w:rsidRPr="00DA597D">
        <w:rPr>
          <w:rFonts w:ascii="Arial" w:hAnsi="Arial" w:cs="Arial"/>
          <w:b/>
          <w:bCs/>
          <w:sz w:val="24"/>
          <w:szCs w:val="24"/>
        </w:rPr>
        <w:t xml:space="preserve">vide </w:t>
      </w:r>
      <w:r>
        <w:rPr>
          <w:rFonts w:ascii="Arial" w:hAnsi="Arial" w:cs="Arial"/>
          <w:b/>
          <w:bCs/>
          <w:sz w:val="24"/>
          <w:szCs w:val="24"/>
        </w:rPr>
        <w:t>Central Statistical Office Staff Association And Government of Mauritius, RN 31/11</w:t>
      </w:r>
      <w:r>
        <w:rPr>
          <w:rFonts w:ascii="Arial" w:hAnsi="Arial" w:cs="Arial"/>
          <w:sz w:val="24"/>
          <w:szCs w:val="24"/>
        </w:rPr>
        <w:t xml:space="preserve">) that unless there had been a departure from established rules and procedures, it was not the function of the Court to direct Ministries or Government departments how schemes of service should be prepared or amended to suit the changing needs of society, are matters to be addressed on the merits of the case.   </w:t>
      </w:r>
    </w:p>
    <w:p w14:paraId="64C8B088" w14:textId="77777777" w:rsidR="00A91097" w:rsidRDefault="00AA47DF" w:rsidP="00AA47DF">
      <w:pPr>
        <w:ind w:left="426"/>
        <w:jc w:val="both"/>
        <w:rPr>
          <w:rFonts w:ascii="Arial" w:hAnsi="Arial" w:cs="Arial"/>
          <w:sz w:val="24"/>
          <w:szCs w:val="24"/>
        </w:rPr>
      </w:pPr>
      <w:r>
        <w:rPr>
          <w:rFonts w:ascii="Arial" w:hAnsi="Arial" w:cs="Arial"/>
          <w:sz w:val="24"/>
          <w:szCs w:val="24"/>
        </w:rPr>
        <w:t>The Tribunal will have to hear evidence and in the light of same and any prayer being pressed can then decide on the merits of the case and the appropriateness of granting any award.  If the Tribunal proceeds to make an award, it will obviously ensure that its award complies with section 72(5) of the Act (.</w:t>
      </w:r>
      <w:r w:rsidR="00250CF8">
        <w:rPr>
          <w:rFonts w:ascii="Arial" w:hAnsi="Arial" w:cs="Arial"/>
          <w:sz w:val="24"/>
          <w:szCs w:val="24"/>
        </w:rPr>
        <w:t>.</w:t>
      </w:r>
      <w:r>
        <w:rPr>
          <w:rFonts w:ascii="Arial" w:hAnsi="Arial" w:cs="Arial"/>
          <w:sz w:val="24"/>
          <w:szCs w:val="24"/>
        </w:rPr>
        <w:t xml:space="preserve">.)”  </w:t>
      </w:r>
      <w:r>
        <w:rPr>
          <w:rFonts w:ascii="Arial" w:hAnsi="Arial" w:cs="Arial"/>
          <w:sz w:val="24"/>
          <w:szCs w:val="24"/>
        </w:rPr>
        <w:tab/>
      </w:r>
    </w:p>
    <w:p w14:paraId="450654E7" w14:textId="77777777" w:rsidR="00584F75" w:rsidRDefault="00AA47DF" w:rsidP="00361614">
      <w:pPr>
        <w:jc w:val="both"/>
        <w:rPr>
          <w:rFonts w:ascii="Arial" w:hAnsi="Arial" w:cs="Arial"/>
          <w:sz w:val="24"/>
          <w:szCs w:val="24"/>
        </w:rPr>
      </w:pPr>
      <w:r>
        <w:rPr>
          <w:rFonts w:ascii="Arial" w:hAnsi="Arial" w:cs="Arial"/>
          <w:sz w:val="24"/>
          <w:szCs w:val="24"/>
        </w:rPr>
        <w:t xml:space="preserve">In the </w:t>
      </w:r>
      <w:r w:rsidR="00BF6416">
        <w:rPr>
          <w:rFonts w:ascii="Arial" w:hAnsi="Arial" w:cs="Arial"/>
          <w:sz w:val="24"/>
          <w:szCs w:val="24"/>
        </w:rPr>
        <w:t>light of the ruling of th</w:t>
      </w:r>
      <w:r w:rsidR="00361614">
        <w:rPr>
          <w:rFonts w:ascii="Arial" w:hAnsi="Arial" w:cs="Arial"/>
          <w:sz w:val="24"/>
          <w:szCs w:val="24"/>
        </w:rPr>
        <w:t xml:space="preserve">e Tribunal under the first limb of the objections above, the Tribunal </w:t>
      </w:r>
      <w:r w:rsidR="004D3BA3">
        <w:rPr>
          <w:rFonts w:ascii="Arial" w:hAnsi="Arial" w:cs="Arial"/>
          <w:sz w:val="24"/>
          <w:szCs w:val="24"/>
        </w:rPr>
        <w:t>shall</w:t>
      </w:r>
      <w:r w:rsidR="00361614">
        <w:rPr>
          <w:rFonts w:ascii="Arial" w:hAnsi="Arial" w:cs="Arial"/>
          <w:sz w:val="24"/>
          <w:szCs w:val="24"/>
        </w:rPr>
        <w:t xml:space="preserve"> enquire into the dispute and consider all the evidence adduced on the merits before determining the matter.  </w:t>
      </w:r>
      <w:r w:rsidR="002B2FD3">
        <w:rPr>
          <w:rFonts w:ascii="Arial" w:hAnsi="Arial" w:cs="Arial"/>
          <w:sz w:val="24"/>
          <w:szCs w:val="24"/>
        </w:rPr>
        <w:t>I</w:t>
      </w:r>
      <w:r w:rsidR="00C76DCE">
        <w:rPr>
          <w:rFonts w:ascii="Arial" w:hAnsi="Arial" w:cs="Arial"/>
          <w:sz w:val="24"/>
          <w:szCs w:val="24"/>
        </w:rPr>
        <w:t xml:space="preserve">n view of the wide powers of the Tribunal </w:t>
      </w:r>
      <w:r w:rsidR="00146C37">
        <w:rPr>
          <w:rFonts w:ascii="Arial" w:hAnsi="Arial" w:cs="Arial"/>
          <w:sz w:val="24"/>
          <w:szCs w:val="24"/>
        </w:rPr>
        <w:t xml:space="preserve">which deals with employment relations matters where emphasis is on the settlement of </w:t>
      </w:r>
      <w:proofErr w:type="spellStart"/>
      <w:r w:rsidR="00146C37">
        <w:rPr>
          <w:rFonts w:ascii="Arial" w:hAnsi="Arial" w:cs="Arial"/>
          <w:sz w:val="24"/>
          <w:szCs w:val="24"/>
        </w:rPr>
        <w:t>labour</w:t>
      </w:r>
      <w:proofErr w:type="spellEnd"/>
      <w:r w:rsidR="00146C37">
        <w:rPr>
          <w:rFonts w:ascii="Arial" w:hAnsi="Arial" w:cs="Arial"/>
          <w:sz w:val="24"/>
          <w:szCs w:val="24"/>
        </w:rPr>
        <w:t xml:space="preserve"> disputes to uphold good employment relations</w:t>
      </w:r>
      <w:r w:rsidR="00E8703B">
        <w:rPr>
          <w:rFonts w:ascii="Arial" w:hAnsi="Arial" w:cs="Arial"/>
          <w:sz w:val="24"/>
          <w:szCs w:val="24"/>
        </w:rPr>
        <w:t xml:space="preserve">, the objections </w:t>
      </w:r>
      <w:r w:rsidR="00564C88">
        <w:rPr>
          <w:rFonts w:ascii="Arial" w:hAnsi="Arial" w:cs="Arial"/>
          <w:sz w:val="24"/>
          <w:szCs w:val="24"/>
        </w:rPr>
        <w:t xml:space="preserve">taken </w:t>
      </w:r>
      <w:r w:rsidR="002B2FD3">
        <w:rPr>
          <w:rFonts w:ascii="Arial" w:hAnsi="Arial" w:cs="Arial"/>
          <w:sz w:val="24"/>
          <w:szCs w:val="24"/>
        </w:rPr>
        <w:t xml:space="preserve">as preliminary points </w:t>
      </w:r>
      <w:r w:rsidR="00564C88">
        <w:rPr>
          <w:rFonts w:ascii="Arial" w:hAnsi="Arial" w:cs="Arial"/>
          <w:sz w:val="24"/>
          <w:szCs w:val="24"/>
        </w:rPr>
        <w:t xml:space="preserve">cannot stand and </w:t>
      </w:r>
      <w:r w:rsidR="00361614">
        <w:rPr>
          <w:rFonts w:ascii="Arial" w:hAnsi="Arial" w:cs="Arial"/>
          <w:sz w:val="24"/>
          <w:szCs w:val="24"/>
        </w:rPr>
        <w:t>are set aside</w:t>
      </w:r>
      <w:r w:rsidR="00564C88">
        <w:rPr>
          <w:rFonts w:ascii="Arial" w:hAnsi="Arial" w:cs="Arial"/>
          <w:sz w:val="24"/>
          <w:szCs w:val="24"/>
        </w:rPr>
        <w:t>.</w:t>
      </w:r>
      <w:r w:rsidR="00361614">
        <w:rPr>
          <w:rFonts w:ascii="Arial" w:hAnsi="Arial" w:cs="Arial"/>
          <w:sz w:val="24"/>
          <w:szCs w:val="24"/>
        </w:rPr>
        <w:t xml:space="preserve"> </w:t>
      </w:r>
      <w:r w:rsidR="00564C88">
        <w:rPr>
          <w:rFonts w:ascii="Arial" w:hAnsi="Arial" w:cs="Arial"/>
          <w:sz w:val="24"/>
          <w:szCs w:val="24"/>
        </w:rPr>
        <w:t xml:space="preserve"> </w:t>
      </w:r>
      <w:r w:rsidR="00584F75">
        <w:rPr>
          <w:rFonts w:ascii="Arial" w:hAnsi="Arial" w:cs="Arial"/>
          <w:sz w:val="24"/>
          <w:szCs w:val="24"/>
        </w:rPr>
        <w:t xml:space="preserve">It is apposite at this stage to refer to the award </w:t>
      </w:r>
      <w:r w:rsidR="00584F75">
        <w:rPr>
          <w:rFonts w:ascii="Arial" w:hAnsi="Arial" w:cs="Arial"/>
          <w:sz w:val="24"/>
          <w:szCs w:val="24"/>
        </w:rPr>
        <w:lastRenderedPageBreak/>
        <w:t xml:space="preserve">delivered in the case of </w:t>
      </w:r>
      <w:proofErr w:type="spellStart"/>
      <w:r w:rsidR="00584F75" w:rsidRPr="00584F75">
        <w:rPr>
          <w:rFonts w:ascii="Arial" w:hAnsi="Arial" w:cs="Arial"/>
          <w:b/>
          <w:sz w:val="24"/>
          <w:szCs w:val="24"/>
        </w:rPr>
        <w:t>Mr</w:t>
      </w:r>
      <w:proofErr w:type="spellEnd"/>
      <w:r w:rsidR="00584F75" w:rsidRPr="00584F75">
        <w:rPr>
          <w:rFonts w:ascii="Arial" w:hAnsi="Arial" w:cs="Arial"/>
          <w:b/>
          <w:sz w:val="24"/>
          <w:szCs w:val="24"/>
        </w:rPr>
        <w:t xml:space="preserve"> S.P </w:t>
      </w:r>
      <w:proofErr w:type="spellStart"/>
      <w:r w:rsidR="00584F75" w:rsidRPr="00584F75">
        <w:rPr>
          <w:rFonts w:ascii="Arial" w:hAnsi="Arial" w:cs="Arial"/>
          <w:b/>
          <w:sz w:val="24"/>
          <w:szCs w:val="24"/>
        </w:rPr>
        <w:t>Mootoosamy</w:t>
      </w:r>
      <w:proofErr w:type="spellEnd"/>
      <w:r w:rsidR="00584F75" w:rsidRPr="00584F75">
        <w:rPr>
          <w:rFonts w:ascii="Arial" w:hAnsi="Arial" w:cs="Arial"/>
          <w:b/>
          <w:sz w:val="24"/>
          <w:szCs w:val="24"/>
        </w:rPr>
        <w:t xml:space="preserve"> And The Bank of Baroda, General Notice No. 596 of 1984</w:t>
      </w:r>
      <w:r w:rsidR="00584F75">
        <w:rPr>
          <w:rFonts w:ascii="Arial" w:hAnsi="Arial" w:cs="Arial"/>
          <w:sz w:val="24"/>
          <w:szCs w:val="24"/>
        </w:rPr>
        <w:t>, where the then Permanent Arbitration Tribunal stated the following:</w:t>
      </w:r>
    </w:p>
    <w:p w14:paraId="10253DA1" w14:textId="10DF55D5" w:rsidR="00584F75" w:rsidRDefault="00584F75" w:rsidP="00361614">
      <w:pPr>
        <w:jc w:val="both"/>
        <w:rPr>
          <w:rFonts w:ascii="Arial" w:hAnsi="Arial" w:cs="Arial"/>
          <w:sz w:val="24"/>
          <w:szCs w:val="24"/>
        </w:rPr>
      </w:pPr>
      <w:r>
        <w:rPr>
          <w:rFonts w:ascii="Arial" w:hAnsi="Arial" w:cs="Arial"/>
          <w:sz w:val="24"/>
          <w:szCs w:val="24"/>
        </w:rPr>
        <w:t>“</w:t>
      </w:r>
      <w:r w:rsidRPr="000A7B27">
        <w:rPr>
          <w:rFonts w:ascii="Arial" w:hAnsi="Arial" w:cs="Arial"/>
          <w:i/>
          <w:sz w:val="24"/>
          <w:szCs w:val="24"/>
        </w:rPr>
        <w:t>This Tribunal is not here to award damages, it must only see how, by using whatever wisdom and experience it may have, an employee who has had every reason of feeling frustrated, who, in this case, even had to put up a very courageous but trying and tiring battle, may relinquish his frustration, feel safe and relaxed in his employment</w:t>
      </w:r>
      <w:r w:rsidR="000A7B27" w:rsidRPr="000A7B27">
        <w:rPr>
          <w:rFonts w:ascii="Arial" w:hAnsi="Arial" w:cs="Arial"/>
          <w:i/>
          <w:sz w:val="24"/>
          <w:szCs w:val="24"/>
        </w:rPr>
        <w:t>, recover his dignity and at the same time recover also even if it is only part of what could have been payable to him over a certain period, had his case been given a consideration similar to that given to others</w:t>
      </w:r>
      <w:r w:rsidR="000A7B27">
        <w:rPr>
          <w:rFonts w:ascii="Arial" w:hAnsi="Arial" w:cs="Arial"/>
          <w:sz w:val="24"/>
          <w:szCs w:val="24"/>
        </w:rPr>
        <w:t>.”</w:t>
      </w:r>
      <w:r>
        <w:rPr>
          <w:rFonts w:ascii="Arial" w:hAnsi="Arial" w:cs="Arial"/>
          <w:sz w:val="24"/>
          <w:szCs w:val="24"/>
        </w:rPr>
        <w:t xml:space="preserve">  </w:t>
      </w:r>
    </w:p>
    <w:p w14:paraId="02293E82" w14:textId="339343DA" w:rsidR="00AB1763" w:rsidRDefault="00584F75" w:rsidP="00361614">
      <w:pPr>
        <w:jc w:val="both"/>
        <w:rPr>
          <w:rFonts w:ascii="Arial" w:hAnsi="Arial" w:cs="Arial"/>
        </w:rPr>
      </w:pPr>
      <w:r>
        <w:rPr>
          <w:rFonts w:ascii="Arial" w:hAnsi="Arial" w:cs="Arial"/>
          <w:sz w:val="24"/>
          <w:szCs w:val="24"/>
        </w:rPr>
        <w:t xml:space="preserve">This, in our humble opinion, sheds </w:t>
      </w:r>
      <w:r w:rsidR="000A7B27">
        <w:rPr>
          <w:rFonts w:ascii="Arial" w:hAnsi="Arial" w:cs="Arial"/>
          <w:sz w:val="24"/>
          <w:szCs w:val="24"/>
        </w:rPr>
        <w:t xml:space="preserve">some </w:t>
      </w:r>
      <w:r>
        <w:rPr>
          <w:rFonts w:ascii="Arial" w:hAnsi="Arial" w:cs="Arial"/>
          <w:sz w:val="24"/>
          <w:szCs w:val="24"/>
        </w:rPr>
        <w:t xml:space="preserve">light on the powers and </w:t>
      </w:r>
      <w:r w:rsidR="000A7B27">
        <w:rPr>
          <w:rFonts w:ascii="Arial" w:hAnsi="Arial" w:cs="Arial"/>
          <w:sz w:val="24"/>
          <w:szCs w:val="24"/>
        </w:rPr>
        <w:t xml:space="preserve">role </w:t>
      </w:r>
      <w:r>
        <w:rPr>
          <w:rFonts w:ascii="Arial" w:hAnsi="Arial" w:cs="Arial"/>
          <w:sz w:val="24"/>
          <w:szCs w:val="24"/>
        </w:rPr>
        <w:t xml:space="preserve">of the Tribunal in the field of employment relations matters.  </w:t>
      </w:r>
      <w:r w:rsidR="00564C88">
        <w:rPr>
          <w:rFonts w:ascii="Arial" w:hAnsi="Arial" w:cs="Arial"/>
          <w:sz w:val="24"/>
          <w:szCs w:val="24"/>
        </w:rPr>
        <w:t>T</w:t>
      </w:r>
      <w:r w:rsidR="00361614">
        <w:rPr>
          <w:rFonts w:ascii="Arial" w:hAnsi="Arial" w:cs="Arial"/>
          <w:sz w:val="24"/>
          <w:szCs w:val="24"/>
        </w:rPr>
        <w:t xml:space="preserve">he Tribunal will have to </w:t>
      </w:r>
      <w:r w:rsidR="00564C88">
        <w:rPr>
          <w:rFonts w:ascii="Arial" w:hAnsi="Arial" w:cs="Arial"/>
          <w:sz w:val="24"/>
          <w:szCs w:val="24"/>
        </w:rPr>
        <w:t>enquire into</w:t>
      </w:r>
      <w:r w:rsidR="00361614">
        <w:rPr>
          <w:rFonts w:ascii="Arial" w:hAnsi="Arial" w:cs="Arial"/>
          <w:sz w:val="24"/>
          <w:szCs w:val="24"/>
        </w:rPr>
        <w:t xml:space="preserve"> the matter on the merits as opposed to determining the matter based </w:t>
      </w:r>
      <w:r w:rsidR="002B2FD3">
        <w:rPr>
          <w:rFonts w:ascii="Arial" w:hAnsi="Arial" w:cs="Arial"/>
          <w:sz w:val="24"/>
          <w:szCs w:val="24"/>
        </w:rPr>
        <w:t>solely</w:t>
      </w:r>
      <w:r w:rsidR="00361614">
        <w:rPr>
          <w:rFonts w:ascii="Arial" w:hAnsi="Arial" w:cs="Arial"/>
          <w:sz w:val="24"/>
          <w:szCs w:val="24"/>
        </w:rPr>
        <w:t xml:space="preserve"> on the preliminary objection</w:t>
      </w:r>
      <w:r w:rsidR="002B2FD3">
        <w:rPr>
          <w:rFonts w:ascii="Arial" w:hAnsi="Arial" w:cs="Arial"/>
          <w:sz w:val="24"/>
          <w:szCs w:val="24"/>
        </w:rPr>
        <w:t>s</w:t>
      </w:r>
      <w:r w:rsidR="00361614">
        <w:rPr>
          <w:rFonts w:ascii="Arial" w:hAnsi="Arial" w:cs="Arial"/>
          <w:sz w:val="24"/>
          <w:szCs w:val="24"/>
        </w:rPr>
        <w:t xml:space="preserve"> taken</w:t>
      </w:r>
      <w:r w:rsidR="002B2FD3">
        <w:rPr>
          <w:rFonts w:ascii="Arial" w:hAnsi="Arial" w:cs="Arial"/>
          <w:sz w:val="24"/>
          <w:szCs w:val="24"/>
        </w:rPr>
        <w:t xml:space="preserve"> under this limb</w:t>
      </w:r>
      <w:r w:rsidR="00361614">
        <w:rPr>
          <w:rFonts w:ascii="Arial" w:hAnsi="Arial" w:cs="Arial"/>
          <w:sz w:val="24"/>
          <w:szCs w:val="24"/>
        </w:rPr>
        <w:t xml:space="preserve">.    </w:t>
      </w:r>
      <w:r w:rsidR="00361614">
        <w:rPr>
          <w:rFonts w:ascii="Arial" w:hAnsi="Arial" w:cs="Arial"/>
          <w:b/>
          <w:sz w:val="24"/>
          <w:szCs w:val="24"/>
        </w:rPr>
        <w:t xml:space="preserve"> </w:t>
      </w:r>
      <w:r w:rsidR="006B5CE9" w:rsidRPr="006B5CE9">
        <w:rPr>
          <w:rFonts w:ascii="Arial" w:hAnsi="Arial" w:cs="Arial"/>
          <w:b/>
          <w:sz w:val="24"/>
          <w:szCs w:val="24"/>
        </w:rPr>
        <w:t xml:space="preserve"> </w:t>
      </w:r>
    </w:p>
    <w:p w14:paraId="034FA053" w14:textId="77777777" w:rsidR="00F44299" w:rsidRDefault="00E820A6" w:rsidP="00F9497C">
      <w:pPr>
        <w:pStyle w:val="NormalWeb"/>
        <w:spacing w:before="0" w:beforeAutospacing="0" w:after="315" w:afterAutospacing="0" w:line="315" w:lineRule="atLeast"/>
        <w:jc w:val="both"/>
        <w:rPr>
          <w:rFonts w:ascii="Arial" w:hAnsi="Arial" w:cs="Arial"/>
        </w:rPr>
      </w:pPr>
      <w:r>
        <w:rPr>
          <w:rFonts w:ascii="Arial" w:hAnsi="Arial" w:cs="Arial"/>
        </w:rPr>
        <w:t xml:space="preserve">As regards the third limb, counsel for Respondent informed the Tribunal that she was not insisting on the said limb and this limb is thus set aside.  </w:t>
      </w:r>
    </w:p>
    <w:p w14:paraId="20C6523E" w14:textId="4BFA35A0" w:rsidR="00E820A6" w:rsidRDefault="00E820A6" w:rsidP="00F9497C">
      <w:pPr>
        <w:pStyle w:val="NormalWeb"/>
        <w:spacing w:before="0" w:beforeAutospacing="0" w:after="315" w:afterAutospacing="0" w:line="315" w:lineRule="atLeast"/>
        <w:jc w:val="both"/>
        <w:rPr>
          <w:rFonts w:ascii="Arial" w:hAnsi="Arial" w:cs="Arial"/>
        </w:rPr>
      </w:pPr>
      <w:r>
        <w:rPr>
          <w:rFonts w:ascii="Arial" w:hAnsi="Arial" w:cs="Arial"/>
        </w:rPr>
        <w:t xml:space="preserve">As regards the fourth limb of the objections taken, the Tribunal will necessarily have to consider </w:t>
      </w:r>
      <w:r w:rsidR="005F367E">
        <w:rPr>
          <w:rFonts w:ascii="Arial" w:hAnsi="Arial" w:cs="Arial"/>
        </w:rPr>
        <w:t xml:space="preserve">all </w:t>
      </w:r>
      <w:r w:rsidR="00250CF8">
        <w:rPr>
          <w:rFonts w:ascii="Arial" w:hAnsi="Arial" w:cs="Arial"/>
        </w:rPr>
        <w:t xml:space="preserve">the </w:t>
      </w:r>
      <w:r>
        <w:rPr>
          <w:rFonts w:ascii="Arial" w:hAnsi="Arial" w:cs="Arial"/>
        </w:rPr>
        <w:t xml:space="preserve">evidence adduced </w:t>
      </w:r>
      <w:r w:rsidR="005F367E">
        <w:rPr>
          <w:rFonts w:ascii="Arial" w:hAnsi="Arial" w:cs="Arial"/>
        </w:rPr>
        <w:t>by the parties before reaching any decision on the point taken.  The point taken is intrinsically linked with the merits of the case and the T</w:t>
      </w:r>
      <w:r>
        <w:rPr>
          <w:rFonts w:ascii="Arial" w:hAnsi="Arial" w:cs="Arial"/>
        </w:rPr>
        <w:t xml:space="preserve">ribunal proposes to deal with the objection </w:t>
      </w:r>
      <w:r w:rsidR="00BF6416">
        <w:rPr>
          <w:rFonts w:ascii="Arial" w:hAnsi="Arial" w:cs="Arial"/>
        </w:rPr>
        <w:t xml:space="preserve">when enquiring into </w:t>
      </w:r>
      <w:r>
        <w:rPr>
          <w:rFonts w:ascii="Arial" w:hAnsi="Arial" w:cs="Arial"/>
        </w:rPr>
        <w:t>the merits of the case.</w:t>
      </w:r>
      <w:r w:rsidR="005F367E">
        <w:rPr>
          <w:rFonts w:ascii="Arial" w:hAnsi="Arial" w:cs="Arial"/>
        </w:rPr>
        <w:t xml:space="preserve">   </w:t>
      </w:r>
      <w:r>
        <w:rPr>
          <w:rFonts w:ascii="Arial" w:hAnsi="Arial" w:cs="Arial"/>
        </w:rPr>
        <w:t xml:space="preserve"> </w:t>
      </w:r>
    </w:p>
    <w:p w14:paraId="734DE6F0" w14:textId="490CF080" w:rsidR="0012320C" w:rsidRDefault="007926AB" w:rsidP="00F9497C">
      <w:pPr>
        <w:pStyle w:val="NormalWeb"/>
        <w:spacing w:before="0" w:beforeAutospacing="0" w:after="315" w:afterAutospacing="0" w:line="315" w:lineRule="atLeast"/>
        <w:jc w:val="both"/>
        <w:rPr>
          <w:rFonts w:ascii="Arial" w:hAnsi="Arial" w:cs="Arial"/>
        </w:rPr>
      </w:pPr>
      <w:r>
        <w:rPr>
          <w:rFonts w:ascii="Arial" w:hAnsi="Arial" w:cs="Arial"/>
        </w:rPr>
        <w:t xml:space="preserve">The Tribunal has examined all the evidence on record including the submissions and arguments of both </w:t>
      </w:r>
      <w:proofErr w:type="gramStart"/>
      <w:r>
        <w:rPr>
          <w:rFonts w:ascii="Arial" w:hAnsi="Arial" w:cs="Arial"/>
        </w:rPr>
        <w:t>counsel</w:t>
      </w:r>
      <w:proofErr w:type="gramEnd"/>
      <w:r>
        <w:rPr>
          <w:rFonts w:ascii="Arial" w:hAnsi="Arial" w:cs="Arial"/>
        </w:rPr>
        <w:t xml:space="preserve">.  </w:t>
      </w:r>
      <w:r w:rsidR="00610E31">
        <w:rPr>
          <w:rFonts w:ascii="Arial" w:hAnsi="Arial" w:cs="Arial"/>
        </w:rPr>
        <w:t xml:space="preserve">The facts in the present matter are </w:t>
      </w:r>
      <w:r>
        <w:rPr>
          <w:rFonts w:ascii="Arial" w:hAnsi="Arial" w:cs="Arial"/>
        </w:rPr>
        <w:t>straightforward</w:t>
      </w:r>
      <w:r w:rsidR="00610E31">
        <w:rPr>
          <w:rFonts w:ascii="Arial" w:hAnsi="Arial" w:cs="Arial"/>
        </w:rPr>
        <w:t xml:space="preserve">.  </w:t>
      </w:r>
      <w:r w:rsidR="00A30386">
        <w:rPr>
          <w:rFonts w:ascii="Arial" w:hAnsi="Arial" w:cs="Arial"/>
        </w:rPr>
        <w:t xml:space="preserve">In relation to Disputant </w:t>
      </w:r>
      <w:r w:rsidR="00525CF8">
        <w:rPr>
          <w:rFonts w:ascii="Arial" w:hAnsi="Arial" w:cs="Arial"/>
        </w:rPr>
        <w:t>N</w:t>
      </w:r>
      <w:r w:rsidR="00A30386">
        <w:rPr>
          <w:rFonts w:ascii="Arial" w:hAnsi="Arial" w:cs="Arial"/>
        </w:rPr>
        <w:t xml:space="preserve">o.1, </w:t>
      </w:r>
      <w:r w:rsidR="00D54B98">
        <w:rPr>
          <w:rFonts w:ascii="Arial" w:hAnsi="Arial" w:cs="Arial"/>
        </w:rPr>
        <w:t xml:space="preserve">he took employment </w:t>
      </w:r>
      <w:r w:rsidR="00525CF8">
        <w:rPr>
          <w:rFonts w:ascii="Arial" w:hAnsi="Arial" w:cs="Arial"/>
        </w:rPr>
        <w:t xml:space="preserve">in October 2000 </w:t>
      </w:r>
      <w:r w:rsidR="00D54B98">
        <w:rPr>
          <w:rFonts w:ascii="Arial" w:hAnsi="Arial" w:cs="Arial"/>
        </w:rPr>
        <w:t xml:space="preserve">as Training Officer on a two-year contract with the Respondent, formerly the IVTB and was posted at </w:t>
      </w:r>
      <w:r>
        <w:rPr>
          <w:rFonts w:ascii="Arial" w:hAnsi="Arial" w:cs="Arial"/>
        </w:rPr>
        <w:t xml:space="preserve">the </w:t>
      </w:r>
      <w:r w:rsidR="00D61AC5">
        <w:rPr>
          <w:rFonts w:ascii="Arial" w:hAnsi="Arial" w:cs="Arial"/>
        </w:rPr>
        <w:t>EHSGD</w:t>
      </w:r>
      <w:r w:rsidR="00D54B98">
        <w:rPr>
          <w:rFonts w:ascii="Arial" w:hAnsi="Arial" w:cs="Arial"/>
        </w:rPr>
        <w:t xml:space="preserve">.  The post of Coordinator (Tourism) </w:t>
      </w:r>
      <w:r w:rsidR="00D465A5">
        <w:rPr>
          <w:rFonts w:ascii="Arial" w:hAnsi="Arial" w:cs="Arial"/>
        </w:rPr>
        <w:t xml:space="preserve">became </w:t>
      </w:r>
      <w:r w:rsidR="00D54B98">
        <w:rPr>
          <w:rFonts w:ascii="Arial" w:hAnsi="Arial" w:cs="Arial"/>
        </w:rPr>
        <w:t xml:space="preserve">vacant </w:t>
      </w:r>
      <w:r w:rsidR="00D465A5">
        <w:rPr>
          <w:rFonts w:ascii="Arial" w:hAnsi="Arial" w:cs="Arial"/>
        </w:rPr>
        <w:t>in</w:t>
      </w:r>
      <w:r w:rsidR="00D54B98">
        <w:rPr>
          <w:rFonts w:ascii="Arial" w:hAnsi="Arial" w:cs="Arial"/>
        </w:rPr>
        <w:t xml:space="preserve"> 2005. </w:t>
      </w:r>
      <w:r w:rsidR="005F0BFF">
        <w:rPr>
          <w:rFonts w:ascii="Arial" w:hAnsi="Arial" w:cs="Arial"/>
        </w:rPr>
        <w:t xml:space="preserve"> </w:t>
      </w:r>
      <w:r w:rsidR="00525CF8">
        <w:rPr>
          <w:rFonts w:ascii="Arial" w:hAnsi="Arial" w:cs="Arial"/>
        </w:rPr>
        <w:t xml:space="preserve">With effect from 15 July 2005, Disputant No. 1 was assigned responsibilities as Coordinator (Tourism Studies). Following an advertisement for the post of Coordinator–Tourism and Leisure, Disputant No. 1 applied for the said post </w:t>
      </w:r>
      <w:r w:rsidR="00CF4097">
        <w:rPr>
          <w:rFonts w:ascii="Arial" w:hAnsi="Arial" w:cs="Arial"/>
        </w:rPr>
        <w:t xml:space="preserve">as he was fully qualified for it </w:t>
      </w:r>
      <w:r w:rsidR="00525CF8">
        <w:rPr>
          <w:rFonts w:ascii="Arial" w:hAnsi="Arial" w:cs="Arial"/>
        </w:rPr>
        <w:t xml:space="preserve">and was called for an interview on 6 July 2006.  </w:t>
      </w:r>
      <w:r w:rsidR="00A0772E">
        <w:rPr>
          <w:rFonts w:ascii="Arial" w:hAnsi="Arial" w:cs="Arial"/>
        </w:rPr>
        <w:t xml:space="preserve">The then IVTB did not proceed further with the selection exercise for the said post of Coordinator.  Meanwhile, as per the 2013 PRB Report, the post of Coordinator was made “(Personal to officers in post as at 30.06.08)” (Doc C).  This was maintained in the 2016 PRB Report and the recent 2021 PRB Report.  The </w:t>
      </w:r>
      <w:r w:rsidR="00624772">
        <w:rPr>
          <w:rFonts w:ascii="Arial" w:hAnsi="Arial" w:cs="Arial"/>
        </w:rPr>
        <w:t xml:space="preserve">terms and conditions of employment at the </w:t>
      </w:r>
      <w:r w:rsidR="00A0772E">
        <w:rPr>
          <w:rFonts w:ascii="Arial" w:hAnsi="Arial" w:cs="Arial"/>
        </w:rPr>
        <w:t xml:space="preserve">Respondent </w:t>
      </w:r>
      <w:r w:rsidR="00624772">
        <w:rPr>
          <w:rFonts w:ascii="Arial" w:hAnsi="Arial" w:cs="Arial"/>
        </w:rPr>
        <w:t>are governed by the relevant PRB Reports and Disputant No.1 has opted to be governed by the</w:t>
      </w:r>
      <w:r w:rsidR="00A0772E">
        <w:rPr>
          <w:rFonts w:ascii="Arial" w:hAnsi="Arial" w:cs="Arial"/>
        </w:rPr>
        <w:t xml:space="preserve"> </w:t>
      </w:r>
      <w:r w:rsidR="00624772">
        <w:rPr>
          <w:rFonts w:ascii="Arial" w:hAnsi="Arial" w:cs="Arial"/>
        </w:rPr>
        <w:t>various PRB Reports.</w:t>
      </w:r>
      <w:r w:rsidR="00A0772E">
        <w:rPr>
          <w:rFonts w:ascii="Arial" w:hAnsi="Arial" w:cs="Arial"/>
        </w:rPr>
        <w:t xml:space="preserve">   As from 2005 up to now, that is for over 16 years, Disputant No. 1 has been acting as Coordinator.  </w:t>
      </w:r>
      <w:r w:rsidR="00624772">
        <w:rPr>
          <w:rFonts w:ascii="Arial" w:hAnsi="Arial" w:cs="Arial"/>
        </w:rPr>
        <w:t>There has been no adverse report against Disputant No. 1 since he has been discharging the duties of Coordinator at the Respondent.</w:t>
      </w:r>
      <w:r w:rsidR="00A0772E">
        <w:rPr>
          <w:rFonts w:ascii="Arial" w:hAnsi="Arial" w:cs="Arial"/>
        </w:rPr>
        <w:t xml:space="preserve"> </w:t>
      </w:r>
      <w:r w:rsidR="00525CF8">
        <w:rPr>
          <w:rFonts w:ascii="Arial" w:hAnsi="Arial" w:cs="Arial"/>
        </w:rPr>
        <w:t xml:space="preserve">   </w:t>
      </w:r>
    </w:p>
    <w:p w14:paraId="0EA17642" w14:textId="37D1F3DB" w:rsidR="0012320C" w:rsidRDefault="00624772" w:rsidP="00F9497C">
      <w:pPr>
        <w:pStyle w:val="NormalWeb"/>
        <w:spacing w:before="0" w:beforeAutospacing="0" w:after="315" w:afterAutospacing="0" w:line="315" w:lineRule="atLeast"/>
        <w:jc w:val="both"/>
        <w:rPr>
          <w:rFonts w:ascii="Arial" w:hAnsi="Arial" w:cs="Arial"/>
        </w:rPr>
      </w:pPr>
      <w:r>
        <w:rPr>
          <w:rFonts w:ascii="Arial" w:hAnsi="Arial" w:cs="Arial"/>
        </w:rPr>
        <w:lastRenderedPageBreak/>
        <w:t xml:space="preserve">As for Disputant No. 2, she took employment as Training Officer </w:t>
      </w:r>
      <w:r w:rsidR="00D465A5">
        <w:rPr>
          <w:rFonts w:ascii="Arial" w:hAnsi="Arial" w:cs="Arial"/>
        </w:rPr>
        <w:t xml:space="preserve">in the Housekeeping Section </w:t>
      </w:r>
      <w:r>
        <w:rPr>
          <w:rFonts w:ascii="Arial" w:hAnsi="Arial" w:cs="Arial"/>
        </w:rPr>
        <w:t xml:space="preserve">on 15 July 1996 with the Respondent, formerly the IVTB.  </w:t>
      </w:r>
      <w:r w:rsidR="00D465A5">
        <w:rPr>
          <w:rFonts w:ascii="Arial" w:hAnsi="Arial" w:cs="Arial"/>
        </w:rPr>
        <w:t xml:space="preserve">She was confirmed in her post on 15 July 1997 on the permanent and pensionable establishment of the IVTB.  In 2005, the </w:t>
      </w:r>
      <w:r>
        <w:rPr>
          <w:rFonts w:ascii="Arial" w:hAnsi="Arial" w:cs="Arial"/>
        </w:rPr>
        <w:t>post of Coordinator (</w:t>
      </w:r>
      <w:r w:rsidR="00D465A5">
        <w:rPr>
          <w:rFonts w:ascii="Arial" w:hAnsi="Arial" w:cs="Arial"/>
        </w:rPr>
        <w:t>Front Office &amp; Housekeeping</w:t>
      </w:r>
      <w:r>
        <w:rPr>
          <w:rFonts w:ascii="Arial" w:hAnsi="Arial" w:cs="Arial"/>
        </w:rPr>
        <w:t xml:space="preserve">) </w:t>
      </w:r>
      <w:r w:rsidR="00D465A5">
        <w:rPr>
          <w:rFonts w:ascii="Arial" w:hAnsi="Arial" w:cs="Arial"/>
        </w:rPr>
        <w:t xml:space="preserve">became </w:t>
      </w:r>
      <w:r>
        <w:rPr>
          <w:rFonts w:ascii="Arial" w:hAnsi="Arial" w:cs="Arial"/>
        </w:rPr>
        <w:t>vacant</w:t>
      </w:r>
      <w:r w:rsidR="002D5D31">
        <w:rPr>
          <w:rFonts w:ascii="Arial" w:hAnsi="Arial" w:cs="Arial"/>
        </w:rPr>
        <w:t xml:space="preserve">.  </w:t>
      </w:r>
      <w:r>
        <w:rPr>
          <w:rFonts w:ascii="Arial" w:hAnsi="Arial" w:cs="Arial"/>
        </w:rPr>
        <w:t>Following an advertisement for the post of Coordinator–</w:t>
      </w:r>
      <w:r w:rsidR="00D465A5">
        <w:rPr>
          <w:rFonts w:ascii="Arial" w:hAnsi="Arial" w:cs="Arial"/>
        </w:rPr>
        <w:t>Front Office and Housekeeping</w:t>
      </w:r>
      <w:r>
        <w:rPr>
          <w:rFonts w:ascii="Arial" w:hAnsi="Arial" w:cs="Arial"/>
        </w:rPr>
        <w:t xml:space="preserve">, Disputant No. </w:t>
      </w:r>
      <w:r w:rsidR="00D465A5">
        <w:rPr>
          <w:rFonts w:ascii="Arial" w:hAnsi="Arial" w:cs="Arial"/>
        </w:rPr>
        <w:t>2</w:t>
      </w:r>
      <w:r>
        <w:rPr>
          <w:rFonts w:ascii="Arial" w:hAnsi="Arial" w:cs="Arial"/>
        </w:rPr>
        <w:t xml:space="preserve"> applied for the said post </w:t>
      </w:r>
      <w:r w:rsidR="00D465A5">
        <w:rPr>
          <w:rFonts w:ascii="Arial" w:hAnsi="Arial" w:cs="Arial"/>
        </w:rPr>
        <w:t xml:space="preserve">as she was fully qualified for it </w:t>
      </w:r>
      <w:r>
        <w:rPr>
          <w:rFonts w:ascii="Arial" w:hAnsi="Arial" w:cs="Arial"/>
        </w:rPr>
        <w:t xml:space="preserve">and was called for </w:t>
      </w:r>
      <w:r w:rsidR="00D465A5">
        <w:rPr>
          <w:rFonts w:ascii="Arial" w:hAnsi="Arial" w:cs="Arial"/>
        </w:rPr>
        <w:t>two</w:t>
      </w:r>
      <w:r>
        <w:rPr>
          <w:rFonts w:ascii="Arial" w:hAnsi="Arial" w:cs="Arial"/>
        </w:rPr>
        <w:t xml:space="preserve"> interview</w:t>
      </w:r>
      <w:r w:rsidR="00D465A5">
        <w:rPr>
          <w:rFonts w:ascii="Arial" w:hAnsi="Arial" w:cs="Arial"/>
        </w:rPr>
        <w:t>s</w:t>
      </w:r>
      <w:r>
        <w:rPr>
          <w:rFonts w:ascii="Arial" w:hAnsi="Arial" w:cs="Arial"/>
        </w:rPr>
        <w:t xml:space="preserve"> on </w:t>
      </w:r>
      <w:r w:rsidR="00D465A5">
        <w:rPr>
          <w:rFonts w:ascii="Arial" w:hAnsi="Arial" w:cs="Arial"/>
        </w:rPr>
        <w:t xml:space="preserve">14 June 2006 and </w:t>
      </w:r>
      <w:r>
        <w:rPr>
          <w:rFonts w:ascii="Arial" w:hAnsi="Arial" w:cs="Arial"/>
        </w:rPr>
        <w:t xml:space="preserve">6 July 2006.  The then IVTB did not proceed further with the selection exercise for the said post of Coordinator.  Meanwhile, </w:t>
      </w:r>
      <w:r w:rsidR="002D5D31">
        <w:rPr>
          <w:rFonts w:ascii="Arial" w:hAnsi="Arial" w:cs="Arial"/>
        </w:rPr>
        <w:t xml:space="preserve">just like in the case of Disputant No. 1, </w:t>
      </w:r>
      <w:r>
        <w:rPr>
          <w:rFonts w:ascii="Arial" w:hAnsi="Arial" w:cs="Arial"/>
        </w:rPr>
        <w:t xml:space="preserve">the post of Coordinator was made “(Personal to officers in post as at 30.06.08)” </w:t>
      </w:r>
      <w:r w:rsidR="002D5D31">
        <w:rPr>
          <w:rFonts w:ascii="Arial" w:hAnsi="Arial" w:cs="Arial"/>
        </w:rPr>
        <w:t>in the 2013 PRB Report and t</w:t>
      </w:r>
      <w:r>
        <w:rPr>
          <w:rFonts w:ascii="Arial" w:hAnsi="Arial" w:cs="Arial"/>
        </w:rPr>
        <w:t>his was maintained in the 2016 PRB Report and the recent 2021 PRB Report.  The terms and conditions of employment at the Respondent are governed by the relevant PRB Reports and Disputant No.</w:t>
      </w:r>
      <w:r w:rsidR="002D5D31">
        <w:rPr>
          <w:rFonts w:ascii="Arial" w:hAnsi="Arial" w:cs="Arial"/>
        </w:rPr>
        <w:t>2</w:t>
      </w:r>
      <w:r>
        <w:rPr>
          <w:rFonts w:ascii="Arial" w:hAnsi="Arial" w:cs="Arial"/>
        </w:rPr>
        <w:t xml:space="preserve"> has opted to be governed by the various PRB Reports.  </w:t>
      </w:r>
      <w:r w:rsidR="002D5D31">
        <w:rPr>
          <w:rFonts w:ascii="Arial" w:hAnsi="Arial" w:cs="Arial"/>
        </w:rPr>
        <w:t xml:space="preserve">With effect from 25 August 2006, Disputant No. 2 was assigned responsibilities as Coordinator (Housekeeping).  </w:t>
      </w:r>
      <w:r>
        <w:rPr>
          <w:rFonts w:ascii="Arial" w:hAnsi="Arial" w:cs="Arial"/>
        </w:rPr>
        <w:t>As from 200</w:t>
      </w:r>
      <w:r w:rsidR="002D5D31">
        <w:rPr>
          <w:rFonts w:ascii="Arial" w:hAnsi="Arial" w:cs="Arial"/>
        </w:rPr>
        <w:t>6</w:t>
      </w:r>
      <w:r>
        <w:rPr>
          <w:rFonts w:ascii="Arial" w:hAnsi="Arial" w:cs="Arial"/>
        </w:rPr>
        <w:t xml:space="preserve"> up to now, that is for over 1</w:t>
      </w:r>
      <w:r w:rsidR="002D5D31">
        <w:rPr>
          <w:rFonts w:ascii="Arial" w:hAnsi="Arial" w:cs="Arial"/>
        </w:rPr>
        <w:t>5</w:t>
      </w:r>
      <w:r>
        <w:rPr>
          <w:rFonts w:ascii="Arial" w:hAnsi="Arial" w:cs="Arial"/>
        </w:rPr>
        <w:t xml:space="preserve"> years, Disputant No. </w:t>
      </w:r>
      <w:r w:rsidR="002D5D31">
        <w:rPr>
          <w:rFonts w:ascii="Arial" w:hAnsi="Arial" w:cs="Arial"/>
        </w:rPr>
        <w:t>2</w:t>
      </w:r>
      <w:r>
        <w:rPr>
          <w:rFonts w:ascii="Arial" w:hAnsi="Arial" w:cs="Arial"/>
        </w:rPr>
        <w:t xml:space="preserve"> has been acting as Coordinator.  There has been no adverse report against Disputant No. </w:t>
      </w:r>
      <w:r w:rsidR="002D5D31">
        <w:rPr>
          <w:rFonts w:ascii="Arial" w:hAnsi="Arial" w:cs="Arial"/>
        </w:rPr>
        <w:t>2</w:t>
      </w:r>
      <w:r>
        <w:rPr>
          <w:rFonts w:ascii="Arial" w:hAnsi="Arial" w:cs="Arial"/>
        </w:rPr>
        <w:t xml:space="preserve"> since </w:t>
      </w:r>
      <w:r w:rsidR="002D5D31">
        <w:rPr>
          <w:rFonts w:ascii="Arial" w:hAnsi="Arial" w:cs="Arial"/>
        </w:rPr>
        <w:t>s</w:t>
      </w:r>
      <w:r>
        <w:rPr>
          <w:rFonts w:ascii="Arial" w:hAnsi="Arial" w:cs="Arial"/>
        </w:rPr>
        <w:t>he has been discharging the duties of Coordinator at the Respondent.</w:t>
      </w:r>
    </w:p>
    <w:p w14:paraId="63427932" w14:textId="2921C78B" w:rsidR="00FC7E1A" w:rsidRDefault="002D5D31" w:rsidP="00F9497C">
      <w:pPr>
        <w:pStyle w:val="NormalWeb"/>
        <w:spacing w:before="0" w:beforeAutospacing="0" w:after="315" w:afterAutospacing="0" w:line="315" w:lineRule="atLeast"/>
        <w:jc w:val="both"/>
        <w:rPr>
          <w:rFonts w:ascii="Arial" w:hAnsi="Arial" w:cs="Arial"/>
        </w:rPr>
      </w:pPr>
      <w:r>
        <w:rPr>
          <w:rFonts w:ascii="Arial" w:hAnsi="Arial" w:cs="Arial"/>
        </w:rPr>
        <w:t xml:space="preserve">The disputes in the present matter have been reported to the President of the Commission for Conciliation and Mediation </w:t>
      </w:r>
      <w:r w:rsidR="00FF0945">
        <w:rPr>
          <w:rFonts w:ascii="Arial" w:hAnsi="Arial" w:cs="Arial"/>
        </w:rPr>
        <w:t xml:space="preserve">on 19 October 2016 and 4 October 2016 respectively.  This was </w:t>
      </w:r>
      <w:r w:rsidR="00FF0945" w:rsidRPr="00EB3F0C">
        <w:rPr>
          <w:rFonts w:ascii="Arial" w:hAnsi="Arial" w:cs="Arial"/>
          <w:u w:val="single"/>
        </w:rPr>
        <w:t>more than ten</w:t>
      </w:r>
      <w:r w:rsidR="00FF0945">
        <w:rPr>
          <w:rFonts w:ascii="Arial" w:hAnsi="Arial" w:cs="Arial"/>
        </w:rPr>
        <w:t xml:space="preserve"> </w:t>
      </w:r>
      <w:r w:rsidR="00FF0945" w:rsidRPr="00EB3F0C">
        <w:rPr>
          <w:rFonts w:ascii="Arial" w:hAnsi="Arial" w:cs="Arial"/>
          <w:u w:val="single"/>
        </w:rPr>
        <w:t>years</w:t>
      </w:r>
      <w:r w:rsidR="00FF0945">
        <w:rPr>
          <w:rFonts w:ascii="Arial" w:hAnsi="Arial" w:cs="Arial"/>
        </w:rPr>
        <w:t xml:space="preserve"> </w:t>
      </w:r>
      <w:r w:rsidR="00EB3F0C">
        <w:rPr>
          <w:rFonts w:ascii="Arial" w:hAnsi="Arial" w:cs="Arial"/>
        </w:rPr>
        <w:t xml:space="preserve">(underlining is ours) </w:t>
      </w:r>
      <w:r w:rsidR="00FF0945">
        <w:rPr>
          <w:rFonts w:ascii="Arial" w:hAnsi="Arial" w:cs="Arial"/>
        </w:rPr>
        <w:t>after the interviews which the Disputants attended</w:t>
      </w:r>
      <w:r w:rsidR="00E000A3">
        <w:rPr>
          <w:rFonts w:ascii="Arial" w:hAnsi="Arial" w:cs="Arial"/>
        </w:rPr>
        <w:t>.  T</w:t>
      </w:r>
      <w:r w:rsidR="00D25F62">
        <w:rPr>
          <w:rFonts w:ascii="Arial" w:hAnsi="Arial" w:cs="Arial"/>
        </w:rPr>
        <w:t xml:space="preserve">he then IVTB </w:t>
      </w:r>
      <w:r w:rsidR="00E000A3">
        <w:rPr>
          <w:rFonts w:ascii="Arial" w:hAnsi="Arial" w:cs="Arial"/>
        </w:rPr>
        <w:t xml:space="preserve">then </w:t>
      </w:r>
      <w:r w:rsidR="00D25F62">
        <w:rPr>
          <w:rFonts w:ascii="Arial" w:hAnsi="Arial" w:cs="Arial"/>
        </w:rPr>
        <w:t xml:space="preserve">decided not to </w:t>
      </w:r>
      <w:proofErr w:type="gramStart"/>
      <w:r w:rsidR="00D25F62">
        <w:rPr>
          <w:rFonts w:ascii="Arial" w:hAnsi="Arial" w:cs="Arial"/>
        </w:rPr>
        <w:t>proceed</w:t>
      </w:r>
      <w:proofErr w:type="gramEnd"/>
      <w:r w:rsidR="00D25F62">
        <w:rPr>
          <w:rFonts w:ascii="Arial" w:hAnsi="Arial" w:cs="Arial"/>
        </w:rPr>
        <w:t xml:space="preserve"> with</w:t>
      </w:r>
      <w:r w:rsidR="00170609">
        <w:rPr>
          <w:rFonts w:ascii="Arial" w:hAnsi="Arial" w:cs="Arial"/>
        </w:rPr>
        <w:t xml:space="preserve"> the </w:t>
      </w:r>
      <w:r w:rsidR="00E000A3">
        <w:rPr>
          <w:rFonts w:ascii="Arial" w:hAnsi="Arial" w:cs="Arial"/>
        </w:rPr>
        <w:t xml:space="preserve">said </w:t>
      </w:r>
      <w:r w:rsidR="00170609">
        <w:rPr>
          <w:rFonts w:ascii="Arial" w:hAnsi="Arial" w:cs="Arial"/>
        </w:rPr>
        <w:t xml:space="preserve">selection exercises.  </w:t>
      </w:r>
      <w:r w:rsidR="007B11AE">
        <w:rPr>
          <w:rFonts w:ascii="Arial" w:hAnsi="Arial" w:cs="Arial"/>
        </w:rPr>
        <w:t>The representative of Respondent has sought to explain why the then IVTB did not proceed with the selection exercises and referred to changes in Government polic</w:t>
      </w:r>
      <w:r w:rsidR="00686F97">
        <w:rPr>
          <w:rFonts w:ascii="Arial" w:hAnsi="Arial" w:cs="Arial"/>
        </w:rPr>
        <w:t>ies</w:t>
      </w:r>
      <w:r w:rsidR="007B11AE">
        <w:rPr>
          <w:rFonts w:ascii="Arial" w:hAnsi="Arial" w:cs="Arial"/>
        </w:rPr>
        <w:t xml:space="preserve"> over time in relation to vocational education </w:t>
      </w:r>
      <w:r w:rsidR="00686F97">
        <w:rPr>
          <w:rFonts w:ascii="Arial" w:hAnsi="Arial" w:cs="Arial"/>
        </w:rPr>
        <w:t>and that there were directives t</w:t>
      </w:r>
      <w:r w:rsidR="00D61AC5">
        <w:rPr>
          <w:rFonts w:ascii="Arial" w:hAnsi="Arial" w:cs="Arial"/>
        </w:rPr>
        <w:t>o the effect t</w:t>
      </w:r>
      <w:r w:rsidR="00686F97">
        <w:rPr>
          <w:rFonts w:ascii="Arial" w:hAnsi="Arial" w:cs="Arial"/>
        </w:rPr>
        <w:t xml:space="preserve">hat pending the setting up of the </w:t>
      </w:r>
      <w:proofErr w:type="spellStart"/>
      <w:r w:rsidR="004038ED" w:rsidRPr="004038ED">
        <w:rPr>
          <w:rFonts w:ascii="Arial" w:hAnsi="Arial" w:cs="Arial"/>
          <w:i/>
        </w:rPr>
        <w:t>Institut</w:t>
      </w:r>
      <w:proofErr w:type="spellEnd"/>
      <w:r w:rsidR="004038ED" w:rsidRPr="004038ED">
        <w:rPr>
          <w:rFonts w:ascii="Arial" w:hAnsi="Arial" w:cs="Arial"/>
          <w:i/>
        </w:rPr>
        <w:t xml:space="preserve"> de Formation et </w:t>
      </w:r>
      <w:proofErr w:type="spellStart"/>
      <w:r w:rsidR="004038ED" w:rsidRPr="004038ED">
        <w:rPr>
          <w:rFonts w:ascii="Arial" w:hAnsi="Arial" w:cs="Arial"/>
          <w:i/>
        </w:rPr>
        <w:t>d’Education</w:t>
      </w:r>
      <w:proofErr w:type="spellEnd"/>
      <w:r w:rsidR="004038ED" w:rsidRPr="004038ED">
        <w:rPr>
          <w:rFonts w:ascii="Arial" w:hAnsi="Arial" w:cs="Arial"/>
          <w:i/>
        </w:rPr>
        <w:t xml:space="preserve"> </w:t>
      </w:r>
      <w:proofErr w:type="spellStart"/>
      <w:r w:rsidR="004038ED" w:rsidRPr="004038ED">
        <w:rPr>
          <w:rFonts w:ascii="Arial" w:hAnsi="Arial" w:cs="Arial"/>
          <w:i/>
        </w:rPr>
        <w:t>Tertiaire</w:t>
      </w:r>
      <w:proofErr w:type="spellEnd"/>
      <w:r w:rsidR="004038ED">
        <w:rPr>
          <w:rFonts w:ascii="Arial" w:hAnsi="Arial" w:cs="Arial"/>
        </w:rPr>
        <w:t xml:space="preserve"> a</w:t>
      </w:r>
      <w:r w:rsidR="00686F97">
        <w:rPr>
          <w:rFonts w:ascii="Arial" w:hAnsi="Arial" w:cs="Arial"/>
        </w:rPr>
        <w:t>nd the restructuring of the then IVTB, management should not fill any position</w:t>
      </w:r>
      <w:r w:rsidR="0056561F">
        <w:rPr>
          <w:rFonts w:ascii="Arial" w:hAnsi="Arial" w:cs="Arial"/>
        </w:rPr>
        <w:t xml:space="preserve">, save for </w:t>
      </w:r>
      <w:r w:rsidR="00686F97">
        <w:rPr>
          <w:rFonts w:ascii="Arial" w:hAnsi="Arial" w:cs="Arial"/>
        </w:rPr>
        <w:t>“critical” positions</w:t>
      </w:r>
      <w:r w:rsidR="0056561F">
        <w:rPr>
          <w:rFonts w:ascii="Arial" w:hAnsi="Arial" w:cs="Arial"/>
        </w:rPr>
        <w:t xml:space="preserve">.  Management was thus </w:t>
      </w:r>
      <w:r w:rsidR="00686F97">
        <w:rPr>
          <w:rFonts w:ascii="Arial" w:hAnsi="Arial" w:cs="Arial"/>
        </w:rPr>
        <w:t xml:space="preserve">not able to fill the position of Coordinator </w:t>
      </w:r>
      <w:r w:rsidR="0056561F">
        <w:rPr>
          <w:rFonts w:ascii="Arial" w:hAnsi="Arial" w:cs="Arial"/>
        </w:rPr>
        <w:t xml:space="preserve">(which was not </w:t>
      </w:r>
      <w:r w:rsidR="00E000A3">
        <w:rPr>
          <w:rFonts w:ascii="Arial" w:hAnsi="Arial" w:cs="Arial"/>
        </w:rPr>
        <w:t xml:space="preserve">considered by the Respondent to be </w:t>
      </w:r>
      <w:r w:rsidR="0056561F">
        <w:rPr>
          <w:rFonts w:ascii="Arial" w:hAnsi="Arial" w:cs="Arial"/>
        </w:rPr>
        <w:t xml:space="preserve">a ‘critical position’) </w:t>
      </w:r>
      <w:r w:rsidR="00686F97">
        <w:rPr>
          <w:rFonts w:ascii="Arial" w:hAnsi="Arial" w:cs="Arial"/>
        </w:rPr>
        <w:t xml:space="preserve">even though interviews </w:t>
      </w:r>
      <w:r w:rsidR="00E000A3">
        <w:rPr>
          <w:rFonts w:ascii="Arial" w:hAnsi="Arial" w:cs="Arial"/>
        </w:rPr>
        <w:t>of candidates had been</w:t>
      </w:r>
      <w:r w:rsidR="00686F97">
        <w:rPr>
          <w:rFonts w:ascii="Arial" w:hAnsi="Arial" w:cs="Arial"/>
        </w:rPr>
        <w:t xml:space="preserve"> held</w:t>
      </w:r>
      <w:r w:rsidR="00E000A3">
        <w:rPr>
          <w:rFonts w:ascii="Arial" w:hAnsi="Arial" w:cs="Arial"/>
        </w:rPr>
        <w:t xml:space="preserve"> for the said post</w:t>
      </w:r>
      <w:r w:rsidR="00686F97">
        <w:rPr>
          <w:rFonts w:ascii="Arial" w:hAnsi="Arial" w:cs="Arial"/>
        </w:rPr>
        <w:t xml:space="preserve">.  </w:t>
      </w:r>
      <w:r w:rsidR="004F4CC3">
        <w:rPr>
          <w:rFonts w:ascii="Arial" w:hAnsi="Arial" w:cs="Arial"/>
        </w:rPr>
        <w:t xml:space="preserve">The disputants stated that they trusted management and believed that they would </w:t>
      </w:r>
      <w:r w:rsidR="004038ED">
        <w:rPr>
          <w:rFonts w:ascii="Arial" w:hAnsi="Arial" w:cs="Arial"/>
        </w:rPr>
        <w:t xml:space="preserve">finally </w:t>
      </w:r>
      <w:r w:rsidR="004F4CC3">
        <w:rPr>
          <w:rFonts w:ascii="Arial" w:hAnsi="Arial" w:cs="Arial"/>
        </w:rPr>
        <w:t xml:space="preserve">be appointed. </w:t>
      </w:r>
      <w:r w:rsidR="004038ED">
        <w:rPr>
          <w:rFonts w:ascii="Arial" w:hAnsi="Arial" w:cs="Arial"/>
        </w:rPr>
        <w:t xml:space="preserve"> </w:t>
      </w:r>
      <w:r w:rsidR="004F4CC3">
        <w:rPr>
          <w:rFonts w:ascii="Arial" w:hAnsi="Arial" w:cs="Arial"/>
        </w:rPr>
        <w:t xml:space="preserve">However, this </w:t>
      </w:r>
      <w:r w:rsidR="00E000A3">
        <w:rPr>
          <w:rFonts w:ascii="Arial" w:hAnsi="Arial" w:cs="Arial"/>
        </w:rPr>
        <w:t>wa</w:t>
      </w:r>
      <w:r w:rsidR="004F4CC3">
        <w:rPr>
          <w:rFonts w:ascii="Arial" w:hAnsi="Arial" w:cs="Arial"/>
        </w:rPr>
        <w:t xml:space="preserve">s </w:t>
      </w:r>
      <w:r w:rsidR="00FC7E1A">
        <w:rPr>
          <w:rFonts w:ascii="Arial" w:hAnsi="Arial" w:cs="Arial"/>
        </w:rPr>
        <w:t xml:space="preserve">clearly </w:t>
      </w:r>
      <w:r w:rsidR="004F4CC3">
        <w:rPr>
          <w:rFonts w:ascii="Arial" w:hAnsi="Arial" w:cs="Arial"/>
        </w:rPr>
        <w:t>not enough</w:t>
      </w:r>
      <w:r w:rsidR="00E000A3">
        <w:rPr>
          <w:rFonts w:ascii="Arial" w:hAnsi="Arial" w:cs="Arial"/>
        </w:rPr>
        <w:t xml:space="preserve"> on their part</w:t>
      </w:r>
      <w:r w:rsidR="00FC7E1A">
        <w:rPr>
          <w:rFonts w:ascii="Arial" w:hAnsi="Arial" w:cs="Arial"/>
        </w:rPr>
        <w:t>.  We may here refer to the Code of Practice under the Fourth Schedule to the Act</w:t>
      </w:r>
      <w:r w:rsidR="004038ED">
        <w:rPr>
          <w:rFonts w:ascii="Arial" w:hAnsi="Arial" w:cs="Arial"/>
        </w:rPr>
        <w:t xml:space="preserve"> as guidance</w:t>
      </w:r>
      <w:r w:rsidR="00FC7E1A">
        <w:rPr>
          <w:rFonts w:ascii="Arial" w:hAnsi="Arial" w:cs="Arial"/>
        </w:rPr>
        <w:t>.  It includes provisions in relation to the obligations of an individual worker.  Article 41 of the Code thus provides as follows:</w:t>
      </w:r>
    </w:p>
    <w:p w14:paraId="08306E5A" w14:textId="77777777" w:rsidR="00FC7E1A" w:rsidRPr="00EB3F0C" w:rsidRDefault="00FC7E1A" w:rsidP="00F9497C">
      <w:pPr>
        <w:pStyle w:val="NormalWeb"/>
        <w:spacing w:before="0" w:beforeAutospacing="0" w:after="315" w:afterAutospacing="0" w:line="315" w:lineRule="atLeast"/>
        <w:jc w:val="both"/>
        <w:rPr>
          <w:rFonts w:ascii="Arial" w:hAnsi="Arial" w:cs="Arial"/>
          <w:i/>
        </w:rPr>
      </w:pPr>
      <w:r w:rsidRPr="00EB3F0C">
        <w:rPr>
          <w:rFonts w:ascii="Arial" w:hAnsi="Arial" w:cs="Arial"/>
          <w:i/>
        </w:rPr>
        <w:t>41. Every worker shall-</w:t>
      </w:r>
    </w:p>
    <w:p w14:paraId="4506177C" w14:textId="77777777" w:rsidR="00170609" w:rsidRPr="00EB3F0C" w:rsidRDefault="00FC7E1A" w:rsidP="00FC7E1A">
      <w:pPr>
        <w:pStyle w:val="NormalWeb"/>
        <w:spacing w:before="0" w:beforeAutospacing="0" w:after="315" w:afterAutospacing="0" w:line="315" w:lineRule="atLeast"/>
        <w:ind w:left="851" w:hanging="567"/>
        <w:jc w:val="both"/>
        <w:rPr>
          <w:rFonts w:ascii="Arial" w:hAnsi="Arial" w:cs="Arial"/>
          <w:i/>
        </w:rPr>
      </w:pPr>
      <w:r w:rsidRPr="00EB3F0C">
        <w:rPr>
          <w:rFonts w:ascii="Arial" w:hAnsi="Arial" w:cs="Arial"/>
          <w:i/>
        </w:rPr>
        <w:tab/>
        <w:t xml:space="preserve">(a) </w:t>
      </w:r>
      <w:proofErr w:type="gramStart"/>
      <w:r w:rsidRPr="00EB3F0C">
        <w:rPr>
          <w:rFonts w:ascii="Arial" w:hAnsi="Arial" w:cs="Arial"/>
          <w:i/>
        </w:rPr>
        <w:t>satisfy</w:t>
      </w:r>
      <w:proofErr w:type="gramEnd"/>
      <w:r w:rsidRPr="00EB3F0C">
        <w:rPr>
          <w:rFonts w:ascii="Arial" w:hAnsi="Arial" w:cs="Arial"/>
          <w:i/>
        </w:rPr>
        <w:t xml:space="preserve"> himself that he understands the terms of his contract of employment and abide by them; and   </w:t>
      </w:r>
      <w:r w:rsidR="004F4CC3" w:rsidRPr="00EB3F0C">
        <w:rPr>
          <w:rFonts w:ascii="Arial" w:hAnsi="Arial" w:cs="Arial"/>
          <w:i/>
        </w:rPr>
        <w:t xml:space="preserve"> </w:t>
      </w:r>
    </w:p>
    <w:p w14:paraId="15BFD102" w14:textId="77777777" w:rsidR="00FC7E1A" w:rsidRDefault="00FC7E1A" w:rsidP="00FC7E1A">
      <w:pPr>
        <w:pStyle w:val="NormalWeb"/>
        <w:spacing w:before="0" w:beforeAutospacing="0" w:after="315" w:afterAutospacing="0" w:line="315" w:lineRule="atLeast"/>
        <w:ind w:left="851" w:hanging="567"/>
        <w:jc w:val="both"/>
        <w:rPr>
          <w:rFonts w:ascii="Arial" w:hAnsi="Arial" w:cs="Arial"/>
        </w:rPr>
      </w:pPr>
      <w:r w:rsidRPr="00EB3F0C">
        <w:rPr>
          <w:rFonts w:ascii="Arial" w:hAnsi="Arial" w:cs="Arial"/>
          <w:i/>
        </w:rPr>
        <w:lastRenderedPageBreak/>
        <w:tab/>
        <w:t xml:space="preserve">(b) </w:t>
      </w:r>
      <w:proofErr w:type="gramStart"/>
      <w:r w:rsidR="00EB3F0C" w:rsidRPr="00EB3F0C">
        <w:rPr>
          <w:rFonts w:ascii="Arial" w:hAnsi="Arial" w:cs="Arial"/>
          <w:i/>
        </w:rPr>
        <w:t>make</w:t>
      </w:r>
      <w:proofErr w:type="gramEnd"/>
      <w:r w:rsidR="00EB3F0C" w:rsidRPr="00EB3F0C">
        <w:rPr>
          <w:rFonts w:ascii="Arial" w:hAnsi="Arial" w:cs="Arial"/>
          <w:i/>
        </w:rPr>
        <w:t xml:space="preserve"> himself familiar with any arrangements for dealing with grievances and other questions which may arise out of his contract of employment, and make use of them as and when the need arises.</w:t>
      </w:r>
      <w:r w:rsidR="00EB3F0C">
        <w:rPr>
          <w:rFonts w:ascii="Arial" w:hAnsi="Arial" w:cs="Arial"/>
        </w:rPr>
        <w:t xml:space="preserve">  </w:t>
      </w:r>
    </w:p>
    <w:p w14:paraId="7AC1EED9" w14:textId="77777777" w:rsidR="00EB3F0C" w:rsidRDefault="00EB3F0C" w:rsidP="00EB3F0C">
      <w:pPr>
        <w:pStyle w:val="NormalWeb"/>
        <w:spacing w:before="0" w:beforeAutospacing="0" w:after="315" w:afterAutospacing="0" w:line="315" w:lineRule="atLeast"/>
        <w:ind w:left="284"/>
        <w:jc w:val="both"/>
        <w:rPr>
          <w:rFonts w:ascii="Arial" w:hAnsi="Arial" w:cs="Arial"/>
        </w:rPr>
      </w:pPr>
      <w:r>
        <w:rPr>
          <w:rFonts w:ascii="Arial" w:hAnsi="Arial" w:cs="Arial"/>
        </w:rPr>
        <w:t xml:space="preserve">Similarly and to an even larger extent, the Respondent has its own responsibilities in the matter.  </w:t>
      </w:r>
      <w:r w:rsidR="00D671AE">
        <w:rPr>
          <w:rFonts w:ascii="Arial" w:hAnsi="Arial" w:cs="Arial"/>
        </w:rPr>
        <w:t>As guidance, we will refer to</w:t>
      </w:r>
      <w:r>
        <w:rPr>
          <w:rFonts w:ascii="Arial" w:hAnsi="Arial" w:cs="Arial"/>
        </w:rPr>
        <w:t xml:space="preserve"> Article</w:t>
      </w:r>
      <w:r w:rsidR="00554DA9">
        <w:rPr>
          <w:rFonts w:ascii="Arial" w:hAnsi="Arial" w:cs="Arial"/>
        </w:rPr>
        <w:t>s</w:t>
      </w:r>
      <w:r>
        <w:rPr>
          <w:rFonts w:ascii="Arial" w:hAnsi="Arial" w:cs="Arial"/>
        </w:rPr>
        <w:t xml:space="preserve"> 27, </w:t>
      </w:r>
      <w:r w:rsidR="00554DA9">
        <w:rPr>
          <w:rFonts w:ascii="Arial" w:hAnsi="Arial" w:cs="Arial"/>
        </w:rPr>
        <w:t xml:space="preserve">31 and 70 </w:t>
      </w:r>
      <w:r>
        <w:rPr>
          <w:rFonts w:ascii="Arial" w:hAnsi="Arial" w:cs="Arial"/>
        </w:rPr>
        <w:t xml:space="preserve">of the same Code of Practice </w:t>
      </w:r>
      <w:r w:rsidR="00D671AE">
        <w:rPr>
          <w:rFonts w:ascii="Arial" w:hAnsi="Arial" w:cs="Arial"/>
        </w:rPr>
        <w:t xml:space="preserve">which </w:t>
      </w:r>
      <w:r>
        <w:rPr>
          <w:rFonts w:ascii="Arial" w:hAnsi="Arial" w:cs="Arial"/>
        </w:rPr>
        <w:t>provide as follows:</w:t>
      </w:r>
    </w:p>
    <w:p w14:paraId="7CF4F2B7" w14:textId="77777777" w:rsidR="00EB3F0C" w:rsidRPr="00B94B14" w:rsidRDefault="00EB3F0C" w:rsidP="00EB3F0C">
      <w:pPr>
        <w:pStyle w:val="NormalWeb"/>
        <w:spacing w:before="0" w:beforeAutospacing="0" w:after="315" w:afterAutospacing="0" w:line="315" w:lineRule="atLeast"/>
        <w:ind w:left="284"/>
        <w:jc w:val="both"/>
        <w:rPr>
          <w:rFonts w:ascii="Arial" w:hAnsi="Arial" w:cs="Arial"/>
          <w:i/>
        </w:rPr>
      </w:pPr>
      <w:r w:rsidRPr="00B94B14">
        <w:rPr>
          <w:rFonts w:ascii="Arial" w:hAnsi="Arial" w:cs="Arial"/>
          <w:i/>
        </w:rPr>
        <w:t>27. While good employment relations are a joint responsibility, the primary responsibility for their promotion rests with management.</w:t>
      </w:r>
    </w:p>
    <w:p w14:paraId="5C10484C" w14:textId="77777777" w:rsidR="00B94B14" w:rsidRPr="00B94B14" w:rsidRDefault="00B94B14" w:rsidP="00EB3F0C">
      <w:pPr>
        <w:pStyle w:val="NormalWeb"/>
        <w:spacing w:before="0" w:beforeAutospacing="0" w:after="315" w:afterAutospacing="0" w:line="315" w:lineRule="atLeast"/>
        <w:ind w:left="284"/>
        <w:jc w:val="both"/>
        <w:rPr>
          <w:rFonts w:ascii="Arial" w:hAnsi="Arial" w:cs="Arial"/>
          <w:i/>
        </w:rPr>
      </w:pPr>
      <w:r w:rsidRPr="00B94B14">
        <w:rPr>
          <w:rFonts w:ascii="Arial" w:hAnsi="Arial" w:cs="Arial"/>
          <w:i/>
        </w:rPr>
        <w:t>31. Effective organisation of work is an important factor in good employment relations.  Management shall therefore ensure that-</w:t>
      </w:r>
    </w:p>
    <w:p w14:paraId="77B26226" w14:textId="77777777" w:rsidR="00B94B14" w:rsidRPr="00B94B14" w:rsidRDefault="00B94B14" w:rsidP="00EB3F0C">
      <w:pPr>
        <w:pStyle w:val="NormalWeb"/>
        <w:spacing w:before="0" w:beforeAutospacing="0" w:after="315" w:afterAutospacing="0" w:line="315" w:lineRule="atLeast"/>
        <w:ind w:left="284"/>
        <w:jc w:val="both"/>
        <w:rPr>
          <w:rFonts w:ascii="Arial" w:hAnsi="Arial" w:cs="Arial"/>
          <w:i/>
        </w:rPr>
      </w:pPr>
      <w:r w:rsidRPr="00B94B14">
        <w:rPr>
          <w:rFonts w:ascii="Arial" w:hAnsi="Arial" w:cs="Arial"/>
          <w:i/>
        </w:rPr>
        <w:t xml:space="preserve">(a) </w:t>
      </w:r>
      <w:proofErr w:type="gramStart"/>
      <w:r w:rsidRPr="00B94B14">
        <w:rPr>
          <w:rFonts w:ascii="Arial" w:hAnsi="Arial" w:cs="Arial"/>
          <w:i/>
        </w:rPr>
        <w:t>responsibility</w:t>
      </w:r>
      <w:proofErr w:type="gramEnd"/>
      <w:r w:rsidRPr="00B94B14">
        <w:rPr>
          <w:rFonts w:ascii="Arial" w:hAnsi="Arial" w:cs="Arial"/>
          <w:i/>
        </w:rPr>
        <w:t xml:space="preserve"> for each group of workers is clearly defined in the organisational structure;</w:t>
      </w:r>
    </w:p>
    <w:p w14:paraId="116C4425" w14:textId="77777777" w:rsidR="00B94B14" w:rsidRPr="00B94B14" w:rsidRDefault="00B94B14" w:rsidP="00EB3F0C">
      <w:pPr>
        <w:pStyle w:val="NormalWeb"/>
        <w:spacing w:before="0" w:beforeAutospacing="0" w:after="315" w:afterAutospacing="0" w:line="315" w:lineRule="atLeast"/>
        <w:ind w:left="284"/>
        <w:jc w:val="both"/>
        <w:rPr>
          <w:rFonts w:ascii="Arial" w:hAnsi="Arial" w:cs="Arial"/>
          <w:i/>
        </w:rPr>
      </w:pPr>
      <w:r w:rsidRPr="00B94B14">
        <w:rPr>
          <w:rFonts w:ascii="Arial" w:hAnsi="Arial" w:cs="Arial"/>
          <w:i/>
        </w:rPr>
        <w:t xml:space="preserve">(b) </w:t>
      </w:r>
      <w:proofErr w:type="gramStart"/>
      <w:r w:rsidRPr="00B94B14">
        <w:rPr>
          <w:rFonts w:ascii="Arial" w:hAnsi="Arial" w:cs="Arial"/>
          <w:i/>
        </w:rPr>
        <w:t>each</w:t>
      </w:r>
      <w:proofErr w:type="gramEnd"/>
      <w:r w:rsidRPr="00B94B14">
        <w:rPr>
          <w:rFonts w:ascii="Arial" w:hAnsi="Arial" w:cs="Arial"/>
          <w:i/>
        </w:rPr>
        <w:t xml:space="preserve"> manager understands his responsibilities and has the necessary authority and training to do his job; and</w:t>
      </w:r>
    </w:p>
    <w:p w14:paraId="017EE822" w14:textId="77777777" w:rsidR="00B94B14" w:rsidRDefault="00B94B14" w:rsidP="00EB3F0C">
      <w:pPr>
        <w:pStyle w:val="NormalWeb"/>
        <w:spacing w:before="0" w:beforeAutospacing="0" w:after="315" w:afterAutospacing="0" w:line="315" w:lineRule="atLeast"/>
        <w:ind w:left="284"/>
        <w:jc w:val="both"/>
        <w:rPr>
          <w:rFonts w:ascii="Arial" w:hAnsi="Arial" w:cs="Arial"/>
          <w:i/>
        </w:rPr>
      </w:pPr>
      <w:r w:rsidRPr="00B94B14">
        <w:rPr>
          <w:rFonts w:ascii="Arial" w:hAnsi="Arial" w:cs="Arial"/>
          <w:i/>
        </w:rPr>
        <w:t xml:space="preserve">(c) </w:t>
      </w:r>
      <w:proofErr w:type="gramStart"/>
      <w:r w:rsidRPr="00B94B14">
        <w:rPr>
          <w:rFonts w:ascii="Arial" w:hAnsi="Arial" w:cs="Arial"/>
          <w:i/>
        </w:rPr>
        <w:t>individual</w:t>
      </w:r>
      <w:proofErr w:type="gramEnd"/>
      <w:r w:rsidRPr="00B94B14">
        <w:rPr>
          <w:rFonts w:ascii="Arial" w:hAnsi="Arial" w:cs="Arial"/>
          <w:i/>
        </w:rPr>
        <w:t xml:space="preserve"> workers or work groups know their objectives and priorities and are kept informed of progress towards achieving them.</w:t>
      </w:r>
    </w:p>
    <w:p w14:paraId="7C9C05AA" w14:textId="77777777" w:rsidR="00B94B14" w:rsidRDefault="00B94B14" w:rsidP="00EB3F0C">
      <w:pPr>
        <w:pStyle w:val="NormalWeb"/>
        <w:spacing w:before="0" w:beforeAutospacing="0" w:after="315" w:afterAutospacing="0" w:line="315" w:lineRule="atLeast"/>
        <w:ind w:left="284"/>
        <w:jc w:val="both"/>
        <w:rPr>
          <w:rFonts w:ascii="Arial" w:hAnsi="Arial" w:cs="Arial"/>
          <w:i/>
        </w:rPr>
      </w:pPr>
      <w:r>
        <w:rPr>
          <w:rFonts w:ascii="Arial" w:hAnsi="Arial" w:cs="Arial"/>
          <w:i/>
        </w:rPr>
        <w:t xml:space="preserve">70. Management shall, as far as is reasonably possible, regularly provide workers with information on- </w:t>
      </w:r>
    </w:p>
    <w:p w14:paraId="08923623" w14:textId="77777777" w:rsidR="00554DA9" w:rsidRDefault="00B94B14" w:rsidP="00EB3F0C">
      <w:pPr>
        <w:pStyle w:val="NormalWeb"/>
        <w:spacing w:before="0" w:beforeAutospacing="0" w:after="315" w:afterAutospacing="0" w:line="315" w:lineRule="atLeast"/>
        <w:ind w:left="284"/>
        <w:jc w:val="both"/>
        <w:rPr>
          <w:rFonts w:ascii="Arial" w:hAnsi="Arial" w:cs="Arial"/>
          <w:i/>
        </w:rPr>
      </w:pPr>
      <w:r>
        <w:rPr>
          <w:rFonts w:ascii="Arial" w:hAnsi="Arial" w:cs="Arial"/>
          <w:i/>
        </w:rPr>
        <w:t xml:space="preserve">(a) </w:t>
      </w:r>
      <w:proofErr w:type="gramStart"/>
      <w:r>
        <w:rPr>
          <w:rFonts w:ascii="Arial" w:hAnsi="Arial" w:cs="Arial"/>
          <w:i/>
        </w:rPr>
        <w:t>the</w:t>
      </w:r>
      <w:proofErr w:type="gramEnd"/>
      <w:r>
        <w:rPr>
          <w:rFonts w:ascii="Arial" w:hAnsi="Arial" w:cs="Arial"/>
          <w:i/>
        </w:rPr>
        <w:t xml:space="preserve"> </w:t>
      </w:r>
      <w:r w:rsidR="00554DA9">
        <w:rPr>
          <w:rFonts w:ascii="Arial" w:hAnsi="Arial" w:cs="Arial"/>
          <w:i/>
        </w:rPr>
        <w:t>performance and plans of the establishment in which they work and, so far as they affect it, of the whole undertaking;</w:t>
      </w:r>
    </w:p>
    <w:p w14:paraId="6C33809A" w14:textId="77777777" w:rsidR="00554DA9" w:rsidRDefault="00554DA9" w:rsidP="00EB3F0C">
      <w:pPr>
        <w:pStyle w:val="NormalWeb"/>
        <w:spacing w:before="0" w:beforeAutospacing="0" w:after="315" w:afterAutospacing="0" w:line="315" w:lineRule="atLeast"/>
        <w:ind w:left="284"/>
        <w:jc w:val="both"/>
        <w:rPr>
          <w:rFonts w:ascii="Arial" w:hAnsi="Arial" w:cs="Arial"/>
          <w:i/>
        </w:rPr>
      </w:pPr>
      <w:r>
        <w:rPr>
          <w:rFonts w:ascii="Arial" w:hAnsi="Arial" w:cs="Arial"/>
          <w:i/>
        </w:rPr>
        <w:t xml:space="preserve">(b) </w:t>
      </w:r>
      <w:proofErr w:type="gramStart"/>
      <w:r>
        <w:rPr>
          <w:rFonts w:ascii="Arial" w:hAnsi="Arial" w:cs="Arial"/>
          <w:i/>
        </w:rPr>
        <w:t>working</w:t>
      </w:r>
      <w:proofErr w:type="gramEnd"/>
      <w:r>
        <w:rPr>
          <w:rFonts w:ascii="Arial" w:hAnsi="Arial" w:cs="Arial"/>
          <w:i/>
        </w:rPr>
        <w:t xml:space="preserve"> environment and conditions; and</w:t>
      </w:r>
    </w:p>
    <w:p w14:paraId="0ED99460" w14:textId="77777777" w:rsidR="00B94B14" w:rsidRPr="00B94B14" w:rsidRDefault="00554DA9" w:rsidP="00EB3F0C">
      <w:pPr>
        <w:pStyle w:val="NormalWeb"/>
        <w:spacing w:before="0" w:beforeAutospacing="0" w:after="315" w:afterAutospacing="0" w:line="315" w:lineRule="atLeast"/>
        <w:ind w:left="284"/>
        <w:jc w:val="both"/>
        <w:rPr>
          <w:rFonts w:ascii="Arial" w:hAnsi="Arial" w:cs="Arial"/>
          <w:i/>
        </w:rPr>
      </w:pPr>
      <w:r>
        <w:rPr>
          <w:rFonts w:ascii="Arial" w:hAnsi="Arial" w:cs="Arial"/>
          <w:i/>
        </w:rPr>
        <w:t xml:space="preserve">(c) </w:t>
      </w:r>
      <w:proofErr w:type="gramStart"/>
      <w:r>
        <w:rPr>
          <w:rFonts w:ascii="Arial" w:hAnsi="Arial" w:cs="Arial"/>
          <w:i/>
        </w:rPr>
        <w:t>any</w:t>
      </w:r>
      <w:proofErr w:type="gramEnd"/>
      <w:r>
        <w:rPr>
          <w:rFonts w:ascii="Arial" w:hAnsi="Arial" w:cs="Arial"/>
          <w:i/>
        </w:rPr>
        <w:t xml:space="preserve"> changes in organisation and management affecting workers. </w:t>
      </w:r>
      <w:r w:rsidR="00B94B14">
        <w:rPr>
          <w:rFonts w:ascii="Arial" w:hAnsi="Arial" w:cs="Arial"/>
          <w:i/>
        </w:rPr>
        <w:t xml:space="preserve">  </w:t>
      </w:r>
    </w:p>
    <w:p w14:paraId="4C1DE73D" w14:textId="1E6B62D4" w:rsidR="00EB3F0C" w:rsidRDefault="00E10669" w:rsidP="00EB3F0C">
      <w:pPr>
        <w:pStyle w:val="NormalWeb"/>
        <w:spacing w:before="0" w:beforeAutospacing="0" w:after="315" w:afterAutospacing="0" w:line="315" w:lineRule="atLeast"/>
        <w:ind w:left="284"/>
        <w:jc w:val="both"/>
        <w:rPr>
          <w:rFonts w:ascii="Arial" w:hAnsi="Arial" w:cs="Arial"/>
        </w:rPr>
      </w:pPr>
      <w:r>
        <w:rPr>
          <w:rFonts w:ascii="Arial" w:hAnsi="Arial" w:cs="Arial"/>
        </w:rPr>
        <w:t xml:space="preserve">The Tribunal will also refer to the relevant PRB Reports.  </w:t>
      </w:r>
      <w:r w:rsidR="00554DA9">
        <w:rPr>
          <w:rFonts w:ascii="Arial" w:hAnsi="Arial" w:cs="Arial"/>
        </w:rPr>
        <w:t xml:space="preserve">Besides the fact that since 2013, the post of Coordinator has been kept personal to </w:t>
      </w:r>
      <w:proofErr w:type="gramStart"/>
      <w:r w:rsidR="00554DA9">
        <w:rPr>
          <w:rFonts w:ascii="Arial" w:hAnsi="Arial" w:cs="Arial"/>
        </w:rPr>
        <w:t>officers</w:t>
      </w:r>
      <w:proofErr w:type="gramEnd"/>
      <w:r w:rsidR="00554DA9">
        <w:rPr>
          <w:rFonts w:ascii="Arial" w:hAnsi="Arial" w:cs="Arial"/>
        </w:rPr>
        <w:t xml:space="preserve"> already in post as at 30 June 2008, </w:t>
      </w:r>
      <w:r w:rsidR="00BD10DB">
        <w:rPr>
          <w:rFonts w:ascii="Arial" w:hAnsi="Arial" w:cs="Arial"/>
        </w:rPr>
        <w:t>the Tribunal notes the following:</w:t>
      </w:r>
    </w:p>
    <w:p w14:paraId="323CEA20" w14:textId="33081B17" w:rsidR="00BD10DB" w:rsidRDefault="00BD10DB" w:rsidP="00BD10DB">
      <w:pPr>
        <w:pStyle w:val="NormalWeb"/>
        <w:numPr>
          <w:ilvl w:val="0"/>
          <w:numId w:val="10"/>
        </w:numPr>
        <w:spacing w:before="0" w:beforeAutospacing="0" w:after="315" w:afterAutospacing="0" w:line="315" w:lineRule="atLeast"/>
        <w:jc w:val="both"/>
        <w:rPr>
          <w:rFonts w:ascii="Arial" w:hAnsi="Arial" w:cs="Arial"/>
        </w:rPr>
      </w:pPr>
      <w:r>
        <w:rPr>
          <w:rFonts w:ascii="Arial" w:hAnsi="Arial" w:cs="Arial"/>
        </w:rPr>
        <w:t xml:space="preserve">in the 2016 PRB Report, the PRB had the following to say (we take notice of same since this part of the extract </w:t>
      </w:r>
      <w:r w:rsidR="00AA78D2">
        <w:rPr>
          <w:rFonts w:ascii="Arial" w:hAnsi="Arial" w:cs="Arial"/>
        </w:rPr>
        <w:t xml:space="preserve">at page 247 </w:t>
      </w:r>
      <w:r>
        <w:rPr>
          <w:rFonts w:ascii="Arial" w:hAnsi="Arial" w:cs="Arial"/>
        </w:rPr>
        <w:t xml:space="preserve">was not produced </w:t>
      </w:r>
      <w:r w:rsidR="00AA78D2">
        <w:rPr>
          <w:rFonts w:ascii="Arial" w:hAnsi="Arial" w:cs="Arial"/>
        </w:rPr>
        <w:t>on behalf of</w:t>
      </w:r>
      <w:r>
        <w:rPr>
          <w:rFonts w:ascii="Arial" w:hAnsi="Arial" w:cs="Arial"/>
        </w:rPr>
        <w:t xml:space="preserve"> Respondent):</w:t>
      </w:r>
    </w:p>
    <w:p w14:paraId="65EE94BB" w14:textId="77777777" w:rsidR="002E1146" w:rsidRDefault="00BD10DB" w:rsidP="002E1146">
      <w:pPr>
        <w:pStyle w:val="NormalWeb"/>
        <w:numPr>
          <w:ilvl w:val="1"/>
          <w:numId w:val="11"/>
        </w:numPr>
        <w:spacing w:before="0" w:beforeAutospacing="0" w:after="315" w:afterAutospacing="0" w:line="315" w:lineRule="atLeast"/>
        <w:ind w:left="851" w:firstLine="0"/>
        <w:jc w:val="both"/>
        <w:rPr>
          <w:rFonts w:ascii="Arial" w:hAnsi="Arial" w:cs="Arial"/>
          <w:i/>
        </w:rPr>
      </w:pPr>
      <w:r w:rsidRPr="00BD10DB">
        <w:rPr>
          <w:rFonts w:ascii="Arial" w:hAnsi="Arial" w:cs="Arial"/>
          <w:i/>
        </w:rPr>
        <w:lastRenderedPageBreak/>
        <w:t xml:space="preserve">In the context of this review exercise, requests were made by both Management and the staff side for the creation and restyling of a number of grades. Management also informed that the new organisation structure of the MITD has recently been finalised by the Board. However, the profiles for the new grades requested were not submitted to the Bureau for grading and for inclusion in this Report. Positions pertaining to this new structure would, therefore, be graded by the Bureau whenever requested, on an ad hoc basis. </w:t>
      </w:r>
    </w:p>
    <w:p w14:paraId="0CCCB23D" w14:textId="77777777" w:rsidR="00BD10DB" w:rsidRPr="00BD10DB" w:rsidRDefault="00BD10DB" w:rsidP="002E1146">
      <w:pPr>
        <w:pStyle w:val="NormalWeb"/>
        <w:numPr>
          <w:ilvl w:val="1"/>
          <w:numId w:val="11"/>
        </w:numPr>
        <w:spacing w:before="0" w:beforeAutospacing="0" w:after="315" w:afterAutospacing="0" w:line="315" w:lineRule="atLeast"/>
        <w:ind w:left="851" w:firstLine="0"/>
        <w:jc w:val="both"/>
        <w:rPr>
          <w:rFonts w:ascii="Arial" w:hAnsi="Arial" w:cs="Arial"/>
          <w:i/>
        </w:rPr>
      </w:pPr>
      <w:r w:rsidRPr="00BD10DB">
        <w:rPr>
          <w:rFonts w:ascii="Arial" w:hAnsi="Arial" w:cs="Arial"/>
          <w:i/>
        </w:rPr>
        <w:t xml:space="preserve">We are, in this Report, maintaining the present organisation structure and other provisions while reviewing the salary of existing grades.  </w:t>
      </w:r>
    </w:p>
    <w:p w14:paraId="23DE7BA5" w14:textId="77777777" w:rsidR="002E1146" w:rsidRDefault="002E1146" w:rsidP="002E1146">
      <w:pPr>
        <w:pStyle w:val="NormalWeb"/>
        <w:numPr>
          <w:ilvl w:val="0"/>
          <w:numId w:val="10"/>
        </w:numPr>
        <w:spacing w:before="0" w:beforeAutospacing="0" w:after="315" w:afterAutospacing="0" w:line="315" w:lineRule="atLeast"/>
        <w:jc w:val="both"/>
        <w:rPr>
          <w:rFonts w:ascii="Arial" w:hAnsi="Arial" w:cs="Arial"/>
        </w:rPr>
      </w:pPr>
      <w:r>
        <w:rPr>
          <w:rFonts w:ascii="Arial" w:hAnsi="Arial" w:cs="Arial"/>
        </w:rPr>
        <w:t xml:space="preserve"> in the 2021 PRB Report, the PRB stated the following:</w:t>
      </w:r>
    </w:p>
    <w:p w14:paraId="293A263C" w14:textId="6FCDC681" w:rsidR="002E1146" w:rsidRDefault="002E1146" w:rsidP="002E1146">
      <w:pPr>
        <w:pStyle w:val="NormalWeb"/>
        <w:numPr>
          <w:ilvl w:val="1"/>
          <w:numId w:val="12"/>
        </w:numPr>
        <w:spacing w:before="0" w:beforeAutospacing="0" w:after="315" w:afterAutospacing="0" w:line="315" w:lineRule="atLeast"/>
        <w:jc w:val="both"/>
        <w:rPr>
          <w:rFonts w:ascii="Arial" w:hAnsi="Arial" w:cs="Arial"/>
          <w:i/>
        </w:rPr>
      </w:pPr>
      <w:r w:rsidRPr="002E1146">
        <w:rPr>
          <w:rFonts w:ascii="Arial" w:hAnsi="Arial" w:cs="Arial"/>
          <w:i/>
        </w:rPr>
        <w:t xml:space="preserve">The main contention, since its creation, is that the MITD could not operate with an appropriate structure. It was noted that on several occasions, Management made proposals on the organisation structure and schemes of service for all existing and new grades but was not implemented due to outcry from the Unions. The Bureau has, nonetheless, carried out an in-depth study of all proposals received in the context of this Report and considers that, though the parent Ministry has requested to stay action on the current organisation structure, this situation cannot continue since the staff side are operating in a </w:t>
      </w:r>
      <w:proofErr w:type="spellStart"/>
      <w:r w:rsidRPr="002E1146">
        <w:rPr>
          <w:rFonts w:ascii="Arial" w:hAnsi="Arial" w:cs="Arial"/>
          <w:i/>
        </w:rPr>
        <w:t>vaccum</w:t>
      </w:r>
      <w:proofErr w:type="spellEnd"/>
      <w:r w:rsidR="002677B7">
        <w:rPr>
          <w:rFonts w:ascii="Arial" w:hAnsi="Arial" w:cs="Arial"/>
          <w:i/>
        </w:rPr>
        <w:t xml:space="preserve"> </w:t>
      </w:r>
      <w:r w:rsidR="002677B7">
        <w:rPr>
          <w:rFonts w:ascii="Arial" w:hAnsi="Arial" w:cs="Arial"/>
        </w:rPr>
        <w:t>(sic)</w:t>
      </w:r>
      <w:r w:rsidRPr="002E1146">
        <w:rPr>
          <w:rFonts w:ascii="Arial" w:hAnsi="Arial" w:cs="Arial"/>
          <w:i/>
        </w:rPr>
        <w:t xml:space="preserve">. The Bureau has also noted that it is stated in the Government Programme 2020/2024 that, in line with the education reform policy, an Institute of Technical Education will be set up to create opportunities and pathways for learners to pursue studies in technical education. Subsequently, Management of the MITD informed that some Training Centres would be transferred to the new Institute of Technical Education. However, to date, all Training Centres are still operating under the MITD. </w:t>
      </w:r>
    </w:p>
    <w:p w14:paraId="36D9959A" w14:textId="77777777" w:rsidR="0012320C" w:rsidRDefault="002E1146" w:rsidP="002E1146">
      <w:pPr>
        <w:pStyle w:val="NormalWeb"/>
        <w:numPr>
          <w:ilvl w:val="1"/>
          <w:numId w:val="12"/>
        </w:numPr>
        <w:spacing w:before="0" w:beforeAutospacing="0" w:after="315" w:afterAutospacing="0" w:line="315" w:lineRule="atLeast"/>
        <w:jc w:val="both"/>
        <w:rPr>
          <w:rFonts w:ascii="Arial" w:hAnsi="Arial" w:cs="Arial"/>
          <w:i/>
        </w:rPr>
      </w:pPr>
      <w:r w:rsidRPr="002E1146">
        <w:rPr>
          <w:rFonts w:ascii="Arial" w:hAnsi="Arial" w:cs="Arial"/>
          <w:i/>
        </w:rPr>
        <w:t xml:space="preserve"> We are, therefore, in the ensuing paragraphs, making appropriate recommendations such that the MITD is equipped, to some extent with a proper organisation structure so as to better deliver on its mandate</w:t>
      </w:r>
      <w:r>
        <w:rPr>
          <w:rFonts w:ascii="Arial" w:hAnsi="Arial" w:cs="Arial"/>
          <w:i/>
        </w:rPr>
        <w:t>. (…)</w:t>
      </w:r>
      <w:r w:rsidRPr="002E1146">
        <w:rPr>
          <w:rFonts w:ascii="Arial" w:hAnsi="Arial" w:cs="Arial"/>
          <w:i/>
        </w:rPr>
        <w:t xml:space="preserve"> </w:t>
      </w:r>
    </w:p>
    <w:p w14:paraId="544D0B90" w14:textId="06FD7283" w:rsidR="002E1146" w:rsidRPr="002E1146" w:rsidRDefault="002E1146" w:rsidP="002E1146">
      <w:pPr>
        <w:pStyle w:val="NormalWeb"/>
        <w:spacing w:before="0" w:beforeAutospacing="0" w:after="315" w:afterAutospacing="0" w:line="315" w:lineRule="atLeast"/>
        <w:ind w:left="284"/>
        <w:jc w:val="both"/>
        <w:rPr>
          <w:rFonts w:ascii="Arial" w:hAnsi="Arial" w:cs="Arial"/>
        </w:rPr>
      </w:pPr>
      <w:r>
        <w:rPr>
          <w:rFonts w:ascii="Arial" w:hAnsi="Arial" w:cs="Arial"/>
        </w:rPr>
        <w:t xml:space="preserve">Evidence has been adduced by the representative of Respondent that representations were made to the PRB for the reinstatement of the grade of Coordinator and for the creation of a grade of Senior </w:t>
      </w:r>
      <w:r w:rsidR="00723BE3">
        <w:rPr>
          <w:rFonts w:ascii="Arial" w:hAnsi="Arial" w:cs="Arial"/>
        </w:rPr>
        <w:t xml:space="preserve">Training Officer.  The PRB does refer to the request made for the creation of the grade of Senior Training Officer and for the reinstatement of the grades of Trainer (Personal) and Senior Trainer (Personal).  </w:t>
      </w:r>
      <w:r w:rsidR="006D6E98">
        <w:rPr>
          <w:rFonts w:ascii="Arial" w:hAnsi="Arial" w:cs="Arial"/>
        </w:rPr>
        <w:t xml:space="preserve">After taking note of the issue, the PRB stated that the Respondent was advised to seek the views of the Attorney-General’s Office on the matter and opined </w:t>
      </w:r>
      <w:r w:rsidR="006D6E98">
        <w:rPr>
          <w:rFonts w:ascii="Arial" w:hAnsi="Arial" w:cs="Arial"/>
        </w:rPr>
        <w:lastRenderedPageBreak/>
        <w:t>“that the Management of the MITD</w:t>
      </w:r>
      <w:r w:rsidR="008A0390">
        <w:rPr>
          <w:rFonts w:ascii="Arial" w:hAnsi="Arial" w:cs="Arial"/>
        </w:rPr>
        <w:t xml:space="preserve"> [Respondent]</w:t>
      </w:r>
      <w:r w:rsidR="006D6E98">
        <w:rPr>
          <w:rFonts w:ascii="Arial" w:hAnsi="Arial" w:cs="Arial"/>
        </w:rPr>
        <w:t xml:space="preserve"> may consider the advisability of dealing with this matter expeditiously in consultation with all relevant stakeholders.</w:t>
      </w:r>
      <w:r w:rsidR="0041329B">
        <w:rPr>
          <w:rFonts w:ascii="Arial" w:hAnsi="Arial" w:cs="Arial"/>
        </w:rPr>
        <w:t>”</w:t>
      </w:r>
      <w:r w:rsidR="006D6E98">
        <w:rPr>
          <w:rFonts w:ascii="Arial" w:hAnsi="Arial" w:cs="Arial"/>
        </w:rPr>
        <w:t xml:space="preserve">  </w:t>
      </w:r>
      <w:r w:rsidR="00723BE3">
        <w:rPr>
          <w:rFonts w:ascii="Arial" w:hAnsi="Arial" w:cs="Arial"/>
        </w:rPr>
        <w:t xml:space="preserve">  </w:t>
      </w:r>
      <w:r>
        <w:rPr>
          <w:rFonts w:ascii="Arial" w:hAnsi="Arial" w:cs="Arial"/>
        </w:rPr>
        <w:t xml:space="preserve">  </w:t>
      </w:r>
    </w:p>
    <w:p w14:paraId="2AC16C41" w14:textId="77777777" w:rsidR="00255703" w:rsidRDefault="006D6E98" w:rsidP="006D06F0">
      <w:pPr>
        <w:pStyle w:val="NormalWeb"/>
        <w:spacing w:before="0" w:beforeAutospacing="0" w:after="315" w:afterAutospacing="0" w:line="315" w:lineRule="atLeast"/>
        <w:ind w:left="284"/>
        <w:jc w:val="both"/>
        <w:rPr>
          <w:rFonts w:ascii="Arial" w:hAnsi="Arial" w:cs="Arial"/>
        </w:rPr>
      </w:pPr>
      <w:r>
        <w:rPr>
          <w:rFonts w:ascii="Arial" w:hAnsi="Arial" w:cs="Arial"/>
        </w:rPr>
        <w:t xml:space="preserve">Mention </w:t>
      </w:r>
      <w:r w:rsidR="006D06F0">
        <w:rPr>
          <w:rFonts w:ascii="Arial" w:hAnsi="Arial" w:cs="Arial"/>
        </w:rPr>
        <w:t>ha</w:t>
      </w:r>
      <w:r>
        <w:rPr>
          <w:rFonts w:ascii="Arial" w:hAnsi="Arial" w:cs="Arial"/>
        </w:rPr>
        <w:t xml:space="preserve">s </w:t>
      </w:r>
      <w:r w:rsidR="006D06F0">
        <w:rPr>
          <w:rFonts w:ascii="Arial" w:hAnsi="Arial" w:cs="Arial"/>
        </w:rPr>
        <w:t xml:space="preserve">also been made by the representative of Respondent of issues which are currently being discussed at the level of the Board of the Respondent in relation to submissions which may be made by the Respondent in the wake of the 2021 PRB Report.  The Tribunal takes note of same the more so in the light of the observations made by the Tribunal above on the obligations and responsibilities of an employer and the observation made by the PRB in its 2021 report </w:t>
      </w:r>
      <w:r w:rsidR="00D61AC5">
        <w:rPr>
          <w:rFonts w:ascii="Arial" w:hAnsi="Arial" w:cs="Arial"/>
        </w:rPr>
        <w:t>(see above at paragra</w:t>
      </w:r>
      <w:r w:rsidR="00087EF4">
        <w:rPr>
          <w:rFonts w:ascii="Arial" w:hAnsi="Arial" w:cs="Arial"/>
        </w:rPr>
        <w:t>ph 44.13) th</w:t>
      </w:r>
      <w:r w:rsidR="006D06F0">
        <w:rPr>
          <w:rFonts w:ascii="Arial" w:hAnsi="Arial" w:cs="Arial"/>
        </w:rPr>
        <w:t xml:space="preserve">at </w:t>
      </w:r>
      <w:r w:rsidR="00D61AC5" w:rsidRPr="00BE1AC4">
        <w:rPr>
          <w:rFonts w:ascii="Arial" w:hAnsi="Arial" w:cs="Arial"/>
        </w:rPr>
        <w:t xml:space="preserve">this situation cannot continue since the staff side are operating in a </w:t>
      </w:r>
      <w:r w:rsidR="00BE1AC4" w:rsidRPr="00BE1AC4">
        <w:rPr>
          <w:rFonts w:ascii="Arial" w:hAnsi="Arial" w:cs="Arial"/>
        </w:rPr>
        <w:t>vacuum</w:t>
      </w:r>
      <w:r w:rsidR="00D61AC5" w:rsidRPr="002E1146">
        <w:rPr>
          <w:rFonts w:ascii="Arial" w:hAnsi="Arial" w:cs="Arial"/>
          <w:i/>
        </w:rPr>
        <w:t>.</w:t>
      </w:r>
    </w:p>
    <w:p w14:paraId="5962C464" w14:textId="77777777" w:rsidR="005A3E30" w:rsidRDefault="009A70FC" w:rsidP="006D06F0">
      <w:pPr>
        <w:pStyle w:val="NormalWeb"/>
        <w:spacing w:before="0" w:beforeAutospacing="0" w:after="315" w:afterAutospacing="0" w:line="315" w:lineRule="atLeast"/>
        <w:ind w:left="284"/>
        <w:jc w:val="both"/>
        <w:rPr>
          <w:rFonts w:ascii="Arial" w:hAnsi="Arial" w:cs="Arial"/>
        </w:rPr>
      </w:pPr>
      <w:r>
        <w:rPr>
          <w:rFonts w:ascii="Arial" w:hAnsi="Arial" w:cs="Arial"/>
        </w:rPr>
        <w:t xml:space="preserve">The Tribunal will quote from the award delivered in the case of </w:t>
      </w:r>
      <w:r w:rsidRPr="009A70FC">
        <w:rPr>
          <w:rFonts w:ascii="Arial" w:hAnsi="Arial" w:cs="Arial"/>
          <w:b/>
        </w:rPr>
        <w:t>Mrs D.C.Y.P And The Sun Casinos Ltd, R.N 202 (GN No. 1390 of 1988)</w:t>
      </w:r>
      <w:r>
        <w:rPr>
          <w:rFonts w:ascii="Arial" w:hAnsi="Arial" w:cs="Arial"/>
        </w:rPr>
        <w:t xml:space="preserve"> where the then Permanent Arbitration Tribunal (as the Tribunal was then </w:t>
      </w:r>
      <w:r w:rsidR="005A3E30">
        <w:rPr>
          <w:rFonts w:ascii="Arial" w:hAnsi="Arial" w:cs="Arial"/>
        </w:rPr>
        <w:t>called</w:t>
      </w:r>
      <w:r>
        <w:rPr>
          <w:rFonts w:ascii="Arial" w:hAnsi="Arial" w:cs="Arial"/>
        </w:rPr>
        <w:t>)</w:t>
      </w:r>
      <w:r w:rsidR="005A3E30">
        <w:rPr>
          <w:rFonts w:ascii="Arial" w:hAnsi="Arial" w:cs="Arial"/>
        </w:rPr>
        <w:t xml:space="preserve"> stated the following:</w:t>
      </w:r>
    </w:p>
    <w:p w14:paraId="3D1514CF" w14:textId="77777777" w:rsidR="009A70FC" w:rsidRDefault="005A3E30" w:rsidP="006D06F0">
      <w:pPr>
        <w:pStyle w:val="NormalWeb"/>
        <w:spacing w:before="0" w:beforeAutospacing="0" w:after="315" w:afterAutospacing="0" w:line="315" w:lineRule="atLeast"/>
        <w:ind w:left="284"/>
        <w:jc w:val="both"/>
        <w:rPr>
          <w:rFonts w:ascii="Arial" w:hAnsi="Arial" w:cs="Arial"/>
        </w:rPr>
      </w:pPr>
      <w:r>
        <w:rPr>
          <w:rFonts w:ascii="Arial" w:hAnsi="Arial" w:cs="Arial"/>
        </w:rPr>
        <w:t>“</w:t>
      </w:r>
      <w:r w:rsidR="006636D4">
        <w:rPr>
          <w:rFonts w:ascii="Arial" w:hAnsi="Arial" w:cs="Arial"/>
        </w:rPr>
        <w:t xml:space="preserve">There is no doubt that employers do have </w:t>
      </w:r>
      <w:proofErr w:type="gramStart"/>
      <w:r w:rsidR="006636D4">
        <w:rPr>
          <w:rFonts w:ascii="Arial" w:hAnsi="Arial" w:cs="Arial"/>
        </w:rPr>
        <w:t>a discretion</w:t>
      </w:r>
      <w:proofErr w:type="gramEnd"/>
      <w:r w:rsidR="006636D4">
        <w:rPr>
          <w:rFonts w:ascii="Arial" w:hAnsi="Arial" w:cs="Arial"/>
        </w:rPr>
        <w:t xml:space="preserve"> and powers in matters of appointment and promotion.  Such discretion and powers must, however, be exercised in such a way as not to </w:t>
      </w:r>
      <w:r w:rsidR="00251895">
        <w:rPr>
          <w:rFonts w:ascii="Arial" w:hAnsi="Arial" w:cs="Arial"/>
        </w:rPr>
        <w:t>cause prejudice and frustration to employees whose only ‘</w:t>
      </w:r>
      <w:r w:rsidR="00251895" w:rsidRPr="00251895">
        <w:rPr>
          <w:rFonts w:ascii="Arial" w:hAnsi="Arial" w:cs="Arial"/>
          <w:i/>
        </w:rPr>
        <w:t>fault’</w:t>
      </w:r>
      <w:r w:rsidR="00251895">
        <w:rPr>
          <w:rFonts w:ascii="Arial" w:hAnsi="Arial" w:cs="Arial"/>
        </w:rPr>
        <w:t xml:space="preserve"> would seem to be </w:t>
      </w:r>
      <w:r w:rsidR="00251895" w:rsidRPr="00251895">
        <w:rPr>
          <w:rFonts w:ascii="Arial" w:hAnsi="Arial" w:cs="Arial"/>
          <w:i/>
        </w:rPr>
        <w:t>loyalty, expertise and efficiency</w:t>
      </w:r>
      <w:r w:rsidR="00251895">
        <w:rPr>
          <w:rFonts w:ascii="Arial" w:hAnsi="Arial" w:cs="Arial"/>
        </w:rPr>
        <w:t>.</w:t>
      </w:r>
      <w:r w:rsidR="006636D4">
        <w:rPr>
          <w:rFonts w:ascii="Arial" w:hAnsi="Arial" w:cs="Arial"/>
        </w:rPr>
        <w:t xml:space="preserve">  </w:t>
      </w:r>
      <w:r w:rsidR="009A70FC">
        <w:rPr>
          <w:rFonts w:ascii="Arial" w:hAnsi="Arial" w:cs="Arial"/>
        </w:rPr>
        <w:t xml:space="preserve"> </w:t>
      </w:r>
    </w:p>
    <w:p w14:paraId="6CCC12ED" w14:textId="77777777" w:rsidR="00251895" w:rsidRDefault="00251895" w:rsidP="006D06F0">
      <w:pPr>
        <w:pStyle w:val="NormalWeb"/>
        <w:spacing w:before="0" w:beforeAutospacing="0" w:after="315" w:afterAutospacing="0" w:line="315" w:lineRule="atLeast"/>
        <w:ind w:left="284"/>
        <w:jc w:val="both"/>
        <w:rPr>
          <w:rFonts w:ascii="Arial" w:hAnsi="Arial" w:cs="Arial"/>
        </w:rPr>
      </w:pPr>
      <w:r>
        <w:rPr>
          <w:rFonts w:ascii="Arial" w:hAnsi="Arial" w:cs="Arial"/>
        </w:rPr>
        <w:t>Whenever, as in the above case, officers are recruited and employed to work, they are entitled to expect a normal reward for their good work and acquired experience, and this necessarily includes access to promotion upon occasion arising.</w:t>
      </w:r>
    </w:p>
    <w:p w14:paraId="6BFF041B" w14:textId="77777777" w:rsidR="00251895" w:rsidRDefault="00251895" w:rsidP="006D06F0">
      <w:pPr>
        <w:pStyle w:val="NormalWeb"/>
        <w:spacing w:before="0" w:beforeAutospacing="0" w:after="315" w:afterAutospacing="0" w:line="315" w:lineRule="atLeast"/>
        <w:ind w:left="284"/>
        <w:jc w:val="both"/>
        <w:rPr>
          <w:rFonts w:ascii="Arial" w:hAnsi="Arial" w:cs="Arial"/>
        </w:rPr>
      </w:pPr>
      <w:r>
        <w:rPr>
          <w:rFonts w:ascii="Arial" w:hAnsi="Arial" w:cs="Arial"/>
        </w:rPr>
        <w:t>Unless such a basic concept of employer/employee relations is present in modern enterprises, industrial disputes and bad blood are bound to be the order of the day.”</w:t>
      </w:r>
    </w:p>
    <w:p w14:paraId="314D834F" w14:textId="77777777" w:rsidR="00087EF4" w:rsidRDefault="00087EF4" w:rsidP="006D06F0">
      <w:pPr>
        <w:pStyle w:val="NormalWeb"/>
        <w:spacing w:before="0" w:beforeAutospacing="0" w:after="315" w:afterAutospacing="0" w:line="315" w:lineRule="atLeast"/>
        <w:ind w:left="284"/>
        <w:jc w:val="both"/>
        <w:rPr>
          <w:rFonts w:ascii="Arial" w:hAnsi="Arial" w:cs="Arial"/>
        </w:rPr>
      </w:pPr>
      <w:r>
        <w:rPr>
          <w:rFonts w:ascii="Arial" w:hAnsi="Arial" w:cs="Arial"/>
        </w:rPr>
        <w:t>The Tribunal however takes note of the reasons given for the non-filling of the post</w:t>
      </w:r>
      <w:r w:rsidR="00856573">
        <w:rPr>
          <w:rFonts w:ascii="Arial" w:hAnsi="Arial" w:cs="Arial"/>
        </w:rPr>
        <w:t>s</w:t>
      </w:r>
      <w:r>
        <w:rPr>
          <w:rFonts w:ascii="Arial" w:hAnsi="Arial" w:cs="Arial"/>
        </w:rPr>
        <w:t xml:space="preserve"> of Coordinator</w:t>
      </w:r>
      <w:r w:rsidR="00856573">
        <w:rPr>
          <w:rFonts w:ascii="Arial" w:hAnsi="Arial" w:cs="Arial"/>
        </w:rPr>
        <w:t>.  The Tribunal also notes</w:t>
      </w:r>
      <w:r>
        <w:rPr>
          <w:rFonts w:ascii="Arial" w:hAnsi="Arial" w:cs="Arial"/>
        </w:rPr>
        <w:t xml:space="preserve"> that the then IVTB had indeed reserved its right not to make any appointment following the internal advertisement </w:t>
      </w:r>
      <w:r w:rsidR="00856573">
        <w:rPr>
          <w:rFonts w:ascii="Arial" w:hAnsi="Arial" w:cs="Arial"/>
        </w:rPr>
        <w:t xml:space="preserve">dated 12 May 2006 </w:t>
      </w:r>
      <w:r>
        <w:rPr>
          <w:rFonts w:ascii="Arial" w:hAnsi="Arial" w:cs="Arial"/>
        </w:rPr>
        <w:t>for different posts</w:t>
      </w:r>
      <w:r w:rsidR="00856573">
        <w:rPr>
          <w:rFonts w:ascii="Arial" w:hAnsi="Arial" w:cs="Arial"/>
        </w:rPr>
        <w:t xml:space="preserve"> </w:t>
      </w:r>
      <w:r>
        <w:rPr>
          <w:rFonts w:ascii="Arial" w:hAnsi="Arial" w:cs="Arial"/>
        </w:rPr>
        <w:t xml:space="preserve">including </w:t>
      </w:r>
      <w:r w:rsidR="00856573">
        <w:rPr>
          <w:rFonts w:ascii="Arial" w:hAnsi="Arial" w:cs="Arial"/>
        </w:rPr>
        <w:t xml:space="preserve">for the posts of </w:t>
      </w:r>
      <w:r>
        <w:rPr>
          <w:rFonts w:ascii="Arial" w:hAnsi="Arial" w:cs="Arial"/>
        </w:rPr>
        <w:t xml:space="preserve">Coordinator- </w:t>
      </w:r>
      <w:r w:rsidR="00856573">
        <w:rPr>
          <w:rFonts w:ascii="Arial" w:hAnsi="Arial" w:cs="Arial"/>
        </w:rPr>
        <w:t xml:space="preserve">Tourism and Leisure </w:t>
      </w:r>
      <w:r>
        <w:rPr>
          <w:rFonts w:ascii="Arial" w:hAnsi="Arial" w:cs="Arial"/>
        </w:rPr>
        <w:t>and Coordinator</w:t>
      </w:r>
      <w:r w:rsidR="00856573">
        <w:rPr>
          <w:rFonts w:ascii="Arial" w:hAnsi="Arial" w:cs="Arial"/>
        </w:rPr>
        <w:t xml:space="preserve">- Front Office &amp; Housekeeping </w:t>
      </w:r>
      <w:r>
        <w:rPr>
          <w:rFonts w:ascii="Arial" w:hAnsi="Arial" w:cs="Arial"/>
        </w:rPr>
        <w:t xml:space="preserve">(Annex C to the statement of case of Disputant No. 2) </w:t>
      </w:r>
      <w:r w:rsidR="00856573">
        <w:rPr>
          <w:rFonts w:ascii="Arial" w:hAnsi="Arial" w:cs="Arial"/>
        </w:rPr>
        <w:t>and for</w:t>
      </w:r>
      <w:r>
        <w:rPr>
          <w:rFonts w:ascii="Arial" w:hAnsi="Arial" w:cs="Arial"/>
        </w:rPr>
        <w:t xml:space="preserve"> </w:t>
      </w:r>
      <w:r w:rsidR="00856573">
        <w:rPr>
          <w:rFonts w:ascii="Arial" w:hAnsi="Arial" w:cs="Arial"/>
        </w:rPr>
        <w:t>which posts</w:t>
      </w:r>
      <w:r>
        <w:rPr>
          <w:rFonts w:ascii="Arial" w:hAnsi="Arial" w:cs="Arial"/>
        </w:rPr>
        <w:t xml:space="preserve"> </w:t>
      </w:r>
      <w:r w:rsidR="00856573">
        <w:rPr>
          <w:rFonts w:ascii="Arial" w:hAnsi="Arial" w:cs="Arial"/>
        </w:rPr>
        <w:t>Disputant No. 1 and Disputant No. 2 had applied for respectively.</w:t>
      </w:r>
      <w:r>
        <w:rPr>
          <w:rFonts w:ascii="Arial" w:hAnsi="Arial" w:cs="Arial"/>
        </w:rPr>
        <w:t xml:space="preserve">  </w:t>
      </w:r>
    </w:p>
    <w:p w14:paraId="05B33F26" w14:textId="77777777" w:rsidR="00151259" w:rsidRDefault="00255703" w:rsidP="006D06F0">
      <w:pPr>
        <w:pStyle w:val="NormalWeb"/>
        <w:spacing w:before="0" w:beforeAutospacing="0" w:after="315" w:afterAutospacing="0" w:line="315" w:lineRule="atLeast"/>
        <w:ind w:left="284"/>
        <w:jc w:val="both"/>
        <w:rPr>
          <w:rFonts w:ascii="Arial" w:hAnsi="Arial" w:cs="Arial"/>
        </w:rPr>
      </w:pPr>
      <w:r>
        <w:rPr>
          <w:rFonts w:ascii="Arial" w:hAnsi="Arial" w:cs="Arial"/>
        </w:rPr>
        <w:t xml:space="preserve">The Tribunal cannot intervene in the present matter, however pathetic the situation may be for the Disputants, as </w:t>
      </w:r>
      <w:r w:rsidR="00251895">
        <w:rPr>
          <w:rFonts w:ascii="Arial" w:hAnsi="Arial" w:cs="Arial"/>
        </w:rPr>
        <w:t xml:space="preserve">referred to </w:t>
      </w:r>
      <w:r>
        <w:rPr>
          <w:rFonts w:ascii="Arial" w:hAnsi="Arial" w:cs="Arial"/>
        </w:rPr>
        <w:t xml:space="preserve">by Counsel for Respondent herself, because contrary to what is suggested in the terms of reference before us in both cases, there is </w:t>
      </w:r>
      <w:r w:rsidR="00151259">
        <w:rPr>
          <w:rFonts w:ascii="Arial" w:hAnsi="Arial" w:cs="Arial"/>
        </w:rPr>
        <w:t>strictly, as per the evidence adduced,</w:t>
      </w:r>
      <w:r w:rsidR="00251895">
        <w:rPr>
          <w:rFonts w:ascii="Arial" w:hAnsi="Arial" w:cs="Arial"/>
        </w:rPr>
        <w:t xml:space="preserve"> </w:t>
      </w:r>
      <w:r>
        <w:rPr>
          <w:rFonts w:ascii="Arial" w:hAnsi="Arial" w:cs="Arial"/>
        </w:rPr>
        <w:t xml:space="preserve">no vacant post of Coordinator </w:t>
      </w:r>
      <w:r w:rsidR="00251895">
        <w:rPr>
          <w:rFonts w:ascii="Arial" w:hAnsi="Arial" w:cs="Arial"/>
        </w:rPr>
        <w:t>a</w:t>
      </w:r>
      <w:r>
        <w:rPr>
          <w:rFonts w:ascii="Arial" w:hAnsi="Arial" w:cs="Arial"/>
        </w:rPr>
        <w:t>t the Respondent</w:t>
      </w:r>
      <w:r w:rsidR="00251895">
        <w:rPr>
          <w:rFonts w:ascii="Arial" w:hAnsi="Arial" w:cs="Arial"/>
        </w:rPr>
        <w:t xml:space="preserve"> and this since the implementation of the PRB Report 2013</w:t>
      </w:r>
      <w:r>
        <w:rPr>
          <w:rFonts w:ascii="Arial" w:hAnsi="Arial" w:cs="Arial"/>
        </w:rPr>
        <w:t xml:space="preserve">.  </w:t>
      </w:r>
      <w:r w:rsidR="00151259">
        <w:rPr>
          <w:rFonts w:ascii="Arial" w:hAnsi="Arial" w:cs="Arial"/>
        </w:rPr>
        <w:t xml:space="preserve">The </w:t>
      </w:r>
      <w:r w:rsidR="00151259">
        <w:rPr>
          <w:rFonts w:ascii="Arial" w:hAnsi="Arial" w:cs="Arial"/>
        </w:rPr>
        <w:lastRenderedPageBreak/>
        <w:t xml:space="preserve">Tribunal is thus at a loss to understand how the </w:t>
      </w:r>
      <w:r w:rsidR="000944F3">
        <w:rPr>
          <w:rFonts w:ascii="Arial" w:hAnsi="Arial" w:cs="Arial"/>
        </w:rPr>
        <w:t>‘Acting Appointment’ to act</w:t>
      </w:r>
      <w:r w:rsidR="00151259">
        <w:rPr>
          <w:rFonts w:ascii="Arial" w:hAnsi="Arial" w:cs="Arial"/>
        </w:rPr>
        <w:t xml:space="preserve"> as Coordinator </w:t>
      </w:r>
      <w:r w:rsidR="000944F3">
        <w:rPr>
          <w:rFonts w:ascii="Arial" w:hAnsi="Arial" w:cs="Arial"/>
        </w:rPr>
        <w:t xml:space="preserve">(Annex B to the statement of case of Disputant No. 1 and Annex E to the statement of case of Disputant No. 2) </w:t>
      </w:r>
      <w:r w:rsidR="00151259">
        <w:rPr>
          <w:rFonts w:ascii="Arial" w:hAnsi="Arial" w:cs="Arial"/>
        </w:rPr>
        <w:t xml:space="preserve">was continued in 2013 and afterwards.  Indeed, for there to be an acting appointment </w:t>
      </w:r>
      <w:r w:rsidR="000944F3">
        <w:rPr>
          <w:rFonts w:ascii="Arial" w:hAnsi="Arial" w:cs="Arial"/>
        </w:rPr>
        <w:t xml:space="preserve">there must be a vacant post.  The Tribunal may, for example, refer to paragraph 16.10.2 (Volume 1) of the PRB Report 2021 which provides as follows: </w:t>
      </w:r>
      <w:r w:rsidR="00151259">
        <w:rPr>
          <w:rFonts w:ascii="Arial" w:hAnsi="Arial" w:cs="Arial"/>
        </w:rPr>
        <w:t xml:space="preserve"> </w:t>
      </w:r>
    </w:p>
    <w:p w14:paraId="488A594A" w14:textId="77777777" w:rsidR="00151259" w:rsidRPr="000944F3" w:rsidRDefault="00151259" w:rsidP="006D06F0">
      <w:pPr>
        <w:pStyle w:val="NormalWeb"/>
        <w:spacing w:before="0" w:beforeAutospacing="0" w:after="315" w:afterAutospacing="0" w:line="315" w:lineRule="atLeast"/>
        <w:ind w:left="284"/>
        <w:jc w:val="both"/>
        <w:rPr>
          <w:rFonts w:ascii="Arial" w:hAnsi="Arial" w:cs="Arial"/>
        </w:rPr>
      </w:pPr>
      <w:r w:rsidRPr="000944F3">
        <w:rPr>
          <w:rFonts w:ascii="Arial" w:hAnsi="Arial" w:cs="Arial"/>
          <w:i/>
        </w:rPr>
        <w:t xml:space="preserve">16.10.2 An acting appointment is a non-substantive appointment in which an officer is appointed to undertake the duties of </w:t>
      </w:r>
      <w:r w:rsidRPr="000944F3">
        <w:rPr>
          <w:rFonts w:ascii="Arial" w:hAnsi="Arial" w:cs="Arial"/>
          <w:i/>
          <w:u w:val="single"/>
        </w:rPr>
        <w:t>a vacant post</w:t>
      </w:r>
      <w:r w:rsidRPr="000944F3">
        <w:rPr>
          <w:rFonts w:ascii="Arial" w:hAnsi="Arial" w:cs="Arial"/>
          <w:i/>
        </w:rPr>
        <w:t xml:space="preserve">. Acting appointments are administrative arrangements made at the discretion of Management. It is not obligatory that acting appointment must be made whenever a post is vacant. On the contrary, an acting appointment may be resorted to whenever there is operational need </w:t>
      </w:r>
      <w:r w:rsidRPr="000944F3">
        <w:rPr>
          <w:rFonts w:ascii="Arial" w:hAnsi="Arial" w:cs="Arial"/>
          <w:i/>
          <w:u w:val="single"/>
        </w:rPr>
        <w:t>and where the duties of a vacant post must be undertaken by another officer</w:t>
      </w:r>
      <w:r w:rsidRPr="000944F3">
        <w:rPr>
          <w:rFonts w:ascii="Arial" w:hAnsi="Arial" w:cs="Arial"/>
          <w:i/>
        </w:rPr>
        <w:t>.</w:t>
      </w:r>
      <w:r w:rsidR="000944F3">
        <w:rPr>
          <w:rFonts w:ascii="Arial" w:hAnsi="Arial" w:cs="Arial"/>
          <w:i/>
        </w:rPr>
        <w:t xml:space="preserve"> </w:t>
      </w:r>
      <w:r w:rsidR="000944F3">
        <w:rPr>
          <w:rFonts w:ascii="Arial" w:hAnsi="Arial" w:cs="Arial"/>
        </w:rPr>
        <w:t>(</w:t>
      </w:r>
      <w:proofErr w:type="gramStart"/>
      <w:r w:rsidR="000944F3">
        <w:rPr>
          <w:rFonts w:ascii="Arial" w:hAnsi="Arial" w:cs="Arial"/>
        </w:rPr>
        <w:t>underlining</w:t>
      </w:r>
      <w:proofErr w:type="gramEnd"/>
      <w:r w:rsidR="000944F3">
        <w:rPr>
          <w:rFonts w:ascii="Arial" w:hAnsi="Arial" w:cs="Arial"/>
        </w:rPr>
        <w:t xml:space="preserve"> is ours)</w:t>
      </w:r>
    </w:p>
    <w:p w14:paraId="7E904678" w14:textId="552AEE9B" w:rsidR="00F7337E" w:rsidRDefault="00434AEB" w:rsidP="006D06F0">
      <w:pPr>
        <w:pStyle w:val="NormalWeb"/>
        <w:spacing w:before="0" w:beforeAutospacing="0" w:after="315" w:afterAutospacing="0" w:line="315" w:lineRule="atLeast"/>
        <w:ind w:left="284"/>
        <w:jc w:val="both"/>
        <w:rPr>
          <w:rFonts w:ascii="Arial" w:hAnsi="Arial" w:cs="Arial"/>
        </w:rPr>
      </w:pPr>
      <w:r>
        <w:rPr>
          <w:rFonts w:ascii="Arial" w:hAnsi="Arial" w:cs="Arial"/>
        </w:rPr>
        <w:t xml:space="preserve">The explanation of the Acting Managing Director as to why the acting appointments of the disputants have been continued even after the PRB Report 2013 has not impressed the Tribunal.  Be that as it may, </w:t>
      </w:r>
      <w:r w:rsidR="00F7337E">
        <w:rPr>
          <w:rFonts w:ascii="Arial" w:hAnsi="Arial" w:cs="Arial"/>
        </w:rPr>
        <w:t>in the letters addressed to the disputants (Annexes B and E mentioned above), it was clearly mentioned that:</w:t>
      </w:r>
    </w:p>
    <w:p w14:paraId="7FEC5A95" w14:textId="77777777" w:rsidR="00151259" w:rsidRDefault="00F7337E" w:rsidP="006D06F0">
      <w:pPr>
        <w:pStyle w:val="NormalWeb"/>
        <w:spacing w:before="0" w:beforeAutospacing="0" w:after="315" w:afterAutospacing="0" w:line="315" w:lineRule="atLeast"/>
        <w:ind w:left="284"/>
        <w:jc w:val="both"/>
        <w:rPr>
          <w:rFonts w:ascii="Arial" w:hAnsi="Arial" w:cs="Arial"/>
        </w:rPr>
      </w:pPr>
      <w:r>
        <w:rPr>
          <w:rFonts w:ascii="Arial" w:hAnsi="Arial" w:cs="Arial"/>
        </w:rPr>
        <w:t>“</w:t>
      </w:r>
      <w:r w:rsidRPr="007F0F7E">
        <w:rPr>
          <w:rFonts w:ascii="Arial" w:hAnsi="Arial" w:cs="Arial"/>
          <w:i/>
        </w:rPr>
        <w:t>Please note that this acting appointment does not give you any claim for an eventual substantive appointment as Coordinator</w:t>
      </w:r>
      <w:r>
        <w:rPr>
          <w:rFonts w:ascii="Arial" w:hAnsi="Arial" w:cs="Arial"/>
        </w:rPr>
        <w:t xml:space="preserve"> </w:t>
      </w:r>
      <w:r w:rsidR="007F0F7E">
        <w:rPr>
          <w:rFonts w:ascii="Arial" w:hAnsi="Arial" w:cs="Arial"/>
        </w:rPr>
        <w:t>[</w:t>
      </w:r>
      <w:r w:rsidR="007F0F7E" w:rsidRPr="007F0F7E">
        <w:rPr>
          <w:rFonts w:ascii="Arial" w:hAnsi="Arial" w:cs="Arial"/>
          <w:i/>
        </w:rPr>
        <w:t>Coordinator (Housekeeping)</w:t>
      </w:r>
      <w:r w:rsidR="007F0F7E">
        <w:rPr>
          <w:rFonts w:ascii="Arial" w:hAnsi="Arial" w:cs="Arial"/>
        </w:rPr>
        <w:t xml:space="preserve"> in the case of letter to Disputant No. 2] </w:t>
      </w:r>
      <w:r w:rsidR="007F0F7E" w:rsidRPr="007F0F7E">
        <w:rPr>
          <w:rFonts w:ascii="Arial" w:hAnsi="Arial" w:cs="Arial"/>
          <w:i/>
        </w:rPr>
        <w:t>and may be terminated at any time</w:t>
      </w:r>
      <w:r w:rsidR="007F0F7E">
        <w:rPr>
          <w:rFonts w:ascii="Arial" w:hAnsi="Arial" w:cs="Arial"/>
        </w:rPr>
        <w:t>.”</w:t>
      </w:r>
      <w:r>
        <w:rPr>
          <w:rFonts w:ascii="Arial" w:hAnsi="Arial" w:cs="Arial"/>
        </w:rPr>
        <w:t xml:space="preserve"> </w:t>
      </w:r>
      <w:r w:rsidR="00434AEB">
        <w:rPr>
          <w:rFonts w:ascii="Arial" w:hAnsi="Arial" w:cs="Arial"/>
        </w:rPr>
        <w:t xml:space="preserve"> </w:t>
      </w:r>
    </w:p>
    <w:p w14:paraId="295C0309" w14:textId="4404CFD0" w:rsidR="00385EC1" w:rsidRDefault="00385EC1" w:rsidP="006D06F0">
      <w:pPr>
        <w:pStyle w:val="NormalWeb"/>
        <w:spacing w:before="0" w:beforeAutospacing="0" w:after="315" w:afterAutospacing="0" w:line="315" w:lineRule="atLeast"/>
        <w:ind w:left="284"/>
        <w:jc w:val="both"/>
        <w:rPr>
          <w:rFonts w:ascii="Arial" w:hAnsi="Arial" w:cs="Arial"/>
        </w:rPr>
      </w:pPr>
      <w:r>
        <w:rPr>
          <w:rFonts w:ascii="Arial" w:hAnsi="Arial" w:cs="Arial"/>
        </w:rPr>
        <w:t xml:space="preserve">Moreover, since both disputants applied for the said post and attended interviews, they are fully aware that appointment to the grade of Coordinator (even if </w:t>
      </w:r>
      <w:r w:rsidR="00981D7D">
        <w:rPr>
          <w:rFonts w:ascii="Arial" w:hAnsi="Arial" w:cs="Arial"/>
        </w:rPr>
        <w:t xml:space="preserve">at that time </w:t>
      </w:r>
      <w:r>
        <w:rPr>
          <w:rFonts w:ascii="Arial" w:hAnsi="Arial" w:cs="Arial"/>
        </w:rPr>
        <w:t>there were vacancies) is by way of selection</w:t>
      </w:r>
      <w:r w:rsidR="008A643B">
        <w:rPr>
          <w:rFonts w:ascii="Arial" w:hAnsi="Arial" w:cs="Arial"/>
        </w:rPr>
        <w:t xml:space="preserve">.  </w:t>
      </w:r>
      <w:r w:rsidR="00D37569">
        <w:rPr>
          <w:rFonts w:ascii="Arial" w:hAnsi="Arial" w:cs="Arial"/>
        </w:rPr>
        <w:t xml:space="preserve">  </w:t>
      </w:r>
      <w:r w:rsidR="00BD1B00">
        <w:rPr>
          <w:rFonts w:ascii="Arial" w:hAnsi="Arial" w:cs="Arial"/>
        </w:rPr>
        <w:t xml:space="preserve"> </w:t>
      </w:r>
      <w:r w:rsidR="004B3084">
        <w:rPr>
          <w:rFonts w:ascii="Arial" w:hAnsi="Arial" w:cs="Arial"/>
        </w:rPr>
        <w:t xml:space="preserve">          </w:t>
      </w:r>
      <w:r w:rsidR="00785587">
        <w:rPr>
          <w:rFonts w:ascii="Arial" w:hAnsi="Arial" w:cs="Arial"/>
          <w:b/>
        </w:rPr>
        <w:t xml:space="preserve"> </w:t>
      </w:r>
      <w:r w:rsidR="00866AE1">
        <w:rPr>
          <w:rFonts w:ascii="Arial" w:hAnsi="Arial" w:cs="Arial"/>
          <w:b/>
        </w:rPr>
        <w:t xml:space="preserve"> </w:t>
      </w:r>
      <w:r w:rsidR="008A643B">
        <w:rPr>
          <w:rFonts w:ascii="Arial" w:hAnsi="Arial" w:cs="Arial"/>
        </w:rPr>
        <w:t xml:space="preserve">  </w:t>
      </w:r>
      <w:r>
        <w:rPr>
          <w:rFonts w:ascii="Arial" w:hAnsi="Arial" w:cs="Arial"/>
        </w:rPr>
        <w:t xml:space="preserve">   </w:t>
      </w:r>
    </w:p>
    <w:p w14:paraId="49ED4251" w14:textId="46B319DB" w:rsidR="000C3B71" w:rsidRDefault="00251895" w:rsidP="006D06F0">
      <w:pPr>
        <w:pStyle w:val="NormalWeb"/>
        <w:spacing w:before="0" w:beforeAutospacing="0" w:after="315" w:afterAutospacing="0" w:line="315" w:lineRule="atLeast"/>
        <w:ind w:left="284"/>
        <w:jc w:val="both"/>
        <w:rPr>
          <w:rFonts w:ascii="Arial" w:hAnsi="Arial" w:cs="Arial"/>
        </w:rPr>
      </w:pPr>
      <w:r>
        <w:rPr>
          <w:rFonts w:ascii="Arial" w:hAnsi="Arial" w:cs="Arial"/>
        </w:rPr>
        <w:t>Also, a</w:t>
      </w:r>
      <w:r w:rsidR="00255703">
        <w:rPr>
          <w:rFonts w:ascii="Arial" w:hAnsi="Arial" w:cs="Arial"/>
        </w:rPr>
        <w:t xml:space="preserve">t this stage, much will depend on the policy which will be adopted in relation to technical education.  </w:t>
      </w:r>
      <w:r>
        <w:rPr>
          <w:rFonts w:ascii="Arial" w:hAnsi="Arial" w:cs="Arial"/>
        </w:rPr>
        <w:t xml:space="preserve">This Tribunal </w:t>
      </w:r>
      <w:r w:rsidR="000C3B71">
        <w:rPr>
          <w:rFonts w:ascii="Arial" w:hAnsi="Arial" w:cs="Arial"/>
        </w:rPr>
        <w:t>will be careful not to pronounce or interfere with policy decisions which should be left to those who have been duly mandated to take such decisions.</w:t>
      </w:r>
      <w:r w:rsidR="00FB6733">
        <w:rPr>
          <w:rFonts w:ascii="Arial" w:hAnsi="Arial" w:cs="Arial"/>
        </w:rPr>
        <w:t xml:space="preserve">  The Tribunal also takes note of the creation of a new grade of Quality Assurance Officer at the Respondent following the PRB Report 2021 (Doc E) and the </w:t>
      </w:r>
      <w:r w:rsidR="00F137E9">
        <w:rPr>
          <w:rFonts w:ascii="Arial" w:hAnsi="Arial" w:cs="Arial"/>
        </w:rPr>
        <w:t>still pending</w:t>
      </w:r>
      <w:r w:rsidR="00FB6733">
        <w:rPr>
          <w:rFonts w:ascii="Arial" w:hAnsi="Arial" w:cs="Arial"/>
        </w:rPr>
        <w:t xml:space="preserve"> issue concerning the creation of the grade of Senior Training Officer as per the </w:t>
      </w:r>
      <w:r w:rsidR="00F137E9">
        <w:rPr>
          <w:rFonts w:ascii="Arial" w:hAnsi="Arial" w:cs="Arial"/>
        </w:rPr>
        <w:t xml:space="preserve">2021 </w:t>
      </w:r>
      <w:r w:rsidR="00FB6733">
        <w:rPr>
          <w:rFonts w:ascii="Arial" w:hAnsi="Arial" w:cs="Arial"/>
        </w:rPr>
        <w:t xml:space="preserve">PRB Report.    </w:t>
      </w:r>
    </w:p>
    <w:p w14:paraId="2E15F34C" w14:textId="04B100B3" w:rsidR="009B35B8" w:rsidRDefault="003E18B4" w:rsidP="006D06F0">
      <w:pPr>
        <w:pStyle w:val="NormalWeb"/>
        <w:spacing w:before="0" w:beforeAutospacing="0" w:after="315" w:afterAutospacing="0" w:line="315" w:lineRule="atLeast"/>
        <w:ind w:left="284"/>
        <w:jc w:val="both"/>
        <w:rPr>
          <w:rFonts w:ascii="Arial" w:hAnsi="Arial" w:cs="Arial"/>
        </w:rPr>
      </w:pPr>
      <w:r>
        <w:rPr>
          <w:rFonts w:ascii="Arial" w:hAnsi="Arial" w:cs="Arial"/>
        </w:rPr>
        <w:t>The Tribunal finds it a</w:t>
      </w:r>
      <w:r w:rsidR="00D40434">
        <w:rPr>
          <w:rFonts w:ascii="Arial" w:hAnsi="Arial" w:cs="Arial"/>
        </w:rPr>
        <w:t>p</w:t>
      </w:r>
      <w:r>
        <w:rPr>
          <w:rFonts w:ascii="Arial" w:hAnsi="Arial" w:cs="Arial"/>
        </w:rPr>
        <w:t xml:space="preserve">posite at this stage </w:t>
      </w:r>
      <w:r w:rsidR="00D40434">
        <w:rPr>
          <w:rFonts w:ascii="Arial" w:hAnsi="Arial" w:cs="Arial"/>
        </w:rPr>
        <w:t>to</w:t>
      </w:r>
      <w:r w:rsidR="000C3B71">
        <w:rPr>
          <w:rFonts w:ascii="Arial" w:hAnsi="Arial" w:cs="Arial"/>
        </w:rPr>
        <w:t xml:space="preserve"> refer to the cases of </w:t>
      </w:r>
      <w:r w:rsidR="000C3B71" w:rsidRPr="009B35B8">
        <w:rPr>
          <w:rFonts w:ascii="Arial" w:hAnsi="Arial" w:cs="Arial"/>
          <w:b/>
        </w:rPr>
        <w:t xml:space="preserve">Mr P.E </w:t>
      </w:r>
      <w:proofErr w:type="spellStart"/>
      <w:r w:rsidR="000C3B71" w:rsidRPr="009B35B8">
        <w:rPr>
          <w:rFonts w:ascii="Arial" w:hAnsi="Arial" w:cs="Arial"/>
          <w:b/>
        </w:rPr>
        <w:t>Fid</w:t>
      </w:r>
      <w:r w:rsidR="009B35B8" w:rsidRPr="009B35B8">
        <w:rPr>
          <w:rFonts w:ascii="Arial" w:hAnsi="Arial" w:cs="Arial"/>
          <w:b/>
        </w:rPr>
        <w:t>èle</w:t>
      </w:r>
      <w:proofErr w:type="spellEnd"/>
      <w:r w:rsidR="009B35B8" w:rsidRPr="009B35B8">
        <w:rPr>
          <w:rFonts w:ascii="Arial" w:hAnsi="Arial" w:cs="Arial"/>
          <w:b/>
        </w:rPr>
        <w:t xml:space="preserve"> &amp; others And Cargo Handling Corporation Ltd, RN 1062-RN1064</w:t>
      </w:r>
      <w:r w:rsidR="009B35B8">
        <w:rPr>
          <w:rFonts w:ascii="Arial" w:hAnsi="Arial" w:cs="Arial"/>
        </w:rPr>
        <w:t xml:space="preserve">, where the Tribunal quoted from a previous award in the case of </w:t>
      </w:r>
      <w:r w:rsidR="009B35B8" w:rsidRPr="009B35B8">
        <w:rPr>
          <w:rFonts w:ascii="Arial" w:hAnsi="Arial" w:cs="Arial"/>
          <w:b/>
        </w:rPr>
        <w:t>Mr E. Cesar And Central Water Authority, RN 785</w:t>
      </w:r>
      <w:r w:rsidR="009B35B8">
        <w:rPr>
          <w:rFonts w:ascii="Arial" w:hAnsi="Arial" w:cs="Arial"/>
        </w:rPr>
        <w:t xml:space="preserve">, where the then Permanent Arbitration Tribunal stated the following: </w:t>
      </w:r>
    </w:p>
    <w:p w14:paraId="1B23643B" w14:textId="77777777" w:rsidR="002E1146" w:rsidRDefault="009B35B8" w:rsidP="006D06F0">
      <w:pPr>
        <w:pStyle w:val="NormalWeb"/>
        <w:spacing w:before="0" w:beforeAutospacing="0" w:after="315" w:afterAutospacing="0" w:line="315" w:lineRule="atLeast"/>
        <w:ind w:left="284"/>
        <w:jc w:val="both"/>
        <w:rPr>
          <w:rFonts w:ascii="Arial" w:hAnsi="Arial" w:cs="Arial"/>
        </w:rPr>
      </w:pPr>
      <w:r>
        <w:rPr>
          <w:rFonts w:ascii="Arial" w:hAnsi="Arial" w:cs="Arial"/>
        </w:rPr>
        <w:lastRenderedPageBreak/>
        <w:t>“</w:t>
      </w:r>
      <w:r w:rsidRPr="009B35B8">
        <w:rPr>
          <w:rFonts w:ascii="Arial" w:hAnsi="Arial" w:cs="Arial"/>
          <w:i/>
        </w:rPr>
        <w:t xml:space="preserve">It is worth stressing that for the sake of good industrial relations, vacancies should be filled in as soon as possible and period of </w:t>
      </w:r>
      <w:proofErr w:type="spellStart"/>
      <w:r w:rsidRPr="009B35B8">
        <w:rPr>
          <w:rFonts w:ascii="Arial" w:hAnsi="Arial" w:cs="Arial"/>
          <w:i/>
        </w:rPr>
        <w:t>actingship</w:t>
      </w:r>
      <w:proofErr w:type="spellEnd"/>
      <w:r w:rsidRPr="009B35B8">
        <w:rPr>
          <w:rFonts w:ascii="Arial" w:hAnsi="Arial" w:cs="Arial"/>
          <w:i/>
        </w:rPr>
        <w:t xml:space="preserve"> should not be made to last for more than is necessary</w:t>
      </w:r>
      <w:r>
        <w:rPr>
          <w:rFonts w:ascii="Arial" w:hAnsi="Arial" w:cs="Arial"/>
        </w:rPr>
        <w:t xml:space="preserve">.” </w:t>
      </w:r>
      <w:r w:rsidR="00251895">
        <w:rPr>
          <w:rFonts w:ascii="Arial" w:hAnsi="Arial" w:cs="Arial"/>
        </w:rPr>
        <w:t xml:space="preserve"> </w:t>
      </w:r>
      <w:r w:rsidR="00B47F78">
        <w:rPr>
          <w:rFonts w:ascii="Arial" w:hAnsi="Arial" w:cs="Arial"/>
        </w:rPr>
        <w:t xml:space="preserve">  </w:t>
      </w:r>
      <w:r w:rsidR="006D6DF4">
        <w:rPr>
          <w:rFonts w:ascii="Arial" w:hAnsi="Arial" w:cs="Arial"/>
        </w:rPr>
        <w:t xml:space="preserve">     </w:t>
      </w:r>
      <w:r w:rsidR="00C66D65">
        <w:rPr>
          <w:rFonts w:ascii="Arial" w:hAnsi="Arial" w:cs="Arial"/>
        </w:rPr>
        <w:t xml:space="preserve">  </w:t>
      </w:r>
      <w:r w:rsidR="00255703">
        <w:rPr>
          <w:rFonts w:ascii="Arial" w:hAnsi="Arial" w:cs="Arial"/>
        </w:rPr>
        <w:t xml:space="preserve">   </w:t>
      </w:r>
      <w:r w:rsidR="006D06F0">
        <w:rPr>
          <w:rFonts w:ascii="Arial" w:hAnsi="Arial" w:cs="Arial"/>
        </w:rPr>
        <w:t xml:space="preserve">      </w:t>
      </w:r>
    </w:p>
    <w:p w14:paraId="37C8F90F" w14:textId="79EF3CDA" w:rsidR="006D6E98" w:rsidRDefault="006139F5" w:rsidP="00B47F78">
      <w:pPr>
        <w:pStyle w:val="NormalWeb"/>
        <w:spacing w:before="0" w:beforeAutospacing="0" w:after="315" w:afterAutospacing="0" w:line="315" w:lineRule="atLeast"/>
        <w:ind w:left="284"/>
        <w:jc w:val="both"/>
        <w:rPr>
          <w:rFonts w:ascii="Arial" w:hAnsi="Arial" w:cs="Arial"/>
        </w:rPr>
      </w:pPr>
      <w:r>
        <w:rPr>
          <w:rFonts w:ascii="Arial" w:hAnsi="Arial" w:cs="Arial"/>
        </w:rPr>
        <w:t xml:space="preserve">In the light of the particular facts in the present case including the relevant PRB reports and that currently there is </w:t>
      </w:r>
      <w:r w:rsidR="00576A4B">
        <w:rPr>
          <w:rFonts w:ascii="Arial" w:hAnsi="Arial" w:cs="Arial"/>
        </w:rPr>
        <w:t xml:space="preserve">in fact </w:t>
      </w:r>
      <w:r>
        <w:rPr>
          <w:rFonts w:ascii="Arial" w:hAnsi="Arial" w:cs="Arial"/>
        </w:rPr>
        <w:t xml:space="preserve">no vacancy in the post of Coordinator at the Respondent, the Tribunal cannot award that the disputants </w:t>
      </w:r>
      <w:r w:rsidR="00F32A7A">
        <w:rPr>
          <w:rFonts w:ascii="Arial" w:hAnsi="Arial" w:cs="Arial"/>
        </w:rPr>
        <w:t>“</w:t>
      </w:r>
      <w:r>
        <w:rPr>
          <w:rFonts w:ascii="Arial" w:hAnsi="Arial" w:cs="Arial"/>
        </w:rPr>
        <w:t>should be appointed as Coordinator at EHSGD by the Respondent since the post is vacant</w:t>
      </w:r>
      <w:r w:rsidR="00F32A7A">
        <w:rPr>
          <w:rFonts w:ascii="Arial" w:hAnsi="Arial" w:cs="Arial"/>
        </w:rPr>
        <w:t>”</w:t>
      </w:r>
      <w:r>
        <w:rPr>
          <w:rFonts w:ascii="Arial" w:hAnsi="Arial" w:cs="Arial"/>
        </w:rPr>
        <w:t xml:space="preserve">.  </w:t>
      </w:r>
      <w:r w:rsidR="00B47F78">
        <w:rPr>
          <w:rFonts w:ascii="Arial" w:hAnsi="Arial" w:cs="Arial"/>
        </w:rPr>
        <w:t xml:space="preserve">The Tribunal however hastens to add that for an institution like the Respondent which “envisions to be the leader in human capital development in the region and beyond for global employability” (as per the extracts of the PRB Reports produced), </w:t>
      </w:r>
      <w:r w:rsidR="00B05AA0">
        <w:rPr>
          <w:rFonts w:ascii="Arial" w:hAnsi="Arial" w:cs="Arial"/>
        </w:rPr>
        <w:t>the manner in which the two disputants have been treated deserve</w:t>
      </w:r>
      <w:r w:rsidR="00811B00">
        <w:rPr>
          <w:rFonts w:ascii="Arial" w:hAnsi="Arial" w:cs="Arial"/>
        </w:rPr>
        <w:t>s</w:t>
      </w:r>
      <w:r w:rsidR="00B05AA0">
        <w:rPr>
          <w:rFonts w:ascii="Arial" w:hAnsi="Arial" w:cs="Arial"/>
        </w:rPr>
        <w:t xml:space="preserve"> no applause but great concern.  The Tribunal is however confident from the </w:t>
      </w:r>
      <w:r w:rsidR="00B031F1">
        <w:rPr>
          <w:rFonts w:ascii="Arial" w:hAnsi="Arial" w:cs="Arial"/>
        </w:rPr>
        <w:t xml:space="preserve">own </w:t>
      </w:r>
      <w:r w:rsidR="00B05AA0">
        <w:rPr>
          <w:rFonts w:ascii="Arial" w:hAnsi="Arial" w:cs="Arial"/>
        </w:rPr>
        <w:t xml:space="preserve">testimony of the representative of Respondent that management </w:t>
      </w:r>
      <w:r w:rsidR="009C6D77">
        <w:rPr>
          <w:rFonts w:ascii="Arial" w:hAnsi="Arial" w:cs="Arial"/>
        </w:rPr>
        <w:t xml:space="preserve">is going to </w:t>
      </w:r>
      <w:r w:rsidR="001428FD">
        <w:rPr>
          <w:rFonts w:ascii="Arial" w:hAnsi="Arial" w:cs="Arial"/>
        </w:rPr>
        <w:t>assume his responsibilities</w:t>
      </w:r>
      <w:r w:rsidR="00B031F1">
        <w:rPr>
          <w:rFonts w:ascii="Arial" w:hAnsi="Arial" w:cs="Arial"/>
        </w:rPr>
        <w:t xml:space="preserve"> and make necessary representations </w:t>
      </w:r>
      <w:r w:rsidR="00E70169">
        <w:rPr>
          <w:rFonts w:ascii="Arial" w:hAnsi="Arial" w:cs="Arial"/>
        </w:rPr>
        <w:t xml:space="preserve">in good faith </w:t>
      </w:r>
      <w:r w:rsidR="00B031F1">
        <w:rPr>
          <w:rFonts w:ascii="Arial" w:hAnsi="Arial" w:cs="Arial"/>
        </w:rPr>
        <w:t xml:space="preserve">as per the requirements of Respondent.  </w:t>
      </w:r>
      <w:r w:rsidR="00C00864">
        <w:rPr>
          <w:rFonts w:ascii="Arial" w:hAnsi="Arial" w:cs="Arial"/>
        </w:rPr>
        <w:t>O</w:t>
      </w:r>
      <w:r w:rsidR="00B031F1">
        <w:rPr>
          <w:rFonts w:ascii="Arial" w:hAnsi="Arial" w:cs="Arial"/>
        </w:rPr>
        <w:t>therwise</w:t>
      </w:r>
      <w:r w:rsidR="00C00864">
        <w:rPr>
          <w:rFonts w:ascii="Arial" w:hAnsi="Arial" w:cs="Arial"/>
        </w:rPr>
        <w:t>,</w:t>
      </w:r>
      <w:r w:rsidR="00B031F1">
        <w:rPr>
          <w:rFonts w:ascii="Arial" w:hAnsi="Arial" w:cs="Arial"/>
        </w:rPr>
        <w:t xml:space="preserve"> there would have been no point in keeping the disputants for years in an ‘acting’ capacity as Coordinator</w:t>
      </w:r>
      <w:r w:rsidR="00E70169">
        <w:rPr>
          <w:rFonts w:ascii="Arial" w:hAnsi="Arial" w:cs="Arial"/>
        </w:rPr>
        <w:t>s</w:t>
      </w:r>
      <w:r w:rsidR="00B031F1">
        <w:rPr>
          <w:rFonts w:ascii="Arial" w:hAnsi="Arial" w:cs="Arial"/>
        </w:rPr>
        <w:t xml:space="preserve">. </w:t>
      </w:r>
      <w:r w:rsidR="009C6D77">
        <w:rPr>
          <w:rFonts w:ascii="Arial" w:hAnsi="Arial" w:cs="Arial"/>
        </w:rPr>
        <w:t xml:space="preserve"> </w:t>
      </w:r>
      <w:r>
        <w:rPr>
          <w:rFonts w:ascii="Arial" w:hAnsi="Arial" w:cs="Arial"/>
        </w:rPr>
        <w:t>Th</w:t>
      </w:r>
      <w:r w:rsidR="00A558E4">
        <w:rPr>
          <w:rFonts w:ascii="Arial" w:hAnsi="Arial" w:cs="Arial"/>
        </w:rPr>
        <w:t xml:space="preserve">e </w:t>
      </w:r>
      <w:r w:rsidR="00605251">
        <w:rPr>
          <w:rFonts w:ascii="Arial" w:hAnsi="Arial" w:cs="Arial"/>
        </w:rPr>
        <w:t xml:space="preserve">Respondent </w:t>
      </w:r>
      <w:r w:rsidR="00E70169">
        <w:rPr>
          <w:rFonts w:ascii="Arial" w:hAnsi="Arial" w:cs="Arial"/>
        </w:rPr>
        <w:t>must</w:t>
      </w:r>
      <w:r w:rsidR="00605251">
        <w:rPr>
          <w:rFonts w:ascii="Arial" w:hAnsi="Arial" w:cs="Arial"/>
        </w:rPr>
        <w:t xml:space="preserve"> see to it that matters are dealt with expeditiously </w:t>
      </w:r>
      <w:r w:rsidR="005C4584">
        <w:rPr>
          <w:rFonts w:ascii="Arial" w:hAnsi="Arial" w:cs="Arial"/>
        </w:rPr>
        <w:t xml:space="preserve">so that the disputants may at long last know where matters stand for their organisation in terms of organisation structure and </w:t>
      </w:r>
      <w:r w:rsidR="00D270D8">
        <w:rPr>
          <w:rFonts w:ascii="Arial" w:hAnsi="Arial" w:cs="Arial"/>
        </w:rPr>
        <w:t xml:space="preserve">for them in terms of </w:t>
      </w:r>
      <w:r w:rsidR="005C4584">
        <w:rPr>
          <w:rFonts w:ascii="Arial" w:hAnsi="Arial" w:cs="Arial"/>
        </w:rPr>
        <w:t xml:space="preserve">promotional prospects.  </w:t>
      </w:r>
      <w:r w:rsidR="002B69EC">
        <w:rPr>
          <w:rFonts w:ascii="Arial" w:hAnsi="Arial" w:cs="Arial"/>
        </w:rPr>
        <w:t xml:space="preserve">This is a </w:t>
      </w:r>
      <w:r w:rsidR="002B69EC" w:rsidRPr="002B69EC">
        <w:rPr>
          <w:rFonts w:ascii="Arial" w:hAnsi="Arial" w:cs="Arial"/>
          <w:i/>
        </w:rPr>
        <w:t>sine qua non</w:t>
      </w:r>
      <w:r w:rsidR="002B69EC">
        <w:rPr>
          <w:rFonts w:ascii="Arial" w:hAnsi="Arial" w:cs="Arial"/>
        </w:rPr>
        <w:t xml:space="preserve"> for harmonious </w:t>
      </w:r>
      <w:r w:rsidR="005C4584">
        <w:rPr>
          <w:rFonts w:ascii="Arial" w:hAnsi="Arial" w:cs="Arial"/>
        </w:rPr>
        <w:t xml:space="preserve">employment relations </w:t>
      </w:r>
      <w:r w:rsidR="002B69EC">
        <w:rPr>
          <w:rFonts w:ascii="Arial" w:hAnsi="Arial" w:cs="Arial"/>
        </w:rPr>
        <w:t xml:space="preserve">and from which </w:t>
      </w:r>
      <w:r w:rsidR="00811B00">
        <w:rPr>
          <w:rFonts w:ascii="Arial" w:hAnsi="Arial" w:cs="Arial"/>
        </w:rPr>
        <w:t>all parties and</w:t>
      </w:r>
      <w:r w:rsidR="002B69EC">
        <w:rPr>
          <w:rFonts w:ascii="Arial" w:hAnsi="Arial" w:cs="Arial"/>
        </w:rPr>
        <w:t xml:space="preserve"> stakeholders of the Respondent </w:t>
      </w:r>
      <w:r w:rsidR="001428FD">
        <w:rPr>
          <w:rFonts w:ascii="Arial" w:hAnsi="Arial" w:cs="Arial"/>
        </w:rPr>
        <w:t>may</w:t>
      </w:r>
      <w:r w:rsidR="002B69EC">
        <w:rPr>
          <w:rFonts w:ascii="Arial" w:hAnsi="Arial" w:cs="Arial"/>
        </w:rPr>
        <w:t xml:space="preserve"> only benefit.  </w:t>
      </w:r>
      <w:r w:rsidR="005C4584">
        <w:rPr>
          <w:rFonts w:ascii="Arial" w:hAnsi="Arial" w:cs="Arial"/>
        </w:rPr>
        <w:t xml:space="preserve"> </w:t>
      </w:r>
      <w:r w:rsidR="00605251">
        <w:rPr>
          <w:rFonts w:ascii="Arial" w:hAnsi="Arial" w:cs="Arial"/>
        </w:rPr>
        <w:t xml:space="preserve">  </w:t>
      </w:r>
      <w:r>
        <w:rPr>
          <w:rFonts w:ascii="Arial" w:hAnsi="Arial" w:cs="Arial"/>
        </w:rPr>
        <w:t xml:space="preserve"> </w:t>
      </w:r>
      <w:r w:rsidR="009C6D77">
        <w:rPr>
          <w:rFonts w:ascii="Arial" w:hAnsi="Arial" w:cs="Arial"/>
        </w:rPr>
        <w:t xml:space="preserve"> </w:t>
      </w:r>
      <w:r w:rsidR="00B05AA0">
        <w:rPr>
          <w:rFonts w:ascii="Arial" w:hAnsi="Arial" w:cs="Arial"/>
        </w:rPr>
        <w:t xml:space="preserve"> </w:t>
      </w:r>
      <w:r w:rsidR="00B47F78">
        <w:rPr>
          <w:rFonts w:ascii="Arial" w:hAnsi="Arial" w:cs="Arial"/>
        </w:rPr>
        <w:t xml:space="preserve">    </w:t>
      </w:r>
      <w:r w:rsidR="008F0728">
        <w:rPr>
          <w:rFonts w:ascii="Arial" w:hAnsi="Arial" w:cs="Arial"/>
        </w:rPr>
        <w:tab/>
      </w:r>
    </w:p>
    <w:p w14:paraId="3407952F" w14:textId="77777777" w:rsidR="00543AFE" w:rsidRDefault="00543AFE" w:rsidP="002B69EC">
      <w:pPr>
        <w:pStyle w:val="NormalWeb"/>
        <w:spacing w:before="0" w:beforeAutospacing="0" w:after="315" w:afterAutospacing="0" w:line="315" w:lineRule="atLeast"/>
        <w:ind w:left="284" w:hanging="644"/>
        <w:jc w:val="both"/>
        <w:rPr>
          <w:rFonts w:ascii="Arial" w:hAnsi="Arial" w:cs="Arial"/>
        </w:rPr>
      </w:pPr>
      <w:r>
        <w:rPr>
          <w:rFonts w:ascii="Arial" w:hAnsi="Arial" w:cs="Arial"/>
        </w:rPr>
        <w:tab/>
        <w:t xml:space="preserve">The Tribunal will conclude by referring to the observation made by the Tribunal in the case of </w:t>
      </w:r>
      <w:r w:rsidRPr="00BE1AC4">
        <w:rPr>
          <w:rFonts w:ascii="Arial" w:hAnsi="Arial" w:cs="Arial"/>
          <w:b/>
        </w:rPr>
        <w:t xml:space="preserve">Mrs </w:t>
      </w:r>
      <w:proofErr w:type="spellStart"/>
      <w:r w:rsidRPr="00BE1AC4">
        <w:rPr>
          <w:rFonts w:ascii="Arial" w:hAnsi="Arial" w:cs="Arial"/>
          <w:b/>
        </w:rPr>
        <w:t>Bacor</w:t>
      </w:r>
      <w:proofErr w:type="spellEnd"/>
      <w:r>
        <w:rPr>
          <w:rFonts w:ascii="Arial" w:hAnsi="Arial" w:cs="Arial"/>
        </w:rPr>
        <w:t xml:space="preserve"> </w:t>
      </w:r>
      <w:r w:rsidR="00BE1AC4" w:rsidRPr="00BE1AC4">
        <w:rPr>
          <w:rFonts w:ascii="Arial" w:hAnsi="Arial" w:cs="Arial"/>
          <w:b/>
        </w:rPr>
        <w:t>(above)</w:t>
      </w:r>
      <w:r w:rsidR="00BE1AC4">
        <w:rPr>
          <w:rFonts w:ascii="Arial" w:hAnsi="Arial" w:cs="Arial"/>
        </w:rPr>
        <w:t xml:space="preserve"> </w:t>
      </w:r>
      <w:r>
        <w:rPr>
          <w:rFonts w:ascii="Arial" w:hAnsi="Arial" w:cs="Arial"/>
        </w:rPr>
        <w:t xml:space="preserve">in its award delivered </w:t>
      </w:r>
      <w:r w:rsidR="00BE1AC4" w:rsidRPr="00B031F1">
        <w:rPr>
          <w:rFonts w:ascii="Arial" w:hAnsi="Arial" w:cs="Arial"/>
          <w:b/>
          <w:u w:val="single"/>
        </w:rPr>
        <w:t>since</w:t>
      </w:r>
      <w:r w:rsidRPr="00B031F1">
        <w:rPr>
          <w:rFonts w:ascii="Arial" w:hAnsi="Arial" w:cs="Arial"/>
          <w:b/>
          <w:u w:val="single"/>
        </w:rPr>
        <w:t xml:space="preserve"> 26 October 2017</w:t>
      </w:r>
      <w:r w:rsidR="00B031F1">
        <w:rPr>
          <w:rFonts w:ascii="Arial" w:hAnsi="Arial" w:cs="Arial"/>
        </w:rPr>
        <w:t xml:space="preserve"> (underlining is ours)</w:t>
      </w:r>
      <w:r>
        <w:rPr>
          <w:rFonts w:ascii="Arial" w:hAnsi="Arial" w:cs="Arial"/>
        </w:rPr>
        <w:t>:</w:t>
      </w:r>
    </w:p>
    <w:p w14:paraId="21F2F2A9" w14:textId="77777777" w:rsidR="00543AFE" w:rsidRDefault="00543AFE" w:rsidP="002B69EC">
      <w:pPr>
        <w:pStyle w:val="NormalWeb"/>
        <w:spacing w:before="0" w:beforeAutospacing="0" w:after="315" w:afterAutospacing="0" w:line="315" w:lineRule="atLeast"/>
        <w:ind w:left="284" w:hanging="644"/>
        <w:jc w:val="both"/>
        <w:rPr>
          <w:rFonts w:ascii="Arial" w:hAnsi="Arial" w:cs="Arial"/>
        </w:rPr>
      </w:pPr>
      <w:r>
        <w:rPr>
          <w:rFonts w:ascii="Arial" w:hAnsi="Arial" w:cs="Arial"/>
        </w:rPr>
        <w:tab/>
      </w:r>
      <w:r w:rsidRPr="00215955">
        <w:rPr>
          <w:rFonts w:ascii="Arial" w:hAnsi="Arial" w:cs="Arial"/>
          <w:i/>
        </w:rPr>
        <w:t>“</w:t>
      </w:r>
      <w:r w:rsidR="0095142F" w:rsidRPr="0095142F">
        <w:rPr>
          <w:rFonts w:ascii="Arial" w:hAnsi="Arial" w:cs="Arial"/>
          <w:i/>
        </w:rPr>
        <w:t>The Tribunal would, however, wish to remind the parties to assure themselves that the aim of reaching a new organisation structure at the MITD, which is since long being awaited, is attained without any undue delay in the interest of the persons immediately concerned and in a spirit of good and harmonious employment relations.</w:t>
      </w:r>
      <w:r w:rsidR="00215955">
        <w:rPr>
          <w:rFonts w:ascii="Arial" w:hAnsi="Arial" w:cs="Arial"/>
          <w:i/>
        </w:rPr>
        <w:t>”</w:t>
      </w:r>
      <w:r w:rsidR="0095142F">
        <w:t xml:space="preserve"> </w:t>
      </w:r>
      <w:r w:rsidR="002B69EC">
        <w:rPr>
          <w:rFonts w:ascii="Arial" w:hAnsi="Arial" w:cs="Arial"/>
        </w:rPr>
        <w:t xml:space="preserve">   </w:t>
      </w:r>
      <w:r w:rsidR="002B69EC">
        <w:rPr>
          <w:rFonts w:ascii="Arial" w:hAnsi="Arial" w:cs="Arial"/>
        </w:rPr>
        <w:tab/>
      </w:r>
    </w:p>
    <w:p w14:paraId="0053F4EC" w14:textId="20675803" w:rsidR="006D6E98" w:rsidRPr="006D6E98" w:rsidRDefault="002B69EC" w:rsidP="00543AFE">
      <w:pPr>
        <w:pStyle w:val="NormalWeb"/>
        <w:spacing w:before="0" w:beforeAutospacing="0" w:after="315" w:afterAutospacing="0" w:line="315" w:lineRule="atLeast"/>
        <w:ind w:left="284"/>
        <w:jc w:val="both"/>
        <w:rPr>
          <w:rFonts w:ascii="Arial" w:hAnsi="Arial" w:cs="Arial"/>
        </w:rPr>
      </w:pPr>
      <w:r>
        <w:rPr>
          <w:rFonts w:ascii="Arial" w:hAnsi="Arial" w:cs="Arial"/>
        </w:rPr>
        <w:t xml:space="preserve">For all the reasons given above, the Tribunal finds that the disputants have failed to show on a balance of probabilities that the </w:t>
      </w:r>
      <w:r w:rsidR="001428FD">
        <w:rPr>
          <w:rFonts w:ascii="Arial" w:hAnsi="Arial" w:cs="Arial"/>
        </w:rPr>
        <w:t>T</w:t>
      </w:r>
      <w:r>
        <w:rPr>
          <w:rFonts w:ascii="Arial" w:hAnsi="Arial" w:cs="Arial"/>
        </w:rPr>
        <w:t>ribunal should award that they should be appointed by the Respondent as Coordinator</w:t>
      </w:r>
      <w:r w:rsidR="00215955">
        <w:rPr>
          <w:rFonts w:ascii="Arial" w:hAnsi="Arial" w:cs="Arial"/>
        </w:rPr>
        <w:t>s</w:t>
      </w:r>
      <w:r>
        <w:rPr>
          <w:rFonts w:ascii="Arial" w:hAnsi="Arial" w:cs="Arial"/>
        </w:rPr>
        <w:t xml:space="preserve"> since the post</w:t>
      </w:r>
      <w:r w:rsidR="00215955">
        <w:rPr>
          <w:rFonts w:ascii="Arial" w:hAnsi="Arial" w:cs="Arial"/>
        </w:rPr>
        <w:t>s</w:t>
      </w:r>
      <w:r>
        <w:rPr>
          <w:rFonts w:ascii="Arial" w:hAnsi="Arial" w:cs="Arial"/>
        </w:rPr>
        <w:t xml:space="preserve"> </w:t>
      </w:r>
      <w:r w:rsidR="00215955">
        <w:rPr>
          <w:rFonts w:ascii="Arial" w:hAnsi="Arial" w:cs="Arial"/>
        </w:rPr>
        <w:t>are</w:t>
      </w:r>
      <w:r>
        <w:rPr>
          <w:rFonts w:ascii="Arial" w:hAnsi="Arial" w:cs="Arial"/>
        </w:rPr>
        <w:t xml:space="preserve"> vacant.  The disputes are thus set aside.    </w:t>
      </w:r>
      <w:r>
        <w:rPr>
          <w:rFonts w:ascii="Arial" w:hAnsi="Arial" w:cs="Arial"/>
        </w:rPr>
        <w:tab/>
      </w:r>
    </w:p>
    <w:p w14:paraId="7046B89F" w14:textId="77777777" w:rsidR="000A7B27" w:rsidRDefault="000A7B27" w:rsidP="00AB3DEA">
      <w:pPr>
        <w:jc w:val="both"/>
        <w:rPr>
          <w:rFonts w:ascii="Arial" w:hAnsi="Arial" w:cs="Arial"/>
          <w:b/>
          <w:sz w:val="24"/>
          <w:szCs w:val="24"/>
        </w:rPr>
      </w:pPr>
    </w:p>
    <w:p w14:paraId="3702A140" w14:textId="5310AC25" w:rsidR="000A7B27" w:rsidRDefault="008C2AC7" w:rsidP="000A7B27">
      <w:pPr>
        <w:jc w:val="both"/>
        <w:rPr>
          <w:rFonts w:ascii="Arial" w:hAnsi="Arial" w:cs="Arial"/>
          <w:b/>
          <w:sz w:val="24"/>
          <w:szCs w:val="24"/>
        </w:rPr>
      </w:pPr>
      <w:r>
        <w:rPr>
          <w:rFonts w:ascii="Arial" w:hAnsi="Arial" w:cs="Arial"/>
          <w:b/>
          <w:sz w:val="24"/>
          <w:szCs w:val="24"/>
        </w:rPr>
        <w:t xml:space="preserve">SD </w:t>
      </w:r>
      <w:proofErr w:type="spellStart"/>
      <w:r w:rsidR="00AB3DEA" w:rsidRPr="005B080A">
        <w:rPr>
          <w:rFonts w:ascii="Arial" w:hAnsi="Arial" w:cs="Arial"/>
          <w:b/>
          <w:sz w:val="24"/>
          <w:szCs w:val="24"/>
        </w:rPr>
        <w:t>Indiren</w:t>
      </w:r>
      <w:proofErr w:type="spellEnd"/>
      <w:r w:rsidR="00AB3DEA" w:rsidRPr="005B080A">
        <w:rPr>
          <w:rFonts w:ascii="Arial" w:hAnsi="Arial" w:cs="Arial"/>
          <w:b/>
          <w:sz w:val="24"/>
          <w:szCs w:val="24"/>
        </w:rPr>
        <w:t xml:space="preserve"> </w:t>
      </w:r>
      <w:proofErr w:type="spellStart"/>
      <w:r w:rsidR="00AB3DEA" w:rsidRPr="005B080A">
        <w:rPr>
          <w:rFonts w:ascii="Arial" w:hAnsi="Arial" w:cs="Arial"/>
          <w:b/>
          <w:sz w:val="24"/>
          <w:szCs w:val="24"/>
        </w:rPr>
        <w:t>Sivaramen</w:t>
      </w:r>
      <w:proofErr w:type="spellEnd"/>
      <w:r w:rsidR="00AB3DEA" w:rsidRPr="005B080A">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5B32AD">
        <w:rPr>
          <w:rFonts w:ascii="Arial" w:hAnsi="Arial" w:cs="Arial"/>
          <w:b/>
          <w:sz w:val="24"/>
          <w:szCs w:val="24"/>
        </w:rPr>
        <w:tab/>
      </w:r>
      <w:r w:rsidR="005B32AD">
        <w:rPr>
          <w:rFonts w:ascii="Arial" w:hAnsi="Arial" w:cs="Arial"/>
          <w:b/>
          <w:sz w:val="24"/>
          <w:szCs w:val="24"/>
        </w:rPr>
        <w:tab/>
      </w:r>
      <w:r w:rsidR="005B32AD">
        <w:rPr>
          <w:rFonts w:ascii="Arial" w:hAnsi="Arial" w:cs="Arial"/>
          <w:b/>
          <w:sz w:val="24"/>
          <w:szCs w:val="24"/>
        </w:rPr>
        <w:tab/>
      </w:r>
      <w:r w:rsidR="00215955">
        <w:rPr>
          <w:rFonts w:ascii="Arial" w:hAnsi="Arial" w:cs="Arial"/>
          <w:b/>
          <w:sz w:val="24"/>
          <w:szCs w:val="24"/>
        </w:rPr>
        <w:tab/>
      </w:r>
      <w:r>
        <w:rPr>
          <w:rFonts w:ascii="Arial" w:hAnsi="Arial" w:cs="Arial"/>
          <w:b/>
          <w:sz w:val="24"/>
          <w:szCs w:val="24"/>
        </w:rPr>
        <w:t xml:space="preserve">SD </w:t>
      </w:r>
      <w:r w:rsidR="000A7B27">
        <w:rPr>
          <w:rFonts w:ascii="Arial" w:hAnsi="Arial" w:cs="Arial"/>
          <w:b/>
          <w:sz w:val="24"/>
          <w:szCs w:val="24"/>
        </w:rPr>
        <w:t xml:space="preserve">Francis </w:t>
      </w:r>
      <w:proofErr w:type="spellStart"/>
      <w:r w:rsidR="000A7B27">
        <w:rPr>
          <w:rFonts w:ascii="Arial" w:hAnsi="Arial" w:cs="Arial"/>
          <w:b/>
          <w:sz w:val="24"/>
          <w:szCs w:val="24"/>
        </w:rPr>
        <w:t>Supparayen</w:t>
      </w:r>
      <w:proofErr w:type="spellEnd"/>
    </w:p>
    <w:p w14:paraId="21CBC336" w14:textId="77777777" w:rsidR="000A7B27" w:rsidRDefault="00F97BAB" w:rsidP="000A7B27">
      <w:pPr>
        <w:jc w:val="both"/>
        <w:rPr>
          <w:rFonts w:ascii="Arial" w:hAnsi="Arial" w:cs="Arial"/>
          <w:b/>
          <w:sz w:val="24"/>
          <w:szCs w:val="24"/>
        </w:rPr>
      </w:pPr>
      <w:r>
        <w:rPr>
          <w:rFonts w:ascii="Arial" w:hAnsi="Arial" w:cs="Arial"/>
          <w:b/>
          <w:sz w:val="24"/>
          <w:szCs w:val="24"/>
        </w:rPr>
        <w:lastRenderedPageBreak/>
        <w:t xml:space="preserve">Acting </w:t>
      </w:r>
      <w:r w:rsidR="00AB3DEA" w:rsidRPr="005B080A">
        <w:rPr>
          <w:rFonts w:ascii="Arial" w:hAnsi="Arial" w:cs="Arial"/>
          <w:b/>
          <w:sz w:val="24"/>
          <w:szCs w:val="24"/>
        </w:rPr>
        <w:t>President</w:t>
      </w:r>
      <w:r w:rsidR="00687882">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r w:rsidR="000A7B27" w:rsidRPr="005B080A">
        <w:rPr>
          <w:rFonts w:ascii="Arial" w:hAnsi="Arial" w:cs="Arial"/>
          <w:b/>
          <w:sz w:val="24"/>
          <w:szCs w:val="24"/>
        </w:rPr>
        <w:t>Member</w:t>
      </w:r>
    </w:p>
    <w:p w14:paraId="394129FB" w14:textId="2F065A87" w:rsidR="00C00864" w:rsidRDefault="000A7B27" w:rsidP="00AB3DEA">
      <w:pPr>
        <w:jc w:val="both"/>
        <w:rPr>
          <w:rFonts w:ascii="Arial" w:hAnsi="Arial" w:cs="Arial"/>
          <w:b/>
          <w:sz w:val="24"/>
          <w:szCs w:val="24"/>
        </w:rPr>
      </w:pPr>
      <w:r>
        <w:rPr>
          <w:rFonts w:ascii="Arial" w:hAnsi="Arial" w:cs="Arial"/>
          <w:b/>
          <w:sz w:val="24"/>
          <w:szCs w:val="24"/>
        </w:rPr>
        <w:tab/>
      </w:r>
    </w:p>
    <w:p w14:paraId="21051DA5" w14:textId="77777777" w:rsidR="00C00864" w:rsidRDefault="00C00864" w:rsidP="00AB3DEA">
      <w:pPr>
        <w:jc w:val="both"/>
        <w:rPr>
          <w:rFonts w:ascii="Arial" w:hAnsi="Arial" w:cs="Arial"/>
          <w:b/>
          <w:sz w:val="24"/>
          <w:szCs w:val="24"/>
        </w:rPr>
      </w:pPr>
    </w:p>
    <w:p w14:paraId="20E93F69" w14:textId="096F5AF5" w:rsidR="00AB3DEA" w:rsidRPr="005B080A" w:rsidRDefault="008C2AC7" w:rsidP="00AB3DEA">
      <w:pPr>
        <w:jc w:val="both"/>
        <w:rPr>
          <w:rFonts w:ascii="Arial" w:hAnsi="Arial" w:cs="Arial"/>
          <w:b/>
          <w:sz w:val="24"/>
          <w:szCs w:val="24"/>
        </w:rPr>
      </w:pPr>
      <w:r>
        <w:rPr>
          <w:rFonts w:ascii="Arial" w:hAnsi="Arial" w:cs="Arial"/>
          <w:b/>
          <w:sz w:val="24"/>
          <w:szCs w:val="24"/>
        </w:rPr>
        <w:t xml:space="preserve">SD </w:t>
      </w:r>
      <w:r w:rsidR="00805B98">
        <w:rPr>
          <w:rFonts w:ascii="Arial" w:hAnsi="Arial" w:cs="Arial"/>
          <w:b/>
          <w:sz w:val="24"/>
          <w:szCs w:val="24"/>
        </w:rPr>
        <w:t xml:space="preserve">Rabin </w:t>
      </w:r>
      <w:proofErr w:type="spellStart"/>
      <w:r w:rsidR="00805B98">
        <w:rPr>
          <w:rFonts w:ascii="Arial" w:hAnsi="Arial" w:cs="Arial"/>
          <w:b/>
          <w:sz w:val="24"/>
          <w:szCs w:val="24"/>
        </w:rPr>
        <w:t>Gungoo</w:t>
      </w:r>
      <w:proofErr w:type="spellEnd"/>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0A7B27">
        <w:rPr>
          <w:rFonts w:ascii="Arial" w:hAnsi="Arial" w:cs="Arial"/>
          <w:b/>
          <w:sz w:val="24"/>
          <w:szCs w:val="24"/>
        </w:rPr>
        <w:tab/>
      </w:r>
      <w:r>
        <w:rPr>
          <w:rFonts w:ascii="Arial" w:hAnsi="Arial" w:cs="Arial"/>
          <w:b/>
          <w:sz w:val="24"/>
          <w:szCs w:val="24"/>
        </w:rPr>
        <w:t xml:space="preserve">SD </w:t>
      </w:r>
      <w:bookmarkStart w:id="0" w:name="_GoBack"/>
      <w:bookmarkEnd w:id="0"/>
      <w:proofErr w:type="spellStart"/>
      <w:r w:rsidR="000A7B27">
        <w:rPr>
          <w:rFonts w:ascii="Arial" w:hAnsi="Arial" w:cs="Arial"/>
          <w:b/>
          <w:sz w:val="24"/>
          <w:szCs w:val="24"/>
        </w:rPr>
        <w:t>Arassen</w:t>
      </w:r>
      <w:proofErr w:type="spellEnd"/>
      <w:r w:rsidR="000A7B27">
        <w:rPr>
          <w:rFonts w:ascii="Arial" w:hAnsi="Arial" w:cs="Arial"/>
          <w:b/>
          <w:sz w:val="24"/>
          <w:szCs w:val="24"/>
        </w:rPr>
        <w:t xml:space="preserve"> </w:t>
      </w:r>
      <w:proofErr w:type="spellStart"/>
      <w:r w:rsidR="000A7B27">
        <w:rPr>
          <w:rFonts w:ascii="Arial" w:hAnsi="Arial" w:cs="Arial"/>
          <w:b/>
          <w:sz w:val="24"/>
          <w:szCs w:val="24"/>
        </w:rPr>
        <w:t>Kallee</w:t>
      </w:r>
      <w:proofErr w:type="spellEnd"/>
      <w:r w:rsidR="00AB3DEA" w:rsidRPr="005B080A">
        <w:rPr>
          <w:rFonts w:ascii="Arial" w:hAnsi="Arial" w:cs="Arial"/>
          <w:b/>
          <w:sz w:val="24"/>
          <w:szCs w:val="24"/>
        </w:rPr>
        <w:tab/>
      </w:r>
    </w:p>
    <w:p w14:paraId="55D95913" w14:textId="691C7747" w:rsidR="00C00864" w:rsidRDefault="00AB3DEA" w:rsidP="00AB3DEA">
      <w:pPr>
        <w:jc w:val="both"/>
        <w:rPr>
          <w:rFonts w:ascii="Arial" w:hAnsi="Arial" w:cs="Arial"/>
          <w:b/>
          <w:sz w:val="24"/>
          <w:szCs w:val="24"/>
        </w:rPr>
      </w:pPr>
      <w:r w:rsidRPr="005B080A">
        <w:rPr>
          <w:rFonts w:ascii="Arial" w:hAnsi="Arial" w:cs="Arial"/>
          <w:b/>
          <w:sz w:val="24"/>
          <w:szCs w:val="24"/>
        </w:rPr>
        <w:t>Member</w:t>
      </w:r>
      <w:r w:rsidR="00687882">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r w:rsidR="000A7B27">
        <w:rPr>
          <w:rFonts w:ascii="Arial" w:hAnsi="Arial" w:cs="Arial"/>
          <w:b/>
          <w:sz w:val="24"/>
          <w:szCs w:val="24"/>
        </w:rPr>
        <w:tab/>
      </w:r>
      <w:proofErr w:type="spellStart"/>
      <w:r w:rsidR="000A7B27" w:rsidRPr="005B080A">
        <w:rPr>
          <w:rFonts w:ascii="Arial" w:hAnsi="Arial" w:cs="Arial"/>
          <w:b/>
          <w:sz w:val="24"/>
          <w:szCs w:val="24"/>
        </w:rPr>
        <w:t>Member</w:t>
      </w:r>
      <w:proofErr w:type="spellEnd"/>
    </w:p>
    <w:p w14:paraId="0A45CE75" w14:textId="77777777" w:rsidR="00C00864" w:rsidRDefault="00C00864" w:rsidP="00AB3DEA">
      <w:pPr>
        <w:jc w:val="both"/>
        <w:rPr>
          <w:rFonts w:ascii="Arial" w:hAnsi="Arial" w:cs="Arial"/>
          <w:b/>
          <w:sz w:val="24"/>
          <w:szCs w:val="24"/>
        </w:rPr>
      </w:pPr>
    </w:p>
    <w:p w14:paraId="176240AD" w14:textId="3018752C" w:rsidR="00981D7D" w:rsidRDefault="000A7B27" w:rsidP="00657F75">
      <w:pPr>
        <w:jc w:val="both"/>
        <w:rPr>
          <w:rFonts w:ascii="Arial" w:hAnsi="Arial" w:cs="Arial"/>
          <w:b/>
          <w:sz w:val="24"/>
          <w:szCs w:val="24"/>
        </w:rPr>
      </w:pPr>
      <w:r>
        <w:rPr>
          <w:rFonts w:ascii="Arial" w:hAnsi="Arial" w:cs="Arial"/>
          <w:b/>
          <w:sz w:val="24"/>
          <w:szCs w:val="24"/>
        </w:rPr>
        <w:t>1</w:t>
      </w:r>
      <w:r w:rsidR="00811B00">
        <w:rPr>
          <w:rFonts w:ascii="Arial" w:hAnsi="Arial" w:cs="Arial"/>
          <w:b/>
          <w:sz w:val="24"/>
          <w:szCs w:val="24"/>
        </w:rPr>
        <w:t>2</w:t>
      </w:r>
      <w:r w:rsidR="00543AFE">
        <w:rPr>
          <w:rFonts w:ascii="Arial" w:hAnsi="Arial" w:cs="Arial"/>
          <w:b/>
          <w:sz w:val="24"/>
          <w:szCs w:val="24"/>
        </w:rPr>
        <w:t xml:space="preserve"> </w:t>
      </w:r>
      <w:r w:rsidR="007F0086">
        <w:rPr>
          <w:rFonts w:ascii="Arial" w:hAnsi="Arial" w:cs="Arial"/>
          <w:b/>
          <w:sz w:val="24"/>
          <w:szCs w:val="24"/>
        </w:rPr>
        <w:t>January</w:t>
      </w:r>
      <w:r w:rsidR="007B7C58">
        <w:rPr>
          <w:rFonts w:ascii="Arial" w:hAnsi="Arial" w:cs="Arial"/>
          <w:b/>
          <w:sz w:val="24"/>
          <w:szCs w:val="24"/>
        </w:rPr>
        <w:t xml:space="preserve"> </w:t>
      </w:r>
      <w:r w:rsidR="006B0DE8" w:rsidRPr="005B080A">
        <w:rPr>
          <w:rFonts w:ascii="Arial" w:hAnsi="Arial" w:cs="Arial"/>
          <w:b/>
          <w:sz w:val="24"/>
          <w:szCs w:val="24"/>
        </w:rPr>
        <w:t>20</w:t>
      </w:r>
      <w:r w:rsidR="001C6CE0">
        <w:rPr>
          <w:rFonts w:ascii="Arial" w:hAnsi="Arial" w:cs="Arial"/>
          <w:b/>
          <w:sz w:val="24"/>
          <w:szCs w:val="24"/>
        </w:rPr>
        <w:t>2</w:t>
      </w:r>
      <w:r w:rsidR="007F0086">
        <w:rPr>
          <w:rFonts w:ascii="Arial" w:hAnsi="Arial" w:cs="Arial"/>
          <w:b/>
          <w:sz w:val="24"/>
          <w:szCs w:val="24"/>
        </w:rPr>
        <w:t>2</w:t>
      </w:r>
    </w:p>
    <w:sectPr w:rsidR="00981D7D"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2ABD4" w14:textId="77777777" w:rsidR="007C4174" w:rsidRDefault="007C4174" w:rsidP="00936BD4">
      <w:pPr>
        <w:spacing w:after="0" w:line="240" w:lineRule="auto"/>
      </w:pPr>
      <w:r>
        <w:separator/>
      </w:r>
    </w:p>
  </w:endnote>
  <w:endnote w:type="continuationSeparator" w:id="0">
    <w:p w14:paraId="3166C4A9" w14:textId="77777777" w:rsidR="007C4174" w:rsidRDefault="007C4174"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3783E163" w14:textId="77777777" w:rsidR="007A4FFC" w:rsidRDefault="007A4FFC">
        <w:pPr>
          <w:pStyle w:val="Footer"/>
          <w:jc w:val="center"/>
        </w:pPr>
        <w:r>
          <w:fldChar w:fldCharType="begin"/>
        </w:r>
        <w:r>
          <w:instrText xml:space="preserve"> PAGE   \* MERGEFORMAT </w:instrText>
        </w:r>
        <w:r>
          <w:fldChar w:fldCharType="separate"/>
        </w:r>
        <w:r w:rsidR="008C2AC7">
          <w:rPr>
            <w:noProof/>
          </w:rPr>
          <w:t>17</w:t>
        </w:r>
        <w:r>
          <w:rPr>
            <w:noProof/>
          </w:rPr>
          <w:fldChar w:fldCharType="end"/>
        </w:r>
      </w:p>
    </w:sdtContent>
  </w:sdt>
  <w:p w14:paraId="596A7605" w14:textId="77777777"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08E01" w14:textId="77777777" w:rsidR="007C4174" w:rsidRDefault="007C4174" w:rsidP="00936BD4">
      <w:pPr>
        <w:spacing w:after="0" w:line="240" w:lineRule="auto"/>
      </w:pPr>
      <w:r>
        <w:separator/>
      </w:r>
    </w:p>
  </w:footnote>
  <w:footnote w:type="continuationSeparator" w:id="0">
    <w:p w14:paraId="32D459CA" w14:textId="77777777" w:rsidR="007C4174" w:rsidRDefault="007C4174"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77700"/>
    <w:multiLevelType w:val="multilevel"/>
    <w:tmpl w:val="8B04B46C"/>
    <w:lvl w:ilvl="0">
      <w:start w:val="37"/>
      <w:numFmt w:val="decimal"/>
      <w:lvlText w:val="%1"/>
      <w:lvlJc w:val="left"/>
      <w:pPr>
        <w:ind w:left="420" w:hanging="420"/>
      </w:pPr>
      <w:rPr>
        <w:rFonts w:ascii="Times New Roman" w:hAnsi="Times New Roman" w:cs="Times New Roman" w:hint="default"/>
      </w:rPr>
    </w:lvl>
    <w:lvl w:ilvl="1">
      <w:start w:val="4"/>
      <w:numFmt w:val="decimal"/>
      <w:lvlText w:val="%1.%2"/>
      <w:lvlJc w:val="left"/>
      <w:pPr>
        <w:ind w:left="1271" w:hanging="420"/>
      </w:pPr>
      <w:rPr>
        <w:rFonts w:ascii="Arial" w:hAnsi="Arial" w:cs="Arial" w:hint="default"/>
      </w:rPr>
    </w:lvl>
    <w:lvl w:ilvl="2">
      <w:start w:val="1"/>
      <w:numFmt w:val="decimal"/>
      <w:lvlText w:val="%1.%2.%3"/>
      <w:lvlJc w:val="left"/>
      <w:pPr>
        <w:ind w:left="2008" w:hanging="720"/>
      </w:pPr>
      <w:rPr>
        <w:rFonts w:ascii="Times New Roman" w:hAnsi="Times New Roman" w:cs="Times New Roman" w:hint="default"/>
      </w:rPr>
    </w:lvl>
    <w:lvl w:ilvl="3">
      <w:start w:val="1"/>
      <w:numFmt w:val="decimal"/>
      <w:lvlText w:val="%1.%2.%3.%4"/>
      <w:lvlJc w:val="left"/>
      <w:pPr>
        <w:ind w:left="3012" w:hanging="1080"/>
      </w:pPr>
      <w:rPr>
        <w:rFonts w:ascii="Times New Roman" w:hAnsi="Times New Roman" w:cs="Times New Roman" w:hint="default"/>
      </w:rPr>
    </w:lvl>
    <w:lvl w:ilvl="4">
      <w:start w:val="1"/>
      <w:numFmt w:val="decimal"/>
      <w:lvlText w:val="%1.%2.%3.%4.%5"/>
      <w:lvlJc w:val="left"/>
      <w:pPr>
        <w:ind w:left="3656" w:hanging="1080"/>
      </w:pPr>
      <w:rPr>
        <w:rFonts w:ascii="Times New Roman" w:hAnsi="Times New Roman" w:cs="Times New Roman" w:hint="default"/>
      </w:rPr>
    </w:lvl>
    <w:lvl w:ilvl="5">
      <w:start w:val="1"/>
      <w:numFmt w:val="decimal"/>
      <w:lvlText w:val="%1.%2.%3.%4.%5.%6"/>
      <w:lvlJc w:val="left"/>
      <w:pPr>
        <w:ind w:left="4660" w:hanging="1440"/>
      </w:pPr>
      <w:rPr>
        <w:rFonts w:ascii="Times New Roman" w:hAnsi="Times New Roman" w:cs="Times New Roman" w:hint="default"/>
      </w:rPr>
    </w:lvl>
    <w:lvl w:ilvl="6">
      <w:start w:val="1"/>
      <w:numFmt w:val="decimal"/>
      <w:lvlText w:val="%1.%2.%3.%4.%5.%6.%7"/>
      <w:lvlJc w:val="left"/>
      <w:pPr>
        <w:ind w:left="5304" w:hanging="1440"/>
      </w:pPr>
      <w:rPr>
        <w:rFonts w:ascii="Times New Roman" w:hAnsi="Times New Roman" w:cs="Times New Roman" w:hint="default"/>
      </w:rPr>
    </w:lvl>
    <w:lvl w:ilvl="7">
      <w:start w:val="1"/>
      <w:numFmt w:val="decimal"/>
      <w:lvlText w:val="%1.%2.%3.%4.%5.%6.%7.%8"/>
      <w:lvlJc w:val="left"/>
      <w:pPr>
        <w:ind w:left="6308" w:hanging="1800"/>
      </w:pPr>
      <w:rPr>
        <w:rFonts w:ascii="Times New Roman" w:hAnsi="Times New Roman" w:cs="Times New Roman" w:hint="default"/>
      </w:rPr>
    </w:lvl>
    <w:lvl w:ilvl="8">
      <w:start w:val="1"/>
      <w:numFmt w:val="decimal"/>
      <w:lvlText w:val="%1.%2.%3.%4.%5.%6.%7.%8.%9"/>
      <w:lvlJc w:val="left"/>
      <w:pPr>
        <w:ind w:left="6952" w:hanging="1800"/>
      </w:pPr>
      <w:rPr>
        <w:rFonts w:ascii="Times New Roman" w:hAnsi="Times New Roman" w:cs="Times New Roman" w:hint="default"/>
      </w:rPr>
    </w:lvl>
  </w:abstractNum>
  <w:abstractNum w:abstractNumId="3">
    <w:nsid w:val="1A1A0647"/>
    <w:multiLevelType w:val="hybridMultilevel"/>
    <w:tmpl w:val="2C980858"/>
    <w:lvl w:ilvl="0" w:tplc="3C5E4F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933849"/>
    <w:multiLevelType w:val="multilevel"/>
    <w:tmpl w:val="FE6056DC"/>
    <w:lvl w:ilvl="0">
      <w:start w:val="44"/>
      <w:numFmt w:val="decimal"/>
      <w:lvlText w:val="%1"/>
      <w:lvlJc w:val="left"/>
      <w:pPr>
        <w:ind w:left="540" w:hanging="540"/>
      </w:pPr>
      <w:rPr>
        <w:rFonts w:ascii="Times New Roman" w:hAnsi="Times New Roman" w:cs="Times New Roman" w:hint="default"/>
      </w:rPr>
    </w:lvl>
    <w:lvl w:ilvl="1">
      <w:start w:val="13"/>
      <w:numFmt w:val="decimal"/>
      <w:lvlText w:val="%1.%2"/>
      <w:lvlJc w:val="left"/>
      <w:pPr>
        <w:ind w:left="1184" w:hanging="540"/>
      </w:pPr>
      <w:rPr>
        <w:rFonts w:ascii="Arial" w:hAnsi="Arial" w:cs="Arial" w:hint="default"/>
        <w:i/>
      </w:rPr>
    </w:lvl>
    <w:lvl w:ilvl="2">
      <w:start w:val="1"/>
      <w:numFmt w:val="decimal"/>
      <w:lvlText w:val="%1.%2.%3"/>
      <w:lvlJc w:val="left"/>
      <w:pPr>
        <w:ind w:left="2008" w:hanging="720"/>
      </w:pPr>
      <w:rPr>
        <w:rFonts w:ascii="Times New Roman" w:hAnsi="Times New Roman" w:cs="Times New Roman" w:hint="default"/>
      </w:rPr>
    </w:lvl>
    <w:lvl w:ilvl="3">
      <w:start w:val="1"/>
      <w:numFmt w:val="decimal"/>
      <w:lvlText w:val="%1.%2.%3.%4"/>
      <w:lvlJc w:val="left"/>
      <w:pPr>
        <w:ind w:left="3012" w:hanging="1080"/>
      </w:pPr>
      <w:rPr>
        <w:rFonts w:ascii="Times New Roman" w:hAnsi="Times New Roman" w:cs="Times New Roman" w:hint="default"/>
      </w:rPr>
    </w:lvl>
    <w:lvl w:ilvl="4">
      <w:start w:val="1"/>
      <w:numFmt w:val="decimal"/>
      <w:lvlText w:val="%1.%2.%3.%4.%5"/>
      <w:lvlJc w:val="left"/>
      <w:pPr>
        <w:ind w:left="3656" w:hanging="1080"/>
      </w:pPr>
      <w:rPr>
        <w:rFonts w:ascii="Times New Roman" w:hAnsi="Times New Roman" w:cs="Times New Roman" w:hint="default"/>
      </w:rPr>
    </w:lvl>
    <w:lvl w:ilvl="5">
      <w:start w:val="1"/>
      <w:numFmt w:val="decimal"/>
      <w:lvlText w:val="%1.%2.%3.%4.%5.%6"/>
      <w:lvlJc w:val="left"/>
      <w:pPr>
        <w:ind w:left="4660" w:hanging="1440"/>
      </w:pPr>
      <w:rPr>
        <w:rFonts w:ascii="Times New Roman" w:hAnsi="Times New Roman" w:cs="Times New Roman" w:hint="default"/>
      </w:rPr>
    </w:lvl>
    <w:lvl w:ilvl="6">
      <w:start w:val="1"/>
      <w:numFmt w:val="decimal"/>
      <w:lvlText w:val="%1.%2.%3.%4.%5.%6.%7"/>
      <w:lvlJc w:val="left"/>
      <w:pPr>
        <w:ind w:left="5304" w:hanging="1440"/>
      </w:pPr>
      <w:rPr>
        <w:rFonts w:ascii="Times New Roman" w:hAnsi="Times New Roman" w:cs="Times New Roman" w:hint="default"/>
      </w:rPr>
    </w:lvl>
    <w:lvl w:ilvl="7">
      <w:start w:val="1"/>
      <w:numFmt w:val="decimal"/>
      <w:lvlText w:val="%1.%2.%3.%4.%5.%6.%7.%8"/>
      <w:lvlJc w:val="left"/>
      <w:pPr>
        <w:ind w:left="6308" w:hanging="1800"/>
      </w:pPr>
      <w:rPr>
        <w:rFonts w:ascii="Times New Roman" w:hAnsi="Times New Roman" w:cs="Times New Roman" w:hint="default"/>
      </w:rPr>
    </w:lvl>
    <w:lvl w:ilvl="8">
      <w:start w:val="1"/>
      <w:numFmt w:val="decimal"/>
      <w:lvlText w:val="%1.%2.%3.%4.%5.%6.%7.%8.%9"/>
      <w:lvlJc w:val="left"/>
      <w:pPr>
        <w:ind w:left="6952" w:hanging="1800"/>
      </w:pPr>
      <w:rPr>
        <w:rFonts w:ascii="Times New Roman" w:hAnsi="Times New Roman" w:cs="Times New Roman" w:hint="default"/>
      </w:rPr>
    </w:lvl>
  </w:abstractNum>
  <w:abstractNum w:abstractNumId="7">
    <w:nsid w:val="50A21B39"/>
    <w:multiLevelType w:val="hybridMultilevel"/>
    <w:tmpl w:val="2AB0FE9A"/>
    <w:lvl w:ilvl="0" w:tplc="F0987D24">
      <w:start w:val="3"/>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0"/>
  </w:num>
  <w:num w:numId="5">
    <w:abstractNumId w:val="4"/>
  </w:num>
  <w:num w:numId="6">
    <w:abstractNumId w:val="5"/>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3855"/>
    <w:rsid w:val="00004163"/>
    <w:rsid w:val="00004F55"/>
    <w:rsid w:val="00005E67"/>
    <w:rsid w:val="00011677"/>
    <w:rsid w:val="00012C81"/>
    <w:rsid w:val="00012CAF"/>
    <w:rsid w:val="000158C3"/>
    <w:rsid w:val="0002005A"/>
    <w:rsid w:val="000208E2"/>
    <w:rsid w:val="000250D3"/>
    <w:rsid w:val="00025210"/>
    <w:rsid w:val="00026AA1"/>
    <w:rsid w:val="00026E65"/>
    <w:rsid w:val="00027752"/>
    <w:rsid w:val="000318F3"/>
    <w:rsid w:val="00032922"/>
    <w:rsid w:val="00032D6D"/>
    <w:rsid w:val="00035B3D"/>
    <w:rsid w:val="00036D11"/>
    <w:rsid w:val="000408F8"/>
    <w:rsid w:val="00040A89"/>
    <w:rsid w:val="00043A8E"/>
    <w:rsid w:val="000446C4"/>
    <w:rsid w:val="00044CAF"/>
    <w:rsid w:val="00044E57"/>
    <w:rsid w:val="000450EE"/>
    <w:rsid w:val="000451CB"/>
    <w:rsid w:val="00045715"/>
    <w:rsid w:val="00046690"/>
    <w:rsid w:val="00047F35"/>
    <w:rsid w:val="00052421"/>
    <w:rsid w:val="000530DC"/>
    <w:rsid w:val="00054088"/>
    <w:rsid w:val="00054439"/>
    <w:rsid w:val="00055D51"/>
    <w:rsid w:val="00060F6E"/>
    <w:rsid w:val="00061A5E"/>
    <w:rsid w:val="0006414D"/>
    <w:rsid w:val="00066405"/>
    <w:rsid w:val="00070DC7"/>
    <w:rsid w:val="000730AD"/>
    <w:rsid w:val="000739D5"/>
    <w:rsid w:val="0008120B"/>
    <w:rsid w:val="00081614"/>
    <w:rsid w:val="00082CB1"/>
    <w:rsid w:val="00082DBE"/>
    <w:rsid w:val="00085AD3"/>
    <w:rsid w:val="00085C61"/>
    <w:rsid w:val="00086046"/>
    <w:rsid w:val="00086724"/>
    <w:rsid w:val="00087A97"/>
    <w:rsid w:val="00087BCD"/>
    <w:rsid w:val="00087EF4"/>
    <w:rsid w:val="00090141"/>
    <w:rsid w:val="000944F3"/>
    <w:rsid w:val="0009622A"/>
    <w:rsid w:val="0009740F"/>
    <w:rsid w:val="00097411"/>
    <w:rsid w:val="00097D74"/>
    <w:rsid w:val="000A2CAE"/>
    <w:rsid w:val="000A4F1C"/>
    <w:rsid w:val="000A5361"/>
    <w:rsid w:val="000A7B27"/>
    <w:rsid w:val="000B1EAF"/>
    <w:rsid w:val="000B251C"/>
    <w:rsid w:val="000B260E"/>
    <w:rsid w:val="000B448C"/>
    <w:rsid w:val="000B5548"/>
    <w:rsid w:val="000B713D"/>
    <w:rsid w:val="000B7858"/>
    <w:rsid w:val="000C0D76"/>
    <w:rsid w:val="000C1234"/>
    <w:rsid w:val="000C1300"/>
    <w:rsid w:val="000C1509"/>
    <w:rsid w:val="000C19A6"/>
    <w:rsid w:val="000C2D87"/>
    <w:rsid w:val="000C3B71"/>
    <w:rsid w:val="000C43AD"/>
    <w:rsid w:val="000C5865"/>
    <w:rsid w:val="000C5B14"/>
    <w:rsid w:val="000C5C3D"/>
    <w:rsid w:val="000C5E65"/>
    <w:rsid w:val="000C7F5A"/>
    <w:rsid w:val="000D1828"/>
    <w:rsid w:val="000D4ECD"/>
    <w:rsid w:val="000D4ED0"/>
    <w:rsid w:val="000D5C17"/>
    <w:rsid w:val="000D6E85"/>
    <w:rsid w:val="000E0D59"/>
    <w:rsid w:val="000E111D"/>
    <w:rsid w:val="000E1321"/>
    <w:rsid w:val="000E1E58"/>
    <w:rsid w:val="000E5325"/>
    <w:rsid w:val="000E5AA9"/>
    <w:rsid w:val="000E5B0A"/>
    <w:rsid w:val="000E5FFF"/>
    <w:rsid w:val="000E7ACD"/>
    <w:rsid w:val="000F15FD"/>
    <w:rsid w:val="000F1B8A"/>
    <w:rsid w:val="000F1C09"/>
    <w:rsid w:val="000F364E"/>
    <w:rsid w:val="000F59DC"/>
    <w:rsid w:val="000F5D9F"/>
    <w:rsid w:val="000F7674"/>
    <w:rsid w:val="000F7C3F"/>
    <w:rsid w:val="000F7DE8"/>
    <w:rsid w:val="001005C2"/>
    <w:rsid w:val="00101A2A"/>
    <w:rsid w:val="0010355A"/>
    <w:rsid w:val="001038AF"/>
    <w:rsid w:val="001100F8"/>
    <w:rsid w:val="001102CE"/>
    <w:rsid w:val="00114021"/>
    <w:rsid w:val="001142AE"/>
    <w:rsid w:val="001151FD"/>
    <w:rsid w:val="0011570D"/>
    <w:rsid w:val="0012026E"/>
    <w:rsid w:val="0012116D"/>
    <w:rsid w:val="00121CA0"/>
    <w:rsid w:val="001227CD"/>
    <w:rsid w:val="0012309E"/>
    <w:rsid w:val="0012320C"/>
    <w:rsid w:val="00123DD2"/>
    <w:rsid w:val="00124C76"/>
    <w:rsid w:val="001267D7"/>
    <w:rsid w:val="001313E1"/>
    <w:rsid w:val="0013156D"/>
    <w:rsid w:val="00132534"/>
    <w:rsid w:val="001349A3"/>
    <w:rsid w:val="00137FE1"/>
    <w:rsid w:val="00142789"/>
    <w:rsid w:val="001428FD"/>
    <w:rsid w:val="00143253"/>
    <w:rsid w:val="001447D6"/>
    <w:rsid w:val="00145C1E"/>
    <w:rsid w:val="00146C37"/>
    <w:rsid w:val="00151259"/>
    <w:rsid w:val="00151418"/>
    <w:rsid w:val="001549F8"/>
    <w:rsid w:val="00157CF1"/>
    <w:rsid w:val="001603FD"/>
    <w:rsid w:val="00160672"/>
    <w:rsid w:val="00162868"/>
    <w:rsid w:val="00163702"/>
    <w:rsid w:val="0016469D"/>
    <w:rsid w:val="0016478E"/>
    <w:rsid w:val="001654FE"/>
    <w:rsid w:val="00167F07"/>
    <w:rsid w:val="00170609"/>
    <w:rsid w:val="00171492"/>
    <w:rsid w:val="001755AA"/>
    <w:rsid w:val="001762AE"/>
    <w:rsid w:val="00182947"/>
    <w:rsid w:val="00183C0A"/>
    <w:rsid w:val="001915BF"/>
    <w:rsid w:val="00191E34"/>
    <w:rsid w:val="00192933"/>
    <w:rsid w:val="0019321B"/>
    <w:rsid w:val="001936F5"/>
    <w:rsid w:val="00195CE9"/>
    <w:rsid w:val="00196263"/>
    <w:rsid w:val="00196BF2"/>
    <w:rsid w:val="00197F84"/>
    <w:rsid w:val="001A1FEC"/>
    <w:rsid w:val="001A3D86"/>
    <w:rsid w:val="001A3F6E"/>
    <w:rsid w:val="001A55D2"/>
    <w:rsid w:val="001B0595"/>
    <w:rsid w:val="001B08EE"/>
    <w:rsid w:val="001B1403"/>
    <w:rsid w:val="001B1EAE"/>
    <w:rsid w:val="001B5209"/>
    <w:rsid w:val="001B57ED"/>
    <w:rsid w:val="001B5E82"/>
    <w:rsid w:val="001B7F18"/>
    <w:rsid w:val="001C00CE"/>
    <w:rsid w:val="001C2C36"/>
    <w:rsid w:val="001C2D4E"/>
    <w:rsid w:val="001C45C6"/>
    <w:rsid w:val="001C4EB1"/>
    <w:rsid w:val="001C63D0"/>
    <w:rsid w:val="001C6CE0"/>
    <w:rsid w:val="001D134B"/>
    <w:rsid w:val="001D13A3"/>
    <w:rsid w:val="001D145D"/>
    <w:rsid w:val="001D16FA"/>
    <w:rsid w:val="001D3289"/>
    <w:rsid w:val="001D3851"/>
    <w:rsid w:val="001D4422"/>
    <w:rsid w:val="001D468C"/>
    <w:rsid w:val="001D6B7D"/>
    <w:rsid w:val="001D72AF"/>
    <w:rsid w:val="001D75E6"/>
    <w:rsid w:val="001E183E"/>
    <w:rsid w:val="001E1E1B"/>
    <w:rsid w:val="001E29F2"/>
    <w:rsid w:val="001E3532"/>
    <w:rsid w:val="001E4A11"/>
    <w:rsid w:val="001E4C70"/>
    <w:rsid w:val="001E5587"/>
    <w:rsid w:val="001E593C"/>
    <w:rsid w:val="001E61B5"/>
    <w:rsid w:val="001E7DA1"/>
    <w:rsid w:val="001F24A7"/>
    <w:rsid w:val="001F362A"/>
    <w:rsid w:val="001F7957"/>
    <w:rsid w:val="00201D3F"/>
    <w:rsid w:val="00202101"/>
    <w:rsid w:val="00204C2C"/>
    <w:rsid w:val="00213C9F"/>
    <w:rsid w:val="0021509F"/>
    <w:rsid w:val="00215955"/>
    <w:rsid w:val="00215D65"/>
    <w:rsid w:val="002171BC"/>
    <w:rsid w:val="002200D9"/>
    <w:rsid w:val="00222022"/>
    <w:rsid w:val="00223A3D"/>
    <w:rsid w:val="00223A5B"/>
    <w:rsid w:val="002250AF"/>
    <w:rsid w:val="00226288"/>
    <w:rsid w:val="002271A6"/>
    <w:rsid w:val="002273D5"/>
    <w:rsid w:val="00227942"/>
    <w:rsid w:val="00227C4E"/>
    <w:rsid w:val="0023184D"/>
    <w:rsid w:val="00231C71"/>
    <w:rsid w:val="002322A1"/>
    <w:rsid w:val="00232757"/>
    <w:rsid w:val="00236AAE"/>
    <w:rsid w:val="00236C1E"/>
    <w:rsid w:val="00240CF7"/>
    <w:rsid w:val="002410AF"/>
    <w:rsid w:val="002461E4"/>
    <w:rsid w:val="00246ACC"/>
    <w:rsid w:val="0024775C"/>
    <w:rsid w:val="00250CF8"/>
    <w:rsid w:val="00251895"/>
    <w:rsid w:val="00251C54"/>
    <w:rsid w:val="00253AF6"/>
    <w:rsid w:val="00254918"/>
    <w:rsid w:val="00254B1E"/>
    <w:rsid w:val="00255703"/>
    <w:rsid w:val="00256261"/>
    <w:rsid w:val="0026017D"/>
    <w:rsid w:val="00261660"/>
    <w:rsid w:val="00263265"/>
    <w:rsid w:val="00263A0A"/>
    <w:rsid w:val="0026528D"/>
    <w:rsid w:val="00265F11"/>
    <w:rsid w:val="002677B7"/>
    <w:rsid w:val="002716A9"/>
    <w:rsid w:val="00272A43"/>
    <w:rsid w:val="00273CD3"/>
    <w:rsid w:val="00273EB7"/>
    <w:rsid w:val="00274D33"/>
    <w:rsid w:val="00276EDF"/>
    <w:rsid w:val="00277E2D"/>
    <w:rsid w:val="00281BA5"/>
    <w:rsid w:val="00282C66"/>
    <w:rsid w:val="0028477A"/>
    <w:rsid w:val="002861BD"/>
    <w:rsid w:val="00286874"/>
    <w:rsid w:val="00287076"/>
    <w:rsid w:val="002877F1"/>
    <w:rsid w:val="00287B24"/>
    <w:rsid w:val="0029155F"/>
    <w:rsid w:val="00291AB4"/>
    <w:rsid w:val="002923FF"/>
    <w:rsid w:val="002937AD"/>
    <w:rsid w:val="00293E90"/>
    <w:rsid w:val="00296224"/>
    <w:rsid w:val="00296EAE"/>
    <w:rsid w:val="002A1D57"/>
    <w:rsid w:val="002A2EEA"/>
    <w:rsid w:val="002A3769"/>
    <w:rsid w:val="002B155F"/>
    <w:rsid w:val="002B1D30"/>
    <w:rsid w:val="002B2FD3"/>
    <w:rsid w:val="002B36DB"/>
    <w:rsid w:val="002B37BD"/>
    <w:rsid w:val="002B53BA"/>
    <w:rsid w:val="002B69EC"/>
    <w:rsid w:val="002B7094"/>
    <w:rsid w:val="002C49F8"/>
    <w:rsid w:val="002D0819"/>
    <w:rsid w:val="002D1C1B"/>
    <w:rsid w:val="002D5D31"/>
    <w:rsid w:val="002D6436"/>
    <w:rsid w:val="002D68C7"/>
    <w:rsid w:val="002D7B0A"/>
    <w:rsid w:val="002D7CCB"/>
    <w:rsid w:val="002E1146"/>
    <w:rsid w:val="002E1725"/>
    <w:rsid w:val="002E1898"/>
    <w:rsid w:val="002E439F"/>
    <w:rsid w:val="002E6878"/>
    <w:rsid w:val="002F3C31"/>
    <w:rsid w:val="002F7631"/>
    <w:rsid w:val="00304CB5"/>
    <w:rsid w:val="00305111"/>
    <w:rsid w:val="003063D3"/>
    <w:rsid w:val="0031416D"/>
    <w:rsid w:val="00315166"/>
    <w:rsid w:val="00315C65"/>
    <w:rsid w:val="00316E08"/>
    <w:rsid w:val="00320069"/>
    <w:rsid w:val="003210E8"/>
    <w:rsid w:val="0032140B"/>
    <w:rsid w:val="00321E90"/>
    <w:rsid w:val="003245E9"/>
    <w:rsid w:val="00324927"/>
    <w:rsid w:val="00326F5E"/>
    <w:rsid w:val="00332565"/>
    <w:rsid w:val="0033582F"/>
    <w:rsid w:val="00336851"/>
    <w:rsid w:val="003370EF"/>
    <w:rsid w:val="003376A6"/>
    <w:rsid w:val="003379A5"/>
    <w:rsid w:val="0034156F"/>
    <w:rsid w:val="00342EBC"/>
    <w:rsid w:val="003453BD"/>
    <w:rsid w:val="0034756C"/>
    <w:rsid w:val="00347D10"/>
    <w:rsid w:val="00350C25"/>
    <w:rsid w:val="0035377B"/>
    <w:rsid w:val="00355A30"/>
    <w:rsid w:val="00356517"/>
    <w:rsid w:val="00360F91"/>
    <w:rsid w:val="00361614"/>
    <w:rsid w:val="003625F3"/>
    <w:rsid w:val="00363A01"/>
    <w:rsid w:val="00364677"/>
    <w:rsid w:val="00366292"/>
    <w:rsid w:val="00366FBB"/>
    <w:rsid w:val="00370553"/>
    <w:rsid w:val="00373335"/>
    <w:rsid w:val="003743FB"/>
    <w:rsid w:val="00377C47"/>
    <w:rsid w:val="003810FD"/>
    <w:rsid w:val="00382009"/>
    <w:rsid w:val="00382B70"/>
    <w:rsid w:val="003833DB"/>
    <w:rsid w:val="00384A73"/>
    <w:rsid w:val="00384E94"/>
    <w:rsid w:val="00385EC1"/>
    <w:rsid w:val="003867E7"/>
    <w:rsid w:val="00387E10"/>
    <w:rsid w:val="003904AE"/>
    <w:rsid w:val="00390C7F"/>
    <w:rsid w:val="00390E09"/>
    <w:rsid w:val="00392B8B"/>
    <w:rsid w:val="00393CC4"/>
    <w:rsid w:val="00394FF7"/>
    <w:rsid w:val="00395E5E"/>
    <w:rsid w:val="003A2BCD"/>
    <w:rsid w:val="003A2D93"/>
    <w:rsid w:val="003A3721"/>
    <w:rsid w:val="003A5565"/>
    <w:rsid w:val="003A6B86"/>
    <w:rsid w:val="003A6F65"/>
    <w:rsid w:val="003A7B39"/>
    <w:rsid w:val="003B0FC9"/>
    <w:rsid w:val="003B1D4B"/>
    <w:rsid w:val="003B3055"/>
    <w:rsid w:val="003B4661"/>
    <w:rsid w:val="003B6412"/>
    <w:rsid w:val="003B73A6"/>
    <w:rsid w:val="003C19F2"/>
    <w:rsid w:val="003C1AB3"/>
    <w:rsid w:val="003C1C3A"/>
    <w:rsid w:val="003C6EF6"/>
    <w:rsid w:val="003C7AE1"/>
    <w:rsid w:val="003E18B4"/>
    <w:rsid w:val="003E20B0"/>
    <w:rsid w:val="003E3EC5"/>
    <w:rsid w:val="003E4AAA"/>
    <w:rsid w:val="003E5417"/>
    <w:rsid w:val="003E588B"/>
    <w:rsid w:val="003E5DC6"/>
    <w:rsid w:val="003E71A1"/>
    <w:rsid w:val="003E788C"/>
    <w:rsid w:val="003E7A24"/>
    <w:rsid w:val="003F039B"/>
    <w:rsid w:val="003F0D21"/>
    <w:rsid w:val="003F45C6"/>
    <w:rsid w:val="003F4CE3"/>
    <w:rsid w:val="003F4DA6"/>
    <w:rsid w:val="003F4FD8"/>
    <w:rsid w:val="003F6884"/>
    <w:rsid w:val="003F6AB7"/>
    <w:rsid w:val="003F6ABF"/>
    <w:rsid w:val="004002C9"/>
    <w:rsid w:val="00401C65"/>
    <w:rsid w:val="0040214A"/>
    <w:rsid w:val="00402B48"/>
    <w:rsid w:val="004038ED"/>
    <w:rsid w:val="0040658D"/>
    <w:rsid w:val="00406CCE"/>
    <w:rsid w:val="00407DE5"/>
    <w:rsid w:val="0041207D"/>
    <w:rsid w:val="00412C71"/>
    <w:rsid w:val="0041329B"/>
    <w:rsid w:val="0041418F"/>
    <w:rsid w:val="00415801"/>
    <w:rsid w:val="004161A8"/>
    <w:rsid w:val="00421A28"/>
    <w:rsid w:val="00422A63"/>
    <w:rsid w:val="00423028"/>
    <w:rsid w:val="00424AFA"/>
    <w:rsid w:val="00424F2D"/>
    <w:rsid w:val="00426E70"/>
    <w:rsid w:val="00431F50"/>
    <w:rsid w:val="0043331E"/>
    <w:rsid w:val="00433F18"/>
    <w:rsid w:val="00434AEB"/>
    <w:rsid w:val="00434CB7"/>
    <w:rsid w:val="00434CFC"/>
    <w:rsid w:val="00435964"/>
    <w:rsid w:val="00435AF4"/>
    <w:rsid w:val="004364A0"/>
    <w:rsid w:val="00442403"/>
    <w:rsid w:val="00444A7B"/>
    <w:rsid w:val="00445571"/>
    <w:rsid w:val="00446462"/>
    <w:rsid w:val="00446E4C"/>
    <w:rsid w:val="00447A0E"/>
    <w:rsid w:val="0045074C"/>
    <w:rsid w:val="00451956"/>
    <w:rsid w:val="00451E3D"/>
    <w:rsid w:val="0045271C"/>
    <w:rsid w:val="00452CAE"/>
    <w:rsid w:val="00457AAF"/>
    <w:rsid w:val="00460A28"/>
    <w:rsid w:val="00460F93"/>
    <w:rsid w:val="0046278D"/>
    <w:rsid w:val="00463CE6"/>
    <w:rsid w:val="00466B06"/>
    <w:rsid w:val="0046703B"/>
    <w:rsid w:val="0047016A"/>
    <w:rsid w:val="004728DC"/>
    <w:rsid w:val="00472E6B"/>
    <w:rsid w:val="0047379A"/>
    <w:rsid w:val="004737A0"/>
    <w:rsid w:val="00473F80"/>
    <w:rsid w:val="00474D21"/>
    <w:rsid w:val="004752DC"/>
    <w:rsid w:val="00477B40"/>
    <w:rsid w:val="004806BC"/>
    <w:rsid w:val="00480C1A"/>
    <w:rsid w:val="00482176"/>
    <w:rsid w:val="0048229C"/>
    <w:rsid w:val="00484FD9"/>
    <w:rsid w:val="004864D1"/>
    <w:rsid w:val="00491DD9"/>
    <w:rsid w:val="004932CE"/>
    <w:rsid w:val="00494589"/>
    <w:rsid w:val="00495D8A"/>
    <w:rsid w:val="0049697C"/>
    <w:rsid w:val="00496A88"/>
    <w:rsid w:val="00496C58"/>
    <w:rsid w:val="004A1855"/>
    <w:rsid w:val="004A1928"/>
    <w:rsid w:val="004A1D5D"/>
    <w:rsid w:val="004A2E61"/>
    <w:rsid w:val="004A5D3E"/>
    <w:rsid w:val="004A7E43"/>
    <w:rsid w:val="004B0B03"/>
    <w:rsid w:val="004B2DA5"/>
    <w:rsid w:val="004B3084"/>
    <w:rsid w:val="004B4C0D"/>
    <w:rsid w:val="004B5248"/>
    <w:rsid w:val="004B6036"/>
    <w:rsid w:val="004B6B3A"/>
    <w:rsid w:val="004B7079"/>
    <w:rsid w:val="004B719F"/>
    <w:rsid w:val="004B732B"/>
    <w:rsid w:val="004B7A10"/>
    <w:rsid w:val="004C14CD"/>
    <w:rsid w:val="004C1CA0"/>
    <w:rsid w:val="004C260D"/>
    <w:rsid w:val="004C443F"/>
    <w:rsid w:val="004C4516"/>
    <w:rsid w:val="004C63DF"/>
    <w:rsid w:val="004C7E40"/>
    <w:rsid w:val="004D070D"/>
    <w:rsid w:val="004D125E"/>
    <w:rsid w:val="004D3BA3"/>
    <w:rsid w:val="004D3EF9"/>
    <w:rsid w:val="004D489D"/>
    <w:rsid w:val="004D76DE"/>
    <w:rsid w:val="004E3AFC"/>
    <w:rsid w:val="004E4503"/>
    <w:rsid w:val="004E6740"/>
    <w:rsid w:val="004F388F"/>
    <w:rsid w:val="004F38DE"/>
    <w:rsid w:val="004F3CD9"/>
    <w:rsid w:val="004F3F53"/>
    <w:rsid w:val="004F4CC3"/>
    <w:rsid w:val="004F5996"/>
    <w:rsid w:val="004F7AE7"/>
    <w:rsid w:val="0050051D"/>
    <w:rsid w:val="0050644A"/>
    <w:rsid w:val="00506C39"/>
    <w:rsid w:val="00506E42"/>
    <w:rsid w:val="00507D15"/>
    <w:rsid w:val="0051143F"/>
    <w:rsid w:val="00514EAA"/>
    <w:rsid w:val="0051683F"/>
    <w:rsid w:val="00517185"/>
    <w:rsid w:val="005172AD"/>
    <w:rsid w:val="005173F8"/>
    <w:rsid w:val="00520DF1"/>
    <w:rsid w:val="005212CE"/>
    <w:rsid w:val="00521FDA"/>
    <w:rsid w:val="005232DD"/>
    <w:rsid w:val="00524266"/>
    <w:rsid w:val="005256CB"/>
    <w:rsid w:val="0052576E"/>
    <w:rsid w:val="005257AE"/>
    <w:rsid w:val="00525CF8"/>
    <w:rsid w:val="00526ECD"/>
    <w:rsid w:val="005277D0"/>
    <w:rsid w:val="00531630"/>
    <w:rsid w:val="0053211F"/>
    <w:rsid w:val="00532DF4"/>
    <w:rsid w:val="0053490F"/>
    <w:rsid w:val="00534A39"/>
    <w:rsid w:val="00535CAA"/>
    <w:rsid w:val="00537670"/>
    <w:rsid w:val="00537ED8"/>
    <w:rsid w:val="00543AFE"/>
    <w:rsid w:val="005442AF"/>
    <w:rsid w:val="00544D41"/>
    <w:rsid w:val="0054538F"/>
    <w:rsid w:val="00545A0A"/>
    <w:rsid w:val="00551460"/>
    <w:rsid w:val="00553E3E"/>
    <w:rsid w:val="00554DA9"/>
    <w:rsid w:val="00555343"/>
    <w:rsid w:val="005560B7"/>
    <w:rsid w:val="00557A45"/>
    <w:rsid w:val="00557BD9"/>
    <w:rsid w:val="00557C09"/>
    <w:rsid w:val="00561110"/>
    <w:rsid w:val="00561DCF"/>
    <w:rsid w:val="00562E7B"/>
    <w:rsid w:val="00563F33"/>
    <w:rsid w:val="00564C88"/>
    <w:rsid w:val="0056561F"/>
    <w:rsid w:val="005669A3"/>
    <w:rsid w:val="00567B32"/>
    <w:rsid w:val="00572AB5"/>
    <w:rsid w:val="00574355"/>
    <w:rsid w:val="00574FB7"/>
    <w:rsid w:val="00576A4B"/>
    <w:rsid w:val="005770D1"/>
    <w:rsid w:val="00580BAA"/>
    <w:rsid w:val="0058163F"/>
    <w:rsid w:val="00582AD1"/>
    <w:rsid w:val="00582BD9"/>
    <w:rsid w:val="00584F75"/>
    <w:rsid w:val="00585296"/>
    <w:rsid w:val="00585D12"/>
    <w:rsid w:val="005912A4"/>
    <w:rsid w:val="00592E0B"/>
    <w:rsid w:val="00595671"/>
    <w:rsid w:val="005A036E"/>
    <w:rsid w:val="005A129B"/>
    <w:rsid w:val="005A3E30"/>
    <w:rsid w:val="005A4280"/>
    <w:rsid w:val="005A5AAD"/>
    <w:rsid w:val="005A700A"/>
    <w:rsid w:val="005A72D6"/>
    <w:rsid w:val="005A7EB8"/>
    <w:rsid w:val="005B3043"/>
    <w:rsid w:val="005B32AD"/>
    <w:rsid w:val="005B3456"/>
    <w:rsid w:val="005B3C12"/>
    <w:rsid w:val="005B4D5E"/>
    <w:rsid w:val="005C029D"/>
    <w:rsid w:val="005C0BD1"/>
    <w:rsid w:val="005C10D6"/>
    <w:rsid w:val="005C4584"/>
    <w:rsid w:val="005C67F7"/>
    <w:rsid w:val="005C6A71"/>
    <w:rsid w:val="005C744D"/>
    <w:rsid w:val="005D01C0"/>
    <w:rsid w:val="005D155D"/>
    <w:rsid w:val="005D1B01"/>
    <w:rsid w:val="005D2183"/>
    <w:rsid w:val="005D37EC"/>
    <w:rsid w:val="005D42C0"/>
    <w:rsid w:val="005D4888"/>
    <w:rsid w:val="005D624D"/>
    <w:rsid w:val="005D6FB6"/>
    <w:rsid w:val="005E1E5C"/>
    <w:rsid w:val="005E206D"/>
    <w:rsid w:val="005E2E8F"/>
    <w:rsid w:val="005E4D8E"/>
    <w:rsid w:val="005E520A"/>
    <w:rsid w:val="005F0B8B"/>
    <w:rsid w:val="005F0BFF"/>
    <w:rsid w:val="005F2C3D"/>
    <w:rsid w:val="005F367E"/>
    <w:rsid w:val="005F4B4D"/>
    <w:rsid w:val="005F57BE"/>
    <w:rsid w:val="005F5924"/>
    <w:rsid w:val="005F6495"/>
    <w:rsid w:val="005F7473"/>
    <w:rsid w:val="005F75F2"/>
    <w:rsid w:val="005F7F2D"/>
    <w:rsid w:val="0060053B"/>
    <w:rsid w:val="006013FA"/>
    <w:rsid w:val="0060233D"/>
    <w:rsid w:val="00605251"/>
    <w:rsid w:val="0060641B"/>
    <w:rsid w:val="0061066F"/>
    <w:rsid w:val="00610E31"/>
    <w:rsid w:val="00611312"/>
    <w:rsid w:val="00611610"/>
    <w:rsid w:val="0061176B"/>
    <w:rsid w:val="006122B9"/>
    <w:rsid w:val="006130E6"/>
    <w:rsid w:val="006139F5"/>
    <w:rsid w:val="00613D59"/>
    <w:rsid w:val="0061517F"/>
    <w:rsid w:val="00616D49"/>
    <w:rsid w:val="006210CD"/>
    <w:rsid w:val="006210DA"/>
    <w:rsid w:val="0062165E"/>
    <w:rsid w:val="00621C55"/>
    <w:rsid w:val="00621FE3"/>
    <w:rsid w:val="00622944"/>
    <w:rsid w:val="00624772"/>
    <w:rsid w:val="0062482D"/>
    <w:rsid w:val="00625ECE"/>
    <w:rsid w:val="006264E7"/>
    <w:rsid w:val="00626B22"/>
    <w:rsid w:val="00626DE6"/>
    <w:rsid w:val="0062719B"/>
    <w:rsid w:val="00627B48"/>
    <w:rsid w:val="00627B93"/>
    <w:rsid w:val="00630989"/>
    <w:rsid w:val="00632B44"/>
    <w:rsid w:val="006334E9"/>
    <w:rsid w:val="00633AF7"/>
    <w:rsid w:val="006362F6"/>
    <w:rsid w:val="006363C1"/>
    <w:rsid w:val="00636521"/>
    <w:rsid w:val="00642E8D"/>
    <w:rsid w:val="00643E18"/>
    <w:rsid w:val="00645779"/>
    <w:rsid w:val="006457B2"/>
    <w:rsid w:val="0064785C"/>
    <w:rsid w:val="00647C3E"/>
    <w:rsid w:val="00652403"/>
    <w:rsid w:val="006535E9"/>
    <w:rsid w:val="006546B3"/>
    <w:rsid w:val="00654D9A"/>
    <w:rsid w:val="00655FFC"/>
    <w:rsid w:val="00657AED"/>
    <w:rsid w:val="00657F75"/>
    <w:rsid w:val="00661C10"/>
    <w:rsid w:val="00661C32"/>
    <w:rsid w:val="00662104"/>
    <w:rsid w:val="006636D4"/>
    <w:rsid w:val="006640A2"/>
    <w:rsid w:val="006665C9"/>
    <w:rsid w:val="00667475"/>
    <w:rsid w:val="00671CE7"/>
    <w:rsid w:val="006726C0"/>
    <w:rsid w:val="00672AFF"/>
    <w:rsid w:val="006730CD"/>
    <w:rsid w:val="006739C0"/>
    <w:rsid w:val="00673A78"/>
    <w:rsid w:val="00681A9F"/>
    <w:rsid w:val="00683D30"/>
    <w:rsid w:val="00684238"/>
    <w:rsid w:val="0068424A"/>
    <w:rsid w:val="0068442B"/>
    <w:rsid w:val="00684C71"/>
    <w:rsid w:val="00685E3C"/>
    <w:rsid w:val="00686B0B"/>
    <w:rsid w:val="00686D1F"/>
    <w:rsid w:val="00686F97"/>
    <w:rsid w:val="006873C4"/>
    <w:rsid w:val="00687523"/>
    <w:rsid w:val="00687677"/>
    <w:rsid w:val="00687882"/>
    <w:rsid w:val="00691070"/>
    <w:rsid w:val="00692AC8"/>
    <w:rsid w:val="006A154D"/>
    <w:rsid w:val="006A4CD1"/>
    <w:rsid w:val="006A592E"/>
    <w:rsid w:val="006B0D19"/>
    <w:rsid w:val="006B0DE8"/>
    <w:rsid w:val="006B3565"/>
    <w:rsid w:val="006B427C"/>
    <w:rsid w:val="006B5CE9"/>
    <w:rsid w:val="006B642D"/>
    <w:rsid w:val="006B64EC"/>
    <w:rsid w:val="006B73A9"/>
    <w:rsid w:val="006C1D2A"/>
    <w:rsid w:val="006C2052"/>
    <w:rsid w:val="006D06F0"/>
    <w:rsid w:val="006D19BB"/>
    <w:rsid w:val="006D32A7"/>
    <w:rsid w:val="006D3CC0"/>
    <w:rsid w:val="006D50A8"/>
    <w:rsid w:val="006D5778"/>
    <w:rsid w:val="006D678D"/>
    <w:rsid w:val="006D6C3A"/>
    <w:rsid w:val="006D6DF4"/>
    <w:rsid w:val="006D6E98"/>
    <w:rsid w:val="006E0562"/>
    <w:rsid w:val="006E06E5"/>
    <w:rsid w:val="006E152B"/>
    <w:rsid w:val="006E462F"/>
    <w:rsid w:val="006E50F0"/>
    <w:rsid w:val="006E64F6"/>
    <w:rsid w:val="006E675A"/>
    <w:rsid w:val="006E6CCF"/>
    <w:rsid w:val="006F05C4"/>
    <w:rsid w:val="006F26A9"/>
    <w:rsid w:val="006F2E78"/>
    <w:rsid w:val="006F3859"/>
    <w:rsid w:val="006F63B1"/>
    <w:rsid w:val="006F6EB0"/>
    <w:rsid w:val="006F7497"/>
    <w:rsid w:val="00700409"/>
    <w:rsid w:val="00700F2F"/>
    <w:rsid w:val="00701260"/>
    <w:rsid w:val="00701618"/>
    <w:rsid w:val="007023F0"/>
    <w:rsid w:val="00703594"/>
    <w:rsid w:val="00703BC0"/>
    <w:rsid w:val="00704E6A"/>
    <w:rsid w:val="00705999"/>
    <w:rsid w:val="0070663A"/>
    <w:rsid w:val="00707420"/>
    <w:rsid w:val="0070796C"/>
    <w:rsid w:val="00710DB2"/>
    <w:rsid w:val="007113FC"/>
    <w:rsid w:val="007123E5"/>
    <w:rsid w:val="00723BE3"/>
    <w:rsid w:val="007243B0"/>
    <w:rsid w:val="00724BCE"/>
    <w:rsid w:val="00726DA5"/>
    <w:rsid w:val="00730627"/>
    <w:rsid w:val="00732BC8"/>
    <w:rsid w:val="007334A6"/>
    <w:rsid w:val="00737C0C"/>
    <w:rsid w:val="00740AD8"/>
    <w:rsid w:val="00740B03"/>
    <w:rsid w:val="00741E83"/>
    <w:rsid w:val="0074213D"/>
    <w:rsid w:val="007423A7"/>
    <w:rsid w:val="007428EC"/>
    <w:rsid w:val="007462A7"/>
    <w:rsid w:val="00746E60"/>
    <w:rsid w:val="00751FF2"/>
    <w:rsid w:val="007537DA"/>
    <w:rsid w:val="00754E2A"/>
    <w:rsid w:val="007552F4"/>
    <w:rsid w:val="00756342"/>
    <w:rsid w:val="00757728"/>
    <w:rsid w:val="00760C2F"/>
    <w:rsid w:val="007613D1"/>
    <w:rsid w:val="00762126"/>
    <w:rsid w:val="007675BB"/>
    <w:rsid w:val="007756E7"/>
    <w:rsid w:val="00776D45"/>
    <w:rsid w:val="00781F9E"/>
    <w:rsid w:val="0078211F"/>
    <w:rsid w:val="00783437"/>
    <w:rsid w:val="00784774"/>
    <w:rsid w:val="00784AE2"/>
    <w:rsid w:val="00785587"/>
    <w:rsid w:val="007870A2"/>
    <w:rsid w:val="007879BE"/>
    <w:rsid w:val="00787A33"/>
    <w:rsid w:val="00787FAD"/>
    <w:rsid w:val="00790D3A"/>
    <w:rsid w:val="0079193F"/>
    <w:rsid w:val="00792041"/>
    <w:rsid w:val="007926AB"/>
    <w:rsid w:val="00792BDF"/>
    <w:rsid w:val="00792BFE"/>
    <w:rsid w:val="007933AF"/>
    <w:rsid w:val="00794D8D"/>
    <w:rsid w:val="007A0A6D"/>
    <w:rsid w:val="007A4FFC"/>
    <w:rsid w:val="007A6518"/>
    <w:rsid w:val="007A67AA"/>
    <w:rsid w:val="007A687E"/>
    <w:rsid w:val="007A6A78"/>
    <w:rsid w:val="007A73ED"/>
    <w:rsid w:val="007B11AE"/>
    <w:rsid w:val="007B21E1"/>
    <w:rsid w:val="007B4F60"/>
    <w:rsid w:val="007B7C58"/>
    <w:rsid w:val="007C4174"/>
    <w:rsid w:val="007C4D82"/>
    <w:rsid w:val="007C56EC"/>
    <w:rsid w:val="007C7218"/>
    <w:rsid w:val="007D2822"/>
    <w:rsid w:val="007D3848"/>
    <w:rsid w:val="007D55A4"/>
    <w:rsid w:val="007D6086"/>
    <w:rsid w:val="007E2DE7"/>
    <w:rsid w:val="007E2F41"/>
    <w:rsid w:val="007E3282"/>
    <w:rsid w:val="007E577D"/>
    <w:rsid w:val="007E6379"/>
    <w:rsid w:val="007E6674"/>
    <w:rsid w:val="007E7DE5"/>
    <w:rsid w:val="007F0086"/>
    <w:rsid w:val="007F0F7E"/>
    <w:rsid w:val="007F41D9"/>
    <w:rsid w:val="007F597C"/>
    <w:rsid w:val="007F62A7"/>
    <w:rsid w:val="007F69A8"/>
    <w:rsid w:val="008000BF"/>
    <w:rsid w:val="00800201"/>
    <w:rsid w:val="00804C69"/>
    <w:rsid w:val="00805B98"/>
    <w:rsid w:val="00805EA4"/>
    <w:rsid w:val="00810C1B"/>
    <w:rsid w:val="00811B00"/>
    <w:rsid w:val="00814914"/>
    <w:rsid w:val="00816BDE"/>
    <w:rsid w:val="00822534"/>
    <w:rsid w:val="008234B4"/>
    <w:rsid w:val="00826924"/>
    <w:rsid w:val="008271A7"/>
    <w:rsid w:val="00831D70"/>
    <w:rsid w:val="00834948"/>
    <w:rsid w:val="0083574B"/>
    <w:rsid w:val="00835B86"/>
    <w:rsid w:val="00836D4F"/>
    <w:rsid w:val="00840B0B"/>
    <w:rsid w:val="0084259C"/>
    <w:rsid w:val="00842C6B"/>
    <w:rsid w:val="008465BF"/>
    <w:rsid w:val="008509C2"/>
    <w:rsid w:val="00851A33"/>
    <w:rsid w:val="008524D1"/>
    <w:rsid w:val="00852509"/>
    <w:rsid w:val="008548F1"/>
    <w:rsid w:val="00854E4D"/>
    <w:rsid w:val="008560B9"/>
    <w:rsid w:val="00856573"/>
    <w:rsid w:val="008569D1"/>
    <w:rsid w:val="008570FF"/>
    <w:rsid w:val="008571BD"/>
    <w:rsid w:val="008647DD"/>
    <w:rsid w:val="0086649D"/>
    <w:rsid w:val="00866AE1"/>
    <w:rsid w:val="008700AB"/>
    <w:rsid w:val="0087062D"/>
    <w:rsid w:val="00870E5F"/>
    <w:rsid w:val="00871BE7"/>
    <w:rsid w:val="0087316A"/>
    <w:rsid w:val="00873892"/>
    <w:rsid w:val="0087390A"/>
    <w:rsid w:val="0087472B"/>
    <w:rsid w:val="00874A38"/>
    <w:rsid w:val="00874D48"/>
    <w:rsid w:val="00877A3D"/>
    <w:rsid w:val="008811D6"/>
    <w:rsid w:val="00881553"/>
    <w:rsid w:val="008834C3"/>
    <w:rsid w:val="00883702"/>
    <w:rsid w:val="0088388A"/>
    <w:rsid w:val="00883A3D"/>
    <w:rsid w:val="00885C3E"/>
    <w:rsid w:val="00885E22"/>
    <w:rsid w:val="00887AEE"/>
    <w:rsid w:val="00887F80"/>
    <w:rsid w:val="00890057"/>
    <w:rsid w:val="00890856"/>
    <w:rsid w:val="00891D53"/>
    <w:rsid w:val="00892251"/>
    <w:rsid w:val="00892F45"/>
    <w:rsid w:val="00894421"/>
    <w:rsid w:val="008964FC"/>
    <w:rsid w:val="00896C9B"/>
    <w:rsid w:val="00897014"/>
    <w:rsid w:val="00897CAC"/>
    <w:rsid w:val="008A0390"/>
    <w:rsid w:val="008A07B2"/>
    <w:rsid w:val="008A1C35"/>
    <w:rsid w:val="008A1D62"/>
    <w:rsid w:val="008A26E6"/>
    <w:rsid w:val="008A464D"/>
    <w:rsid w:val="008A643B"/>
    <w:rsid w:val="008A76B6"/>
    <w:rsid w:val="008A7DD9"/>
    <w:rsid w:val="008B1940"/>
    <w:rsid w:val="008B332B"/>
    <w:rsid w:val="008B44B1"/>
    <w:rsid w:val="008B7EB1"/>
    <w:rsid w:val="008C2AC7"/>
    <w:rsid w:val="008C31FF"/>
    <w:rsid w:val="008C5C2F"/>
    <w:rsid w:val="008C7016"/>
    <w:rsid w:val="008C7315"/>
    <w:rsid w:val="008C77B3"/>
    <w:rsid w:val="008D0B28"/>
    <w:rsid w:val="008D2AD8"/>
    <w:rsid w:val="008D2D58"/>
    <w:rsid w:val="008D3233"/>
    <w:rsid w:val="008D4118"/>
    <w:rsid w:val="008D6535"/>
    <w:rsid w:val="008D69AC"/>
    <w:rsid w:val="008E03F2"/>
    <w:rsid w:val="008E090C"/>
    <w:rsid w:val="008E174C"/>
    <w:rsid w:val="008E180B"/>
    <w:rsid w:val="008E5F3F"/>
    <w:rsid w:val="008F060F"/>
    <w:rsid w:val="008F0728"/>
    <w:rsid w:val="008F120C"/>
    <w:rsid w:val="008F1572"/>
    <w:rsid w:val="008F3733"/>
    <w:rsid w:val="008F3A0E"/>
    <w:rsid w:val="008F5A3B"/>
    <w:rsid w:val="008F5F96"/>
    <w:rsid w:val="008F7F92"/>
    <w:rsid w:val="0090090E"/>
    <w:rsid w:val="0090129D"/>
    <w:rsid w:val="00904629"/>
    <w:rsid w:val="009062AD"/>
    <w:rsid w:val="00907096"/>
    <w:rsid w:val="00907F3F"/>
    <w:rsid w:val="00910422"/>
    <w:rsid w:val="009104D4"/>
    <w:rsid w:val="00910CA5"/>
    <w:rsid w:val="0091456A"/>
    <w:rsid w:val="0091569F"/>
    <w:rsid w:val="00916A7D"/>
    <w:rsid w:val="00917D1F"/>
    <w:rsid w:val="009218A5"/>
    <w:rsid w:val="00921BC4"/>
    <w:rsid w:val="009230EA"/>
    <w:rsid w:val="0092577F"/>
    <w:rsid w:val="0093195B"/>
    <w:rsid w:val="009329B2"/>
    <w:rsid w:val="0093371B"/>
    <w:rsid w:val="00933B15"/>
    <w:rsid w:val="00934498"/>
    <w:rsid w:val="00934A8B"/>
    <w:rsid w:val="00935139"/>
    <w:rsid w:val="00936BD4"/>
    <w:rsid w:val="0093759E"/>
    <w:rsid w:val="0094013C"/>
    <w:rsid w:val="00942435"/>
    <w:rsid w:val="0094294D"/>
    <w:rsid w:val="009447B7"/>
    <w:rsid w:val="00944B6F"/>
    <w:rsid w:val="00950188"/>
    <w:rsid w:val="0095142F"/>
    <w:rsid w:val="00952DAC"/>
    <w:rsid w:val="009554A8"/>
    <w:rsid w:val="00955552"/>
    <w:rsid w:val="0095614F"/>
    <w:rsid w:val="00956945"/>
    <w:rsid w:val="00956E1C"/>
    <w:rsid w:val="00961156"/>
    <w:rsid w:val="009616FC"/>
    <w:rsid w:val="009633A3"/>
    <w:rsid w:val="0096359A"/>
    <w:rsid w:val="00964905"/>
    <w:rsid w:val="00964FC6"/>
    <w:rsid w:val="009653FF"/>
    <w:rsid w:val="00965CC8"/>
    <w:rsid w:val="009661A1"/>
    <w:rsid w:val="009663D9"/>
    <w:rsid w:val="00970A22"/>
    <w:rsid w:val="00970E72"/>
    <w:rsid w:val="009716FF"/>
    <w:rsid w:val="0097213F"/>
    <w:rsid w:val="00972EF2"/>
    <w:rsid w:val="00974047"/>
    <w:rsid w:val="00974A8B"/>
    <w:rsid w:val="00975D32"/>
    <w:rsid w:val="00976488"/>
    <w:rsid w:val="00977ED1"/>
    <w:rsid w:val="0098006B"/>
    <w:rsid w:val="0098127F"/>
    <w:rsid w:val="00981A72"/>
    <w:rsid w:val="00981D7D"/>
    <w:rsid w:val="00982CC9"/>
    <w:rsid w:val="00983149"/>
    <w:rsid w:val="00983750"/>
    <w:rsid w:val="00984EBC"/>
    <w:rsid w:val="00985BF5"/>
    <w:rsid w:val="00987ED0"/>
    <w:rsid w:val="00991912"/>
    <w:rsid w:val="00991B5F"/>
    <w:rsid w:val="00992E3D"/>
    <w:rsid w:val="00994B1F"/>
    <w:rsid w:val="00995E4A"/>
    <w:rsid w:val="009A15DE"/>
    <w:rsid w:val="009A1C29"/>
    <w:rsid w:val="009A4BD6"/>
    <w:rsid w:val="009A4FBE"/>
    <w:rsid w:val="009A70FC"/>
    <w:rsid w:val="009A7A1F"/>
    <w:rsid w:val="009A7BF0"/>
    <w:rsid w:val="009B053D"/>
    <w:rsid w:val="009B1B8F"/>
    <w:rsid w:val="009B35B8"/>
    <w:rsid w:val="009B442C"/>
    <w:rsid w:val="009B56F9"/>
    <w:rsid w:val="009B715C"/>
    <w:rsid w:val="009B7B13"/>
    <w:rsid w:val="009C1057"/>
    <w:rsid w:val="009C16E0"/>
    <w:rsid w:val="009C2184"/>
    <w:rsid w:val="009C3210"/>
    <w:rsid w:val="009C41DA"/>
    <w:rsid w:val="009C6325"/>
    <w:rsid w:val="009C6D77"/>
    <w:rsid w:val="009C6DDE"/>
    <w:rsid w:val="009C765E"/>
    <w:rsid w:val="009D0264"/>
    <w:rsid w:val="009D08F0"/>
    <w:rsid w:val="009D11C1"/>
    <w:rsid w:val="009D43D7"/>
    <w:rsid w:val="009D4B8A"/>
    <w:rsid w:val="009D5DB6"/>
    <w:rsid w:val="009D745B"/>
    <w:rsid w:val="009E010E"/>
    <w:rsid w:val="009E04BF"/>
    <w:rsid w:val="009E0946"/>
    <w:rsid w:val="009E123A"/>
    <w:rsid w:val="009E20FE"/>
    <w:rsid w:val="009E59A4"/>
    <w:rsid w:val="009E6B3C"/>
    <w:rsid w:val="009F1EAB"/>
    <w:rsid w:val="009F2D60"/>
    <w:rsid w:val="009F4074"/>
    <w:rsid w:val="009F41EE"/>
    <w:rsid w:val="009F4861"/>
    <w:rsid w:val="00A00971"/>
    <w:rsid w:val="00A029E4"/>
    <w:rsid w:val="00A05E02"/>
    <w:rsid w:val="00A05EBB"/>
    <w:rsid w:val="00A06F03"/>
    <w:rsid w:val="00A0772E"/>
    <w:rsid w:val="00A07776"/>
    <w:rsid w:val="00A116FE"/>
    <w:rsid w:val="00A12186"/>
    <w:rsid w:val="00A1247B"/>
    <w:rsid w:val="00A14143"/>
    <w:rsid w:val="00A149F4"/>
    <w:rsid w:val="00A154D9"/>
    <w:rsid w:val="00A17508"/>
    <w:rsid w:val="00A20451"/>
    <w:rsid w:val="00A25599"/>
    <w:rsid w:val="00A27910"/>
    <w:rsid w:val="00A279CF"/>
    <w:rsid w:val="00A30386"/>
    <w:rsid w:val="00A315E3"/>
    <w:rsid w:val="00A33B12"/>
    <w:rsid w:val="00A35725"/>
    <w:rsid w:val="00A36354"/>
    <w:rsid w:val="00A375C9"/>
    <w:rsid w:val="00A37EEF"/>
    <w:rsid w:val="00A40744"/>
    <w:rsid w:val="00A409C3"/>
    <w:rsid w:val="00A41AB6"/>
    <w:rsid w:val="00A424E2"/>
    <w:rsid w:val="00A43B8B"/>
    <w:rsid w:val="00A46F5E"/>
    <w:rsid w:val="00A51AE1"/>
    <w:rsid w:val="00A55072"/>
    <w:rsid w:val="00A5585C"/>
    <w:rsid w:val="00A558E4"/>
    <w:rsid w:val="00A56B35"/>
    <w:rsid w:val="00A56E72"/>
    <w:rsid w:val="00A57509"/>
    <w:rsid w:val="00A61EDD"/>
    <w:rsid w:val="00A624F9"/>
    <w:rsid w:val="00A6263A"/>
    <w:rsid w:val="00A631B9"/>
    <w:rsid w:val="00A634F4"/>
    <w:rsid w:val="00A63B74"/>
    <w:rsid w:val="00A65183"/>
    <w:rsid w:val="00A65310"/>
    <w:rsid w:val="00A657BD"/>
    <w:rsid w:val="00A6607E"/>
    <w:rsid w:val="00A661B0"/>
    <w:rsid w:val="00A66A0F"/>
    <w:rsid w:val="00A7069F"/>
    <w:rsid w:val="00A70CE2"/>
    <w:rsid w:val="00A70F11"/>
    <w:rsid w:val="00A72BC5"/>
    <w:rsid w:val="00A72D7E"/>
    <w:rsid w:val="00A73CD7"/>
    <w:rsid w:val="00A74538"/>
    <w:rsid w:val="00A77811"/>
    <w:rsid w:val="00A7791E"/>
    <w:rsid w:val="00A81E50"/>
    <w:rsid w:val="00A81EAD"/>
    <w:rsid w:val="00A82DEB"/>
    <w:rsid w:val="00A835AA"/>
    <w:rsid w:val="00A859DB"/>
    <w:rsid w:val="00A91097"/>
    <w:rsid w:val="00A92521"/>
    <w:rsid w:val="00A93982"/>
    <w:rsid w:val="00A94811"/>
    <w:rsid w:val="00A958A9"/>
    <w:rsid w:val="00AA0829"/>
    <w:rsid w:val="00AA1FE5"/>
    <w:rsid w:val="00AA3459"/>
    <w:rsid w:val="00AA35F0"/>
    <w:rsid w:val="00AA39B5"/>
    <w:rsid w:val="00AA4331"/>
    <w:rsid w:val="00AA47DF"/>
    <w:rsid w:val="00AA51E7"/>
    <w:rsid w:val="00AA6852"/>
    <w:rsid w:val="00AA7765"/>
    <w:rsid w:val="00AA78D2"/>
    <w:rsid w:val="00AA7B90"/>
    <w:rsid w:val="00AA7F57"/>
    <w:rsid w:val="00AB0F12"/>
    <w:rsid w:val="00AB1459"/>
    <w:rsid w:val="00AB1763"/>
    <w:rsid w:val="00AB2E3A"/>
    <w:rsid w:val="00AB3DEA"/>
    <w:rsid w:val="00AB7928"/>
    <w:rsid w:val="00AC20DE"/>
    <w:rsid w:val="00AC5A11"/>
    <w:rsid w:val="00AC6C28"/>
    <w:rsid w:val="00AC70B1"/>
    <w:rsid w:val="00AC7946"/>
    <w:rsid w:val="00AC7EF6"/>
    <w:rsid w:val="00AD037A"/>
    <w:rsid w:val="00AD40A6"/>
    <w:rsid w:val="00AD4562"/>
    <w:rsid w:val="00AD5A7E"/>
    <w:rsid w:val="00AD5C66"/>
    <w:rsid w:val="00AE076C"/>
    <w:rsid w:val="00AE2681"/>
    <w:rsid w:val="00AE364B"/>
    <w:rsid w:val="00AE388F"/>
    <w:rsid w:val="00AE67A3"/>
    <w:rsid w:val="00AF206E"/>
    <w:rsid w:val="00AF3E45"/>
    <w:rsid w:val="00AF6A5C"/>
    <w:rsid w:val="00B01277"/>
    <w:rsid w:val="00B01572"/>
    <w:rsid w:val="00B0186B"/>
    <w:rsid w:val="00B03091"/>
    <w:rsid w:val="00B031F1"/>
    <w:rsid w:val="00B049DD"/>
    <w:rsid w:val="00B04AA2"/>
    <w:rsid w:val="00B05673"/>
    <w:rsid w:val="00B05AA0"/>
    <w:rsid w:val="00B11DF3"/>
    <w:rsid w:val="00B11FA7"/>
    <w:rsid w:val="00B13386"/>
    <w:rsid w:val="00B13967"/>
    <w:rsid w:val="00B1474E"/>
    <w:rsid w:val="00B14ABD"/>
    <w:rsid w:val="00B15067"/>
    <w:rsid w:val="00B20888"/>
    <w:rsid w:val="00B21468"/>
    <w:rsid w:val="00B235F1"/>
    <w:rsid w:val="00B23B8D"/>
    <w:rsid w:val="00B24C4C"/>
    <w:rsid w:val="00B25284"/>
    <w:rsid w:val="00B25E09"/>
    <w:rsid w:val="00B274C0"/>
    <w:rsid w:val="00B27D19"/>
    <w:rsid w:val="00B30B58"/>
    <w:rsid w:val="00B348E5"/>
    <w:rsid w:val="00B3554B"/>
    <w:rsid w:val="00B35FE6"/>
    <w:rsid w:val="00B36C61"/>
    <w:rsid w:val="00B376BF"/>
    <w:rsid w:val="00B41796"/>
    <w:rsid w:val="00B444A1"/>
    <w:rsid w:val="00B44E3A"/>
    <w:rsid w:val="00B44FDA"/>
    <w:rsid w:val="00B463B6"/>
    <w:rsid w:val="00B47F78"/>
    <w:rsid w:val="00B50479"/>
    <w:rsid w:val="00B526C4"/>
    <w:rsid w:val="00B558CD"/>
    <w:rsid w:val="00B5636E"/>
    <w:rsid w:val="00B5729E"/>
    <w:rsid w:val="00B57B89"/>
    <w:rsid w:val="00B60FB4"/>
    <w:rsid w:val="00B62CCA"/>
    <w:rsid w:val="00B62FBD"/>
    <w:rsid w:val="00B65FB6"/>
    <w:rsid w:val="00B65FF1"/>
    <w:rsid w:val="00B6601C"/>
    <w:rsid w:val="00B6655C"/>
    <w:rsid w:val="00B6673F"/>
    <w:rsid w:val="00B70B60"/>
    <w:rsid w:val="00B721E5"/>
    <w:rsid w:val="00B72939"/>
    <w:rsid w:val="00B73D20"/>
    <w:rsid w:val="00B74E26"/>
    <w:rsid w:val="00B76446"/>
    <w:rsid w:val="00B76CD6"/>
    <w:rsid w:val="00B77AED"/>
    <w:rsid w:val="00B77D26"/>
    <w:rsid w:val="00B8219B"/>
    <w:rsid w:val="00B84622"/>
    <w:rsid w:val="00B84970"/>
    <w:rsid w:val="00B85C7D"/>
    <w:rsid w:val="00B869F4"/>
    <w:rsid w:val="00B92D40"/>
    <w:rsid w:val="00B933ED"/>
    <w:rsid w:val="00B93896"/>
    <w:rsid w:val="00B94B14"/>
    <w:rsid w:val="00B95087"/>
    <w:rsid w:val="00B956AB"/>
    <w:rsid w:val="00B95F16"/>
    <w:rsid w:val="00BA1867"/>
    <w:rsid w:val="00BA22B0"/>
    <w:rsid w:val="00BA22F5"/>
    <w:rsid w:val="00BA3208"/>
    <w:rsid w:val="00BA47FB"/>
    <w:rsid w:val="00BB01FC"/>
    <w:rsid w:val="00BB3E23"/>
    <w:rsid w:val="00BB5096"/>
    <w:rsid w:val="00BB575C"/>
    <w:rsid w:val="00BB6587"/>
    <w:rsid w:val="00BC165B"/>
    <w:rsid w:val="00BC315E"/>
    <w:rsid w:val="00BC484A"/>
    <w:rsid w:val="00BC596F"/>
    <w:rsid w:val="00BC648F"/>
    <w:rsid w:val="00BC752C"/>
    <w:rsid w:val="00BD08B6"/>
    <w:rsid w:val="00BD09EB"/>
    <w:rsid w:val="00BD0A15"/>
    <w:rsid w:val="00BD0D89"/>
    <w:rsid w:val="00BD10DB"/>
    <w:rsid w:val="00BD1B00"/>
    <w:rsid w:val="00BD33F6"/>
    <w:rsid w:val="00BE0424"/>
    <w:rsid w:val="00BE0662"/>
    <w:rsid w:val="00BE1AC4"/>
    <w:rsid w:val="00BE1C89"/>
    <w:rsid w:val="00BE21CA"/>
    <w:rsid w:val="00BE2D8D"/>
    <w:rsid w:val="00BE2FF0"/>
    <w:rsid w:val="00BE68BF"/>
    <w:rsid w:val="00BE727B"/>
    <w:rsid w:val="00BE7A84"/>
    <w:rsid w:val="00BF0EEA"/>
    <w:rsid w:val="00BF2E1E"/>
    <w:rsid w:val="00BF4030"/>
    <w:rsid w:val="00BF4DDB"/>
    <w:rsid w:val="00BF6416"/>
    <w:rsid w:val="00BF7C16"/>
    <w:rsid w:val="00C00315"/>
    <w:rsid w:val="00C004B4"/>
    <w:rsid w:val="00C0057F"/>
    <w:rsid w:val="00C00864"/>
    <w:rsid w:val="00C025FE"/>
    <w:rsid w:val="00C03E8A"/>
    <w:rsid w:val="00C03F98"/>
    <w:rsid w:val="00C03FFB"/>
    <w:rsid w:val="00C04743"/>
    <w:rsid w:val="00C07163"/>
    <w:rsid w:val="00C1416E"/>
    <w:rsid w:val="00C1614B"/>
    <w:rsid w:val="00C162BA"/>
    <w:rsid w:val="00C202EA"/>
    <w:rsid w:val="00C21F2F"/>
    <w:rsid w:val="00C22ECD"/>
    <w:rsid w:val="00C25391"/>
    <w:rsid w:val="00C2553F"/>
    <w:rsid w:val="00C275F1"/>
    <w:rsid w:val="00C31717"/>
    <w:rsid w:val="00C332AC"/>
    <w:rsid w:val="00C34FAE"/>
    <w:rsid w:val="00C35B46"/>
    <w:rsid w:val="00C37062"/>
    <w:rsid w:val="00C377D7"/>
    <w:rsid w:val="00C40974"/>
    <w:rsid w:val="00C43C68"/>
    <w:rsid w:val="00C43EC0"/>
    <w:rsid w:val="00C440F6"/>
    <w:rsid w:val="00C4417A"/>
    <w:rsid w:val="00C4648A"/>
    <w:rsid w:val="00C46BE0"/>
    <w:rsid w:val="00C51AD1"/>
    <w:rsid w:val="00C53708"/>
    <w:rsid w:val="00C57943"/>
    <w:rsid w:val="00C57B55"/>
    <w:rsid w:val="00C60B7E"/>
    <w:rsid w:val="00C60C03"/>
    <w:rsid w:val="00C6380F"/>
    <w:rsid w:val="00C6491B"/>
    <w:rsid w:val="00C66721"/>
    <w:rsid w:val="00C66D65"/>
    <w:rsid w:val="00C6746A"/>
    <w:rsid w:val="00C676FE"/>
    <w:rsid w:val="00C70886"/>
    <w:rsid w:val="00C71831"/>
    <w:rsid w:val="00C72D4D"/>
    <w:rsid w:val="00C73930"/>
    <w:rsid w:val="00C73C52"/>
    <w:rsid w:val="00C74068"/>
    <w:rsid w:val="00C763B1"/>
    <w:rsid w:val="00C763D2"/>
    <w:rsid w:val="00C76DCE"/>
    <w:rsid w:val="00C77496"/>
    <w:rsid w:val="00C77B2F"/>
    <w:rsid w:val="00C80146"/>
    <w:rsid w:val="00C80CD7"/>
    <w:rsid w:val="00C82FCD"/>
    <w:rsid w:val="00C8394F"/>
    <w:rsid w:val="00C84AE4"/>
    <w:rsid w:val="00C85003"/>
    <w:rsid w:val="00C901BF"/>
    <w:rsid w:val="00C9052C"/>
    <w:rsid w:val="00C90AAC"/>
    <w:rsid w:val="00C912A1"/>
    <w:rsid w:val="00C913A9"/>
    <w:rsid w:val="00C926F4"/>
    <w:rsid w:val="00C92A85"/>
    <w:rsid w:val="00C92CA5"/>
    <w:rsid w:val="00C933D5"/>
    <w:rsid w:val="00C964E4"/>
    <w:rsid w:val="00C97139"/>
    <w:rsid w:val="00C97796"/>
    <w:rsid w:val="00CA1E03"/>
    <w:rsid w:val="00CA54B0"/>
    <w:rsid w:val="00CA6F27"/>
    <w:rsid w:val="00CA7F7A"/>
    <w:rsid w:val="00CB304D"/>
    <w:rsid w:val="00CB397D"/>
    <w:rsid w:val="00CB6601"/>
    <w:rsid w:val="00CB667C"/>
    <w:rsid w:val="00CB6AE4"/>
    <w:rsid w:val="00CB6B38"/>
    <w:rsid w:val="00CC04E8"/>
    <w:rsid w:val="00CC05C7"/>
    <w:rsid w:val="00CC0839"/>
    <w:rsid w:val="00CC097B"/>
    <w:rsid w:val="00CC2D2B"/>
    <w:rsid w:val="00CC5373"/>
    <w:rsid w:val="00CC5ECE"/>
    <w:rsid w:val="00CC7CB8"/>
    <w:rsid w:val="00CC7DBC"/>
    <w:rsid w:val="00CD2C75"/>
    <w:rsid w:val="00CD2D82"/>
    <w:rsid w:val="00CD4A17"/>
    <w:rsid w:val="00CD55D4"/>
    <w:rsid w:val="00CE0FC0"/>
    <w:rsid w:val="00CE3EBB"/>
    <w:rsid w:val="00CE6333"/>
    <w:rsid w:val="00CE657E"/>
    <w:rsid w:val="00CF0666"/>
    <w:rsid w:val="00CF08C1"/>
    <w:rsid w:val="00CF0F7B"/>
    <w:rsid w:val="00CF1C65"/>
    <w:rsid w:val="00CF1EAF"/>
    <w:rsid w:val="00CF2080"/>
    <w:rsid w:val="00CF4097"/>
    <w:rsid w:val="00CF50FA"/>
    <w:rsid w:val="00CF629D"/>
    <w:rsid w:val="00CF64F5"/>
    <w:rsid w:val="00CF685B"/>
    <w:rsid w:val="00D0105F"/>
    <w:rsid w:val="00D023AD"/>
    <w:rsid w:val="00D03A06"/>
    <w:rsid w:val="00D05F2A"/>
    <w:rsid w:val="00D13AB0"/>
    <w:rsid w:val="00D14CAB"/>
    <w:rsid w:val="00D14FDE"/>
    <w:rsid w:val="00D153B8"/>
    <w:rsid w:val="00D15C0A"/>
    <w:rsid w:val="00D15EE4"/>
    <w:rsid w:val="00D17FDD"/>
    <w:rsid w:val="00D2392F"/>
    <w:rsid w:val="00D25F62"/>
    <w:rsid w:val="00D270D8"/>
    <w:rsid w:val="00D276D6"/>
    <w:rsid w:val="00D303EB"/>
    <w:rsid w:val="00D3148C"/>
    <w:rsid w:val="00D34079"/>
    <w:rsid w:val="00D341D9"/>
    <w:rsid w:val="00D361ED"/>
    <w:rsid w:val="00D37569"/>
    <w:rsid w:val="00D40434"/>
    <w:rsid w:val="00D43B46"/>
    <w:rsid w:val="00D44972"/>
    <w:rsid w:val="00D44F1A"/>
    <w:rsid w:val="00D45A87"/>
    <w:rsid w:val="00D465A5"/>
    <w:rsid w:val="00D51F17"/>
    <w:rsid w:val="00D54B98"/>
    <w:rsid w:val="00D55E03"/>
    <w:rsid w:val="00D61AC5"/>
    <w:rsid w:val="00D6229F"/>
    <w:rsid w:val="00D62689"/>
    <w:rsid w:val="00D62A11"/>
    <w:rsid w:val="00D62CB5"/>
    <w:rsid w:val="00D62E1A"/>
    <w:rsid w:val="00D6380E"/>
    <w:rsid w:val="00D648A6"/>
    <w:rsid w:val="00D64E11"/>
    <w:rsid w:val="00D65040"/>
    <w:rsid w:val="00D65868"/>
    <w:rsid w:val="00D65E7F"/>
    <w:rsid w:val="00D65F34"/>
    <w:rsid w:val="00D66112"/>
    <w:rsid w:val="00D671AE"/>
    <w:rsid w:val="00D67D6A"/>
    <w:rsid w:val="00D67E1E"/>
    <w:rsid w:val="00D7013C"/>
    <w:rsid w:val="00D70980"/>
    <w:rsid w:val="00D7105D"/>
    <w:rsid w:val="00D748B3"/>
    <w:rsid w:val="00D74AC6"/>
    <w:rsid w:val="00D74D66"/>
    <w:rsid w:val="00D75D28"/>
    <w:rsid w:val="00D76261"/>
    <w:rsid w:val="00D7751E"/>
    <w:rsid w:val="00D813E0"/>
    <w:rsid w:val="00D85DC9"/>
    <w:rsid w:val="00D9714C"/>
    <w:rsid w:val="00D97312"/>
    <w:rsid w:val="00DA0E5F"/>
    <w:rsid w:val="00DA11AD"/>
    <w:rsid w:val="00DA31D3"/>
    <w:rsid w:val="00DB27B6"/>
    <w:rsid w:val="00DB2B79"/>
    <w:rsid w:val="00DB4FCC"/>
    <w:rsid w:val="00DB7381"/>
    <w:rsid w:val="00DC2247"/>
    <w:rsid w:val="00DC32A6"/>
    <w:rsid w:val="00DD203E"/>
    <w:rsid w:val="00DD2698"/>
    <w:rsid w:val="00DD4D9E"/>
    <w:rsid w:val="00DD562F"/>
    <w:rsid w:val="00DD79C2"/>
    <w:rsid w:val="00DE2029"/>
    <w:rsid w:val="00DE2E94"/>
    <w:rsid w:val="00DE441F"/>
    <w:rsid w:val="00DE5282"/>
    <w:rsid w:val="00DF10A3"/>
    <w:rsid w:val="00DF2DCC"/>
    <w:rsid w:val="00DF3EC0"/>
    <w:rsid w:val="00DF48C8"/>
    <w:rsid w:val="00DF4C47"/>
    <w:rsid w:val="00DF4EF8"/>
    <w:rsid w:val="00DF5AD8"/>
    <w:rsid w:val="00E000A3"/>
    <w:rsid w:val="00E00D23"/>
    <w:rsid w:val="00E03FFD"/>
    <w:rsid w:val="00E048FB"/>
    <w:rsid w:val="00E04A03"/>
    <w:rsid w:val="00E10445"/>
    <w:rsid w:val="00E10669"/>
    <w:rsid w:val="00E11720"/>
    <w:rsid w:val="00E1243A"/>
    <w:rsid w:val="00E131BD"/>
    <w:rsid w:val="00E149A1"/>
    <w:rsid w:val="00E14EE8"/>
    <w:rsid w:val="00E15BC6"/>
    <w:rsid w:val="00E16FD8"/>
    <w:rsid w:val="00E202CD"/>
    <w:rsid w:val="00E20F77"/>
    <w:rsid w:val="00E22A91"/>
    <w:rsid w:val="00E26F20"/>
    <w:rsid w:val="00E27047"/>
    <w:rsid w:val="00E30068"/>
    <w:rsid w:val="00E3100A"/>
    <w:rsid w:val="00E32713"/>
    <w:rsid w:val="00E33C3E"/>
    <w:rsid w:val="00E34701"/>
    <w:rsid w:val="00E37C70"/>
    <w:rsid w:val="00E41F09"/>
    <w:rsid w:val="00E4308B"/>
    <w:rsid w:val="00E43D3D"/>
    <w:rsid w:val="00E43FC9"/>
    <w:rsid w:val="00E50E2E"/>
    <w:rsid w:val="00E50EEF"/>
    <w:rsid w:val="00E5281E"/>
    <w:rsid w:val="00E53D9F"/>
    <w:rsid w:val="00E54ADE"/>
    <w:rsid w:val="00E54FCD"/>
    <w:rsid w:val="00E55B5B"/>
    <w:rsid w:val="00E57041"/>
    <w:rsid w:val="00E60455"/>
    <w:rsid w:val="00E60AA0"/>
    <w:rsid w:val="00E61549"/>
    <w:rsid w:val="00E6179C"/>
    <w:rsid w:val="00E62290"/>
    <w:rsid w:val="00E67A5E"/>
    <w:rsid w:val="00E70169"/>
    <w:rsid w:val="00E733A9"/>
    <w:rsid w:val="00E81C02"/>
    <w:rsid w:val="00E820A6"/>
    <w:rsid w:val="00E83B79"/>
    <w:rsid w:val="00E842C5"/>
    <w:rsid w:val="00E84D37"/>
    <w:rsid w:val="00E84F77"/>
    <w:rsid w:val="00E8576E"/>
    <w:rsid w:val="00E86973"/>
    <w:rsid w:val="00E8703B"/>
    <w:rsid w:val="00E873CB"/>
    <w:rsid w:val="00E902DC"/>
    <w:rsid w:val="00E927F3"/>
    <w:rsid w:val="00E93FE4"/>
    <w:rsid w:val="00E95EB3"/>
    <w:rsid w:val="00E962D4"/>
    <w:rsid w:val="00E977DE"/>
    <w:rsid w:val="00E9783D"/>
    <w:rsid w:val="00EA1EB3"/>
    <w:rsid w:val="00EA2B3B"/>
    <w:rsid w:val="00EA366C"/>
    <w:rsid w:val="00EA3CC2"/>
    <w:rsid w:val="00EA4FC9"/>
    <w:rsid w:val="00EA525F"/>
    <w:rsid w:val="00EA7741"/>
    <w:rsid w:val="00EB1A3E"/>
    <w:rsid w:val="00EB2803"/>
    <w:rsid w:val="00EB3F0C"/>
    <w:rsid w:val="00EB504C"/>
    <w:rsid w:val="00EB609C"/>
    <w:rsid w:val="00EB7B5C"/>
    <w:rsid w:val="00EC2045"/>
    <w:rsid w:val="00EC2178"/>
    <w:rsid w:val="00EC4A87"/>
    <w:rsid w:val="00EC593A"/>
    <w:rsid w:val="00EC7525"/>
    <w:rsid w:val="00ED253E"/>
    <w:rsid w:val="00ED4539"/>
    <w:rsid w:val="00ED5915"/>
    <w:rsid w:val="00ED5938"/>
    <w:rsid w:val="00ED6065"/>
    <w:rsid w:val="00ED6A68"/>
    <w:rsid w:val="00ED754A"/>
    <w:rsid w:val="00EE05BC"/>
    <w:rsid w:val="00EE1E72"/>
    <w:rsid w:val="00EE2036"/>
    <w:rsid w:val="00EE5A3C"/>
    <w:rsid w:val="00EE5BFB"/>
    <w:rsid w:val="00EF09EA"/>
    <w:rsid w:val="00EF232A"/>
    <w:rsid w:val="00EF4415"/>
    <w:rsid w:val="00EF565B"/>
    <w:rsid w:val="00EF6747"/>
    <w:rsid w:val="00EF6AF4"/>
    <w:rsid w:val="00EF7EC4"/>
    <w:rsid w:val="00F03368"/>
    <w:rsid w:val="00F03C63"/>
    <w:rsid w:val="00F07472"/>
    <w:rsid w:val="00F0783D"/>
    <w:rsid w:val="00F10E7C"/>
    <w:rsid w:val="00F11CEB"/>
    <w:rsid w:val="00F129B0"/>
    <w:rsid w:val="00F13477"/>
    <w:rsid w:val="00F13676"/>
    <w:rsid w:val="00F137E9"/>
    <w:rsid w:val="00F15A56"/>
    <w:rsid w:val="00F16EB0"/>
    <w:rsid w:val="00F1772F"/>
    <w:rsid w:val="00F17E38"/>
    <w:rsid w:val="00F2149C"/>
    <w:rsid w:val="00F22BBD"/>
    <w:rsid w:val="00F2421C"/>
    <w:rsid w:val="00F24290"/>
    <w:rsid w:val="00F27329"/>
    <w:rsid w:val="00F304AA"/>
    <w:rsid w:val="00F30FC8"/>
    <w:rsid w:val="00F32A7A"/>
    <w:rsid w:val="00F33410"/>
    <w:rsid w:val="00F3367D"/>
    <w:rsid w:val="00F3500E"/>
    <w:rsid w:val="00F35256"/>
    <w:rsid w:val="00F35339"/>
    <w:rsid w:val="00F3787E"/>
    <w:rsid w:val="00F40B91"/>
    <w:rsid w:val="00F42893"/>
    <w:rsid w:val="00F4293F"/>
    <w:rsid w:val="00F437CA"/>
    <w:rsid w:val="00F440A5"/>
    <w:rsid w:val="00F44299"/>
    <w:rsid w:val="00F47D19"/>
    <w:rsid w:val="00F47F75"/>
    <w:rsid w:val="00F509CD"/>
    <w:rsid w:val="00F51F75"/>
    <w:rsid w:val="00F54152"/>
    <w:rsid w:val="00F548E1"/>
    <w:rsid w:val="00F54EF9"/>
    <w:rsid w:val="00F55AF8"/>
    <w:rsid w:val="00F5648E"/>
    <w:rsid w:val="00F614A2"/>
    <w:rsid w:val="00F62156"/>
    <w:rsid w:val="00F663DA"/>
    <w:rsid w:val="00F71957"/>
    <w:rsid w:val="00F7274B"/>
    <w:rsid w:val="00F7337E"/>
    <w:rsid w:val="00F84124"/>
    <w:rsid w:val="00F852C0"/>
    <w:rsid w:val="00F85670"/>
    <w:rsid w:val="00F87B73"/>
    <w:rsid w:val="00F91357"/>
    <w:rsid w:val="00F939E2"/>
    <w:rsid w:val="00F9497C"/>
    <w:rsid w:val="00F96055"/>
    <w:rsid w:val="00F96789"/>
    <w:rsid w:val="00F97BAB"/>
    <w:rsid w:val="00F97EB0"/>
    <w:rsid w:val="00FA02FB"/>
    <w:rsid w:val="00FA18CA"/>
    <w:rsid w:val="00FA2722"/>
    <w:rsid w:val="00FA2A38"/>
    <w:rsid w:val="00FA6B9C"/>
    <w:rsid w:val="00FB0822"/>
    <w:rsid w:val="00FB2B62"/>
    <w:rsid w:val="00FB2F9C"/>
    <w:rsid w:val="00FB39E3"/>
    <w:rsid w:val="00FB42BD"/>
    <w:rsid w:val="00FB48A1"/>
    <w:rsid w:val="00FB49F6"/>
    <w:rsid w:val="00FB5D12"/>
    <w:rsid w:val="00FB6733"/>
    <w:rsid w:val="00FC00B0"/>
    <w:rsid w:val="00FC1EE1"/>
    <w:rsid w:val="00FC37D0"/>
    <w:rsid w:val="00FC4938"/>
    <w:rsid w:val="00FC5510"/>
    <w:rsid w:val="00FC5F2B"/>
    <w:rsid w:val="00FC7E1A"/>
    <w:rsid w:val="00FD0630"/>
    <w:rsid w:val="00FD0819"/>
    <w:rsid w:val="00FD4F66"/>
    <w:rsid w:val="00FD7DC6"/>
    <w:rsid w:val="00FE590B"/>
    <w:rsid w:val="00FE5E09"/>
    <w:rsid w:val="00FE7958"/>
    <w:rsid w:val="00FF0945"/>
    <w:rsid w:val="00FF16BE"/>
    <w:rsid w:val="00FF4380"/>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NormalWeb">
    <w:name w:val="Normal (Web)"/>
    <w:basedOn w:val="Normal"/>
    <w:uiPriority w:val="99"/>
    <w:unhideWhenUsed/>
    <w:rsid w:val="00394F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ighlight">
    <w:name w:val="highlight"/>
    <w:basedOn w:val="DefaultParagraphFont"/>
    <w:rsid w:val="00E61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NormalWeb">
    <w:name w:val="Normal (Web)"/>
    <w:basedOn w:val="Normal"/>
    <w:uiPriority w:val="99"/>
    <w:unhideWhenUsed/>
    <w:rsid w:val="00394F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ighlight">
    <w:name w:val="highlight"/>
    <w:basedOn w:val="DefaultParagraphFont"/>
    <w:rsid w:val="00E6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360087316">
      <w:bodyDiv w:val="1"/>
      <w:marLeft w:val="0"/>
      <w:marRight w:val="0"/>
      <w:marTop w:val="0"/>
      <w:marBottom w:val="0"/>
      <w:divBdr>
        <w:top w:val="none" w:sz="0" w:space="0" w:color="auto"/>
        <w:left w:val="none" w:sz="0" w:space="0" w:color="auto"/>
        <w:bottom w:val="none" w:sz="0" w:space="0" w:color="auto"/>
        <w:right w:val="none" w:sz="0" w:space="0" w:color="auto"/>
      </w:divBdr>
    </w:div>
    <w:div w:id="960495647">
      <w:bodyDiv w:val="1"/>
      <w:marLeft w:val="0"/>
      <w:marRight w:val="0"/>
      <w:marTop w:val="0"/>
      <w:marBottom w:val="0"/>
      <w:divBdr>
        <w:top w:val="none" w:sz="0" w:space="0" w:color="auto"/>
        <w:left w:val="none" w:sz="0" w:space="0" w:color="auto"/>
        <w:bottom w:val="none" w:sz="0" w:space="0" w:color="auto"/>
        <w:right w:val="none" w:sz="0" w:space="0" w:color="auto"/>
      </w:divBdr>
      <w:divsChild>
        <w:div w:id="457989547">
          <w:marLeft w:val="0"/>
          <w:marRight w:val="0"/>
          <w:marTop w:val="15"/>
          <w:marBottom w:val="0"/>
          <w:divBdr>
            <w:top w:val="single" w:sz="48" w:space="0" w:color="auto"/>
            <w:left w:val="single" w:sz="48" w:space="0" w:color="auto"/>
            <w:bottom w:val="single" w:sz="48" w:space="0" w:color="auto"/>
            <w:right w:val="single" w:sz="48" w:space="0" w:color="auto"/>
          </w:divBdr>
          <w:divsChild>
            <w:div w:id="729691180">
              <w:marLeft w:val="0"/>
              <w:marRight w:val="0"/>
              <w:marTop w:val="0"/>
              <w:marBottom w:val="0"/>
              <w:divBdr>
                <w:top w:val="none" w:sz="0" w:space="0" w:color="auto"/>
                <w:left w:val="none" w:sz="0" w:space="0" w:color="auto"/>
                <w:bottom w:val="none" w:sz="0" w:space="0" w:color="auto"/>
                <w:right w:val="none" w:sz="0" w:space="0" w:color="auto"/>
              </w:divBdr>
            </w:div>
          </w:divsChild>
        </w:div>
        <w:div w:id="675964476">
          <w:marLeft w:val="0"/>
          <w:marRight w:val="0"/>
          <w:marTop w:val="15"/>
          <w:marBottom w:val="0"/>
          <w:divBdr>
            <w:top w:val="single" w:sz="48" w:space="0" w:color="auto"/>
            <w:left w:val="single" w:sz="48" w:space="0" w:color="auto"/>
            <w:bottom w:val="single" w:sz="48" w:space="0" w:color="auto"/>
            <w:right w:val="single" w:sz="48" w:space="0" w:color="auto"/>
          </w:divBdr>
          <w:divsChild>
            <w:div w:id="1226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433626704">
      <w:bodyDiv w:val="1"/>
      <w:marLeft w:val="0"/>
      <w:marRight w:val="0"/>
      <w:marTop w:val="0"/>
      <w:marBottom w:val="0"/>
      <w:divBdr>
        <w:top w:val="none" w:sz="0" w:space="0" w:color="auto"/>
        <w:left w:val="none" w:sz="0" w:space="0" w:color="auto"/>
        <w:bottom w:val="none" w:sz="0" w:space="0" w:color="auto"/>
        <w:right w:val="none" w:sz="0" w:space="0" w:color="auto"/>
      </w:divBdr>
      <w:divsChild>
        <w:div w:id="619801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180308">
      <w:bodyDiv w:val="1"/>
      <w:marLeft w:val="0"/>
      <w:marRight w:val="0"/>
      <w:marTop w:val="0"/>
      <w:marBottom w:val="0"/>
      <w:divBdr>
        <w:top w:val="none" w:sz="0" w:space="0" w:color="auto"/>
        <w:left w:val="none" w:sz="0" w:space="0" w:color="auto"/>
        <w:bottom w:val="none" w:sz="0" w:space="0" w:color="auto"/>
        <w:right w:val="none" w:sz="0" w:space="0" w:color="auto"/>
      </w:divBdr>
      <w:divsChild>
        <w:div w:id="773355677">
          <w:marLeft w:val="0"/>
          <w:marRight w:val="0"/>
          <w:marTop w:val="15"/>
          <w:marBottom w:val="0"/>
          <w:divBdr>
            <w:top w:val="single" w:sz="48" w:space="0" w:color="auto"/>
            <w:left w:val="single" w:sz="48" w:space="0" w:color="auto"/>
            <w:bottom w:val="single" w:sz="48" w:space="0" w:color="auto"/>
            <w:right w:val="single" w:sz="48" w:space="0" w:color="auto"/>
          </w:divBdr>
          <w:divsChild>
            <w:div w:id="800615266">
              <w:marLeft w:val="0"/>
              <w:marRight w:val="0"/>
              <w:marTop w:val="0"/>
              <w:marBottom w:val="0"/>
              <w:divBdr>
                <w:top w:val="none" w:sz="0" w:space="0" w:color="auto"/>
                <w:left w:val="none" w:sz="0" w:space="0" w:color="auto"/>
                <w:bottom w:val="none" w:sz="0" w:space="0" w:color="auto"/>
                <w:right w:val="none" w:sz="0" w:space="0" w:color="auto"/>
              </w:divBdr>
            </w:div>
          </w:divsChild>
        </w:div>
        <w:div w:id="2134402067">
          <w:marLeft w:val="0"/>
          <w:marRight w:val="0"/>
          <w:marTop w:val="15"/>
          <w:marBottom w:val="0"/>
          <w:divBdr>
            <w:top w:val="single" w:sz="48" w:space="0" w:color="auto"/>
            <w:left w:val="single" w:sz="48" w:space="0" w:color="auto"/>
            <w:bottom w:val="single" w:sz="48" w:space="0" w:color="auto"/>
            <w:right w:val="single" w:sz="48" w:space="0" w:color="auto"/>
          </w:divBdr>
          <w:divsChild>
            <w:div w:id="11280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 w:id="1792480621">
      <w:bodyDiv w:val="1"/>
      <w:marLeft w:val="0"/>
      <w:marRight w:val="0"/>
      <w:marTop w:val="0"/>
      <w:marBottom w:val="0"/>
      <w:divBdr>
        <w:top w:val="none" w:sz="0" w:space="0" w:color="auto"/>
        <w:left w:val="none" w:sz="0" w:space="0" w:color="auto"/>
        <w:bottom w:val="none" w:sz="0" w:space="0" w:color="auto"/>
        <w:right w:val="none" w:sz="0" w:space="0" w:color="auto"/>
      </w:divBdr>
      <w:divsChild>
        <w:div w:id="453983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901223">
      <w:bodyDiv w:val="1"/>
      <w:marLeft w:val="0"/>
      <w:marRight w:val="0"/>
      <w:marTop w:val="0"/>
      <w:marBottom w:val="0"/>
      <w:divBdr>
        <w:top w:val="none" w:sz="0" w:space="0" w:color="auto"/>
        <w:left w:val="none" w:sz="0" w:space="0" w:color="auto"/>
        <w:bottom w:val="none" w:sz="0" w:space="0" w:color="auto"/>
        <w:right w:val="none" w:sz="0" w:space="0" w:color="auto"/>
      </w:divBdr>
      <w:divsChild>
        <w:div w:id="531460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61600-EAB3-483F-A0C8-5CE9F123C88E}"/>
</file>

<file path=customXml/itemProps2.xml><?xml version="1.0" encoding="utf-8"?>
<ds:datastoreItem xmlns:ds="http://schemas.openxmlformats.org/officeDocument/2006/customXml" ds:itemID="{3E36FED5-7E4E-4246-9257-BEB9CD977A78}"/>
</file>

<file path=customXml/itemProps3.xml><?xml version="1.0" encoding="utf-8"?>
<ds:datastoreItem xmlns:ds="http://schemas.openxmlformats.org/officeDocument/2006/customXml" ds:itemID="{8E71BD3D-B1B4-4B6C-BC88-37B1198660A8}"/>
</file>

<file path=customXml/itemProps4.xml><?xml version="1.0" encoding="utf-8"?>
<ds:datastoreItem xmlns:ds="http://schemas.openxmlformats.org/officeDocument/2006/customXml" ds:itemID="{E160186C-7AC2-408C-962C-0D5E1F649E97}"/>
</file>

<file path=docProps/app.xml><?xml version="1.0" encoding="utf-8"?>
<Properties xmlns="http://schemas.openxmlformats.org/officeDocument/2006/extended-properties" xmlns:vt="http://schemas.openxmlformats.org/officeDocument/2006/docPropsVTypes">
  <Template>Normal.dotm</Template>
  <TotalTime>0</TotalTime>
  <Pages>17</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2019-12-05T06:52:00Z</cp:lastPrinted>
  <dcterms:created xsi:type="dcterms:W3CDTF">2022-01-12T07:56:00Z</dcterms:created>
  <dcterms:modified xsi:type="dcterms:W3CDTF">2022-01-12T07:56:00Z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