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Pr="005B080A" w:rsidRDefault="00142789" w:rsidP="00AB3DEA">
      <w:pPr>
        <w:jc w:val="center"/>
        <w:rPr>
          <w:rFonts w:ascii="Arial" w:hAnsi="Arial" w:cs="Arial"/>
          <w:b/>
          <w:sz w:val="24"/>
          <w:szCs w:val="24"/>
        </w:rPr>
      </w:pPr>
      <w:r>
        <w:rPr>
          <w:rFonts w:ascii="Arial" w:hAnsi="Arial" w:cs="Arial"/>
          <w:b/>
          <w:sz w:val="24"/>
          <w:szCs w:val="24"/>
        </w:rPr>
        <w:t>RULING</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4B2814">
        <w:rPr>
          <w:rFonts w:ascii="Arial" w:hAnsi="Arial" w:cs="Arial"/>
          <w:b/>
          <w:sz w:val="24"/>
          <w:szCs w:val="24"/>
        </w:rPr>
        <w:t>9</w:t>
      </w:r>
      <w:r w:rsidRPr="005B080A">
        <w:rPr>
          <w:rFonts w:ascii="Arial" w:hAnsi="Arial" w:cs="Arial"/>
          <w:b/>
          <w:sz w:val="24"/>
          <w:szCs w:val="24"/>
        </w:rPr>
        <w:t>/</w:t>
      </w:r>
      <w:r w:rsidR="004B2814">
        <w:rPr>
          <w:rFonts w:ascii="Arial" w:hAnsi="Arial" w:cs="Arial"/>
          <w:b/>
          <w:sz w:val="24"/>
          <w:szCs w:val="24"/>
        </w:rPr>
        <w:t>21</w:t>
      </w: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177109">
        <w:rPr>
          <w:rFonts w:ascii="Arial" w:hAnsi="Arial" w:cs="Arial"/>
          <w:b/>
          <w:sz w:val="24"/>
          <w:szCs w:val="24"/>
        </w:rPr>
        <w:t xml:space="preserve">Acting </w:t>
      </w:r>
      <w:r w:rsidRPr="005B080A">
        <w:rPr>
          <w:rFonts w:ascii="Arial" w:hAnsi="Arial" w:cs="Arial"/>
          <w:b/>
          <w:sz w:val="24"/>
          <w:szCs w:val="24"/>
        </w:rPr>
        <w:t>President</w:t>
      </w:r>
    </w:p>
    <w:p w:rsidR="00AB3DEA" w:rsidRPr="005B080A" w:rsidRDefault="00164CD5" w:rsidP="00AB3DEA">
      <w:pPr>
        <w:ind w:left="1440" w:firstLine="720"/>
        <w:jc w:val="both"/>
        <w:rPr>
          <w:rFonts w:ascii="Arial" w:hAnsi="Arial" w:cs="Arial"/>
          <w:b/>
          <w:sz w:val="24"/>
          <w:szCs w:val="24"/>
        </w:rPr>
      </w:pPr>
      <w:r>
        <w:rPr>
          <w:rFonts w:ascii="Arial" w:hAnsi="Arial" w:cs="Arial"/>
          <w:b/>
          <w:sz w:val="24"/>
          <w:szCs w:val="24"/>
        </w:rPr>
        <w:t>Raffick Hossenbaccus</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rsidR="00AB3DEA" w:rsidRPr="005B080A" w:rsidRDefault="00164CD5" w:rsidP="00AB3DEA">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164CD5">
        <w:rPr>
          <w:rFonts w:ascii="Arial" w:hAnsi="Arial" w:cs="Arial"/>
          <w:b/>
          <w:sz w:val="24"/>
          <w:szCs w:val="24"/>
        </w:rPr>
        <w:t xml:space="preserve">Ghianeswar Gokhool </w:t>
      </w:r>
      <w:r w:rsidR="00CA6F27">
        <w:rPr>
          <w:rFonts w:ascii="Arial" w:hAnsi="Arial" w:cs="Arial"/>
          <w:b/>
          <w:sz w:val="24"/>
          <w:szCs w:val="24"/>
        </w:rPr>
        <w:t xml:space="preserve">      </w:t>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840B0B" w:rsidRPr="005B080A" w:rsidRDefault="00840B0B"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CA6F27">
        <w:rPr>
          <w:rFonts w:ascii="Arial" w:hAnsi="Arial" w:cs="Arial"/>
          <w:b/>
          <w:sz w:val="24"/>
          <w:szCs w:val="24"/>
        </w:rPr>
        <w:t xml:space="preserve"> </w:t>
      </w:r>
      <w:r w:rsidR="004B2814">
        <w:rPr>
          <w:rFonts w:ascii="Arial" w:hAnsi="Arial" w:cs="Arial"/>
          <w:b/>
          <w:sz w:val="24"/>
          <w:szCs w:val="24"/>
        </w:rPr>
        <w:t>Vikash Beeharry</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Pr="005668AE" w:rsidRDefault="004B2814" w:rsidP="00AB3DEA">
      <w:pPr>
        <w:ind w:left="1440" w:firstLine="720"/>
        <w:jc w:val="center"/>
        <w:rPr>
          <w:rFonts w:ascii="Arial" w:hAnsi="Arial" w:cs="Arial"/>
          <w:b/>
          <w:sz w:val="28"/>
          <w:szCs w:val="28"/>
          <w:lang w:val="fr-FR"/>
        </w:rPr>
      </w:pPr>
      <w:r w:rsidRPr="005668AE">
        <w:rPr>
          <w:rFonts w:ascii="Arial" w:hAnsi="Arial" w:cs="Arial"/>
          <w:b/>
          <w:sz w:val="24"/>
          <w:szCs w:val="24"/>
          <w:lang w:val="fr-FR"/>
        </w:rPr>
        <w:t>Multi Carrier (</w:t>
      </w:r>
      <w:r w:rsidR="00CA6F27" w:rsidRPr="005668AE">
        <w:rPr>
          <w:rFonts w:ascii="Arial" w:hAnsi="Arial" w:cs="Arial"/>
          <w:b/>
          <w:sz w:val="24"/>
          <w:szCs w:val="24"/>
          <w:lang w:val="fr-FR"/>
        </w:rPr>
        <w:t>Mauritius</w:t>
      </w:r>
      <w:r w:rsidRPr="005668AE">
        <w:rPr>
          <w:rFonts w:ascii="Arial" w:hAnsi="Arial" w:cs="Arial"/>
          <w:b/>
          <w:sz w:val="24"/>
          <w:szCs w:val="24"/>
          <w:lang w:val="fr-FR"/>
        </w:rPr>
        <w:t>)</w:t>
      </w:r>
      <w:r w:rsidR="00CA6F27" w:rsidRPr="005668AE">
        <w:rPr>
          <w:rFonts w:ascii="Arial" w:hAnsi="Arial" w:cs="Arial"/>
          <w:b/>
          <w:sz w:val="24"/>
          <w:szCs w:val="24"/>
          <w:lang w:val="fr-FR"/>
        </w:rPr>
        <w:t xml:space="preserve"> </w:t>
      </w:r>
      <w:r w:rsidR="00E37C70" w:rsidRPr="005668AE">
        <w:rPr>
          <w:rFonts w:ascii="Arial" w:hAnsi="Arial" w:cs="Arial"/>
          <w:b/>
          <w:sz w:val="24"/>
          <w:szCs w:val="24"/>
          <w:lang w:val="fr-FR"/>
        </w:rPr>
        <w:t>Ltd</w:t>
      </w:r>
      <w:r w:rsidR="00AB3DEA" w:rsidRPr="005668AE">
        <w:rPr>
          <w:rFonts w:ascii="Arial" w:hAnsi="Arial" w:cs="Arial"/>
          <w:b/>
          <w:sz w:val="24"/>
          <w:szCs w:val="24"/>
          <w:lang w:val="fr-FR"/>
        </w:rPr>
        <w:t xml:space="preserve"> (Respondent</w:t>
      </w:r>
      <w:r w:rsidR="00AB3DEA" w:rsidRPr="005668AE">
        <w:rPr>
          <w:rFonts w:ascii="Arial" w:hAnsi="Arial" w:cs="Arial"/>
          <w:b/>
          <w:sz w:val="28"/>
          <w:szCs w:val="28"/>
          <w:lang w:val="fr-FR"/>
        </w:rPr>
        <w:t>)</w:t>
      </w:r>
    </w:p>
    <w:p w:rsidR="00AA1FE5" w:rsidRPr="00591298" w:rsidRDefault="00CA6F27" w:rsidP="00CA6F27">
      <w:pPr>
        <w:jc w:val="center"/>
        <w:rPr>
          <w:rFonts w:ascii="Arial" w:hAnsi="Arial" w:cs="Arial"/>
          <w:sz w:val="24"/>
          <w:szCs w:val="24"/>
        </w:rPr>
      </w:pPr>
      <w:r w:rsidRPr="00CA6F27">
        <w:rPr>
          <w:rFonts w:ascii="Arial" w:hAnsi="Arial" w:cs="Arial"/>
          <w:b/>
          <w:sz w:val="24"/>
          <w:szCs w:val="24"/>
        </w:rPr>
        <w:t xml:space="preserve">I.P.O: </w:t>
      </w:r>
      <w:r w:rsidR="004B2814">
        <w:rPr>
          <w:rFonts w:ascii="Arial" w:hAnsi="Arial" w:cs="Arial"/>
          <w:b/>
          <w:sz w:val="24"/>
          <w:szCs w:val="24"/>
        </w:rPr>
        <w:t>Mr Visand Guness</w:t>
      </w:r>
      <w:r>
        <w:rPr>
          <w:rFonts w:ascii="Arial" w:hAnsi="Arial" w:cs="Arial"/>
          <w:b/>
          <w:sz w:val="24"/>
          <w:szCs w:val="24"/>
        </w:rPr>
        <w:t xml:space="preserve"> (Co-Respondent)</w:t>
      </w:r>
    </w:p>
    <w:p w:rsidR="00953EC7" w:rsidRDefault="00953EC7" w:rsidP="00F33410">
      <w:pPr>
        <w:ind w:firstLine="720"/>
        <w:jc w:val="center"/>
        <w:rPr>
          <w:rFonts w:ascii="Arial" w:hAnsi="Arial" w:cs="Arial"/>
          <w:b/>
          <w:sz w:val="24"/>
          <w:szCs w:val="24"/>
        </w:rPr>
      </w:pPr>
    </w:p>
    <w:p w:rsidR="00591298" w:rsidRDefault="00FB39E3" w:rsidP="00AB3DEA">
      <w:pPr>
        <w:jc w:val="both"/>
        <w:rPr>
          <w:rFonts w:ascii="Arial" w:hAnsi="Arial" w:cs="Arial"/>
          <w:sz w:val="24"/>
          <w:szCs w:val="24"/>
        </w:rPr>
      </w:pPr>
      <w:r w:rsidRPr="00FB39E3">
        <w:rPr>
          <w:rFonts w:ascii="Arial" w:hAnsi="Arial" w:cs="Arial"/>
          <w:sz w:val="24"/>
          <w:szCs w:val="24"/>
        </w:rPr>
        <w:t xml:space="preserve">The </w:t>
      </w:r>
      <w:r w:rsidR="00087A97">
        <w:rPr>
          <w:rFonts w:ascii="Arial" w:hAnsi="Arial" w:cs="Arial"/>
          <w:sz w:val="24"/>
          <w:szCs w:val="24"/>
        </w:rPr>
        <w:t>above</w:t>
      </w:r>
      <w:r w:rsidRPr="00FB39E3">
        <w:rPr>
          <w:rFonts w:ascii="Arial" w:hAnsi="Arial" w:cs="Arial"/>
          <w:sz w:val="24"/>
          <w:szCs w:val="24"/>
        </w:rPr>
        <w:t xml:space="preserve"> </w:t>
      </w:r>
      <w:r w:rsidR="00087A97">
        <w:rPr>
          <w:rFonts w:ascii="Arial" w:hAnsi="Arial" w:cs="Arial"/>
          <w:sz w:val="24"/>
          <w:szCs w:val="24"/>
        </w:rPr>
        <w:t>case</w:t>
      </w:r>
      <w:r w:rsidRPr="00FB39E3">
        <w:rPr>
          <w:rFonts w:ascii="Arial" w:hAnsi="Arial" w:cs="Arial"/>
          <w:sz w:val="24"/>
          <w:szCs w:val="24"/>
        </w:rPr>
        <w:t xml:space="preserve"> ha</w:t>
      </w:r>
      <w:r w:rsidR="004B2814">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69(</w:t>
      </w:r>
      <w:r w:rsidR="004B2814">
        <w:rPr>
          <w:rFonts w:ascii="Arial" w:hAnsi="Arial" w:cs="Arial"/>
          <w:sz w:val="24"/>
          <w:szCs w:val="24"/>
        </w:rPr>
        <w:t>9</w:t>
      </w:r>
      <w:r w:rsidRPr="00FB39E3">
        <w:rPr>
          <w:rFonts w:ascii="Arial" w:hAnsi="Arial" w:cs="Arial"/>
          <w:sz w:val="24"/>
          <w:szCs w:val="24"/>
        </w:rPr>
        <w:t>)</w:t>
      </w:r>
      <w:r w:rsidR="004B2814">
        <w:rPr>
          <w:rFonts w:ascii="Arial" w:hAnsi="Arial" w:cs="Arial"/>
          <w:sz w:val="24"/>
          <w:szCs w:val="24"/>
        </w:rPr>
        <w:t>(b)</w:t>
      </w:r>
      <w:r w:rsidRPr="00FB39E3">
        <w:rPr>
          <w:rFonts w:ascii="Arial" w:hAnsi="Arial" w:cs="Arial"/>
          <w:sz w:val="24"/>
          <w:szCs w:val="24"/>
        </w:rPr>
        <w:t xml:space="preserve"> of the Employment Relations Act (hereinafter referred to as “the Act”). </w:t>
      </w:r>
      <w:r>
        <w:rPr>
          <w:rFonts w:ascii="Arial" w:hAnsi="Arial" w:cs="Arial"/>
          <w:sz w:val="24"/>
          <w:szCs w:val="24"/>
        </w:rPr>
        <w:t xml:space="preserve"> </w:t>
      </w:r>
      <w:r w:rsidR="004B2814">
        <w:rPr>
          <w:rFonts w:ascii="Arial" w:hAnsi="Arial" w:cs="Arial"/>
          <w:sz w:val="24"/>
          <w:szCs w:val="24"/>
        </w:rPr>
        <w:t xml:space="preserve">The Co-Respondent was joined as a party in the present matter in the interests of justice and there </w:t>
      </w:r>
      <w:r w:rsidR="0045258A">
        <w:rPr>
          <w:rFonts w:ascii="Arial" w:hAnsi="Arial" w:cs="Arial"/>
          <w:sz w:val="24"/>
          <w:szCs w:val="24"/>
        </w:rPr>
        <w:t>was</w:t>
      </w:r>
      <w:r w:rsidR="004B2814">
        <w:rPr>
          <w:rFonts w:ascii="Arial" w:hAnsi="Arial" w:cs="Arial"/>
          <w:sz w:val="24"/>
          <w:szCs w:val="24"/>
        </w:rPr>
        <w:t xml:space="preserve"> no objection </w:t>
      </w:r>
      <w:r w:rsidR="0045258A">
        <w:rPr>
          <w:rFonts w:ascii="Arial" w:hAnsi="Arial" w:cs="Arial"/>
          <w:sz w:val="24"/>
          <w:szCs w:val="24"/>
        </w:rPr>
        <w:t xml:space="preserve">on the part of </w:t>
      </w:r>
      <w:r w:rsidR="004B2814">
        <w:rPr>
          <w:rFonts w:ascii="Arial" w:hAnsi="Arial" w:cs="Arial"/>
          <w:sz w:val="24"/>
          <w:szCs w:val="24"/>
        </w:rPr>
        <w:t>the Disputant and the Respondent.  All parties are assisted by Counsel</w:t>
      </w:r>
      <w:r w:rsidR="00591298">
        <w:rPr>
          <w:rFonts w:ascii="Arial" w:hAnsi="Arial" w:cs="Arial"/>
          <w:sz w:val="24"/>
          <w:szCs w:val="24"/>
        </w:rPr>
        <w:t>.</w:t>
      </w:r>
    </w:p>
    <w:p w:rsidR="00591298" w:rsidRDefault="00591298" w:rsidP="00AB3DEA">
      <w:pPr>
        <w:jc w:val="both"/>
        <w:rPr>
          <w:rFonts w:ascii="Arial" w:hAnsi="Arial" w:cs="Arial"/>
          <w:sz w:val="24"/>
          <w:szCs w:val="24"/>
        </w:rPr>
      </w:pPr>
      <w:r>
        <w:rPr>
          <w:rFonts w:ascii="Arial" w:hAnsi="Arial" w:cs="Arial"/>
          <w:sz w:val="24"/>
          <w:szCs w:val="24"/>
        </w:rPr>
        <w:t>The terms of reference of the dispute read as follows:</w:t>
      </w:r>
    </w:p>
    <w:p w:rsidR="00591298" w:rsidRPr="00591298" w:rsidRDefault="00591298" w:rsidP="00AB3DEA">
      <w:pPr>
        <w:jc w:val="both"/>
        <w:rPr>
          <w:rFonts w:ascii="Arial" w:hAnsi="Arial" w:cs="Arial"/>
          <w:i/>
          <w:sz w:val="24"/>
          <w:szCs w:val="24"/>
        </w:rPr>
      </w:pPr>
      <w:r w:rsidRPr="00591298">
        <w:rPr>
          <w:rFonts w:ascii="Arial" w:hAnsi="Arial" w:cs="Arial"/>
          <w:i/>
          <w:sz w:val="24"/>
          <w:szCs w:val="24"/>
        </w:rPr>
        <w:t xml:space="preserve">“Having been performing the duties for the post of Transmission Officer since </w:t>
      </w:r>
      <w:r w:rsidRPr="00591298">
        <w:rPr>
          <w:rFonts w:ascii="Arial" w:hAnsi="Arial" w:cs="Arial"/>
          <w:i/>
          <w:sz w:val="24"/>
          <w:szCs w:val="24"/>
          <w:u w:val="single"/>
        </w:rPr>
        <w:t xml:space="preserve">July 2011, </w:t>
      </w:r>
      <w:r w:rsidRPr="00591298">
        <w:rPr>
          <w:rFonts w:ascii="Arial" w:hAnsi="Arial" w:cs="Arial"/>
          <w:i/>
          <w:sz w:val="24"/>
          <w:szCs w:val="24"/>
        </w:rPr>
        <w:t xml:space="preserve">I Vikash Beeharry, should have been promoted to the post of Transmission Officer </w:t>
      </w:r>
      <w:r w:rsidRPr="00591298">
        <w:rPr>
          <w:rFonts w:ascii="Arial" w:hAnsi="Arial" w:cs="Arial"/>
          <w:i/>
          <w:sz w:val="24"/>
          <w:szCs w:val="24"/>
          <w:u w:val="single"/>
        </w:rPr>
        <w:t>at the same time</w:t>
      </w:r>
      <w:r w:rsidRPr="00591298">
        <w:rPr>
          <w:rFonts w:ascii="Arial" w:hAnsi="Arial" w:cs="Arial"/>
          <w:i/>
          <w:sz w:val="24"/>
          <w:szCs w:val="24"/>
        </w:rPr>
        <w:t xml:space="preserve"> as Mr Visand Guness, who was promoted to the post of Transmission Officer on 1</w:t>
      </w:r>
      <w:r w:rsidRPr="00591298">
        <w:rPr>
          <w:rFonts w:ascii="Arial" w:hAnsi="Arial" w:cs="Arial"/>
          <w:i/>
          <w:sz w:val="24"/>
          <w:szCs w:val="24"/>
          <w:vertAlign w:val="superscript"/>
        </w:rPr>
        <w:t>st</w:t>
      </w:r>
      <w:r w:rsidRPr="00591298">
        <w:rPr>
          <w:rFonts w:ascii="Arial" w:hAnsi="Arial" w:cs="Arial"/>
          <w:i/>
          <w:sz w:val="24"/>
          <w:szCs w:val="24"/>
        </w:rPr>
        <w:t xml:space="preserve"> April 2019 although he does not possess the qualifications required for the post.”  </w:t>
      </w:r>
    </w:p>
    <w:p w:rsidR="004B2814" w:rsidRDefault="004B2814" w:rsidP="00AB3DEA">
      <w:pPr>
        <w:jc w:val="both"/>
        <w:rPr>
          <w:rFonts w:ascii="Arial" w:hAnsi="Arial" w:cs="Arial"/>
          <w:sz w:val="24"/>
          <w:szCs w:val="24"/>
        </w:rPr>
      </w:pPr>
      <w:r>
        <w:rPr>
          <w:rFonts w:ascii="Arial" w:hAnsi="Arial" w:cs="Arial"/>
          <w:sz w:val="24"/>
          <w:szCs w:val="24"/>
        </w:rPr>
        <w:t xml:space="preserve">Counsel for Co-Respondent has taken a preliminary objection which reads as follows: </w:t>
      </w:r>
    </w:p>
    <w:p w:rsidR="00591298" w:rsidRPr="00591298" w:rsidRDefault="004B2814" w:rsidP="004B2814">
      <w:pPr>
        <w:pStyle w:val="ListParagraph"/>
        <w:numPr>
          <w:ilvl w:val="0"/>
          <w:numId w:val="9"/>
        </w:numPr>
        <w:jc w:val="both"/>
        <w:rPr>
          <w:rFonts w:ascii="Arial" w:hAnsi="Arial" w:cs="Arial"/>
          <w:i/>
          <w:sz w:val="24"/>
          <w:szCs w:val="24"/>
        </w:rPr>
      </w:pPr>
      <w:r w:rsidRPr="00591298">
        <w:rPr>
          <w:rFonts w:ascii="Arial" w:hAnsi="Arial" w:cs="Arial"/>
          <w:i/>
          <w:sz w:val="24"/>
          <w:szCs w:val="24"/>
        </w:rPr>
        <w:lastRenderedPageBreak/>
        <w:t xml:space="preserve">The Employment Relations Tribunal does not have the jurisdiction to make an award ordering the Respondent to promote the Disputant to the post of Transmission Officer in the Transmission /Technology Department. </w:t>
      </w:r>
    </w:p>
    <w:p w:rsidR="00591298" w:rsidRPr="00591298" w:rsidRDefault="00591298" w:rsidP="004B2814">
      <w:pPr>
        <w:pStyle w:val="ListParagraph"/>
        <w:numPr>
          <w:ilvl w:val="0"/>
          <w:numId w:val="9"/>
        </w:numPr>
        <w:jc w:val="both"/>
        <w:rPr>
          <w:rFonts w:ascii="Arial" w:hAnsi="Arial" w:cs="Arial"/>
          <w:i/>
          <w:sz w:val="24"/>
          <w:szCs w:val="24"/>
        </w:rPr>
      </w:pPr>
      <w:r w:rsidRPr="00591298">
        <w:rPr>
          <w:rFonts w:ascii="Arial" w:hAnsi="Arial" w:cs="Arial"/>
          <w:i/>
          <w:sz w:val="24"/>
          <w:szCs w:val="24"/>
        </w:rPr>
        <w:t>The Co-Respondent, therefore, moves that the Disputant’s statement of case be set aside.</w:t>
      </w:r>
    </w:p>
    <w:p w:rsidR="00112006" w:rsidRDefault="00591298" w:rsidP="00591298">
      <w:pPr>
        <w:jc w:val="both"/>
        <w:rPr>
          <w:rFonts w:ascii="Arial" w:hAnsi="Arial" w:cs="Arial"/>
          <w:sz w:val="24"/>
          <w:szCs w:val="24"/>
        </w:rPr>
      </w:pPr>
      <w:r>
        <w:rPr>
          <w:rFonts w:ascii="Arial" w:hAnsi="Arial" w:cs="Arial"/>
          <w:sz w:val="24"/>
          <w:szCs w:val="24"/>
        </w:rPr>
        <w:t xml:space="preserve">The Disputant </w:t>
      </w:r>
      <w:r w:rsidR="00112006">
        <w:rPr>
          <w:rFonts w:ascii="Arial" w:hAnsi="Arial" w:cs="Arial"/>
          <w:sz w:val="24"/>
          <w:szCs w:val="24"/>
        </w:rPr>
        <w:t xml:space="preserve">is resisting the preliminary objection taken whilst the Respondent will abide by the decision of the Tribunal in relation to the preliminary objection.  </w:t>
      </w:r>
      <w:r>
        <w:rPr>
          <w:rFonts w:ascii="Arial" w:hAnsi="Arial" w:cs="Arial"/>
          <w:sz w:val="24"/>
          <w:szCs w:val="24"/>
        </w:rPr>
        <w:t xml:space="preserve">The Tribunal </w:t>
      </w:r>
      <w:r w:rsidR="00112006">
        <w:rPr>
          <w:rFonts w:ascii="Arial" w:hAnsi="Arial" w:cs="Arial"/>
          <w:sz w:val="24"/>
          <w:szCs w:val="24"/>
        </w:rPr>
        <w:t>hear</w:t>
      </w:r>
      <w:r w:rsidR="006F5372">
        <w:rPr>
          <w:rFonts w:ascii="Arial" w:hAnsi="Arial" w:cs="Arial"/>
          <w:sz w:val="24"/>
          <w:szCs w:val="24"/>
        </w:rPr>
        <w:t>d</w:t>
      </w:r>
      <w:r w:rsidR="00112006">
        <w:rPr>
          <w:rFonts w:ascii="Arial" w:hAnsi="Arial" w:cs="Arial"/>
          <w:sz w:val="24"/>
          <w:szCs w:val="24"/>
        </w:rPr>
        <w:t xml:space="preserve"> arguments on the preliminary point.  </w:t>
      </w:r>
    </w:p>
    <w:p w:rsidR="00800201" w:rsidRPr="00591298" w:rsidRDefault="004E03FC" w:rsidP="00591298">
      <w:pPr>
        <w:jc w:val="both"/>
        <w:rPr>
          <w:rFonts w:ascii="Arial" w:hAnsi="Arial" w:cs="Arial"/>
          <w:sz w:val="24"/>
          <w:szCs w:val="24"/>
        </w:rPr>
      </w:pPr>
      <w:r>
        <w:rPr>
          <w:rFonts w:ascii="Arial" w:hAnsi="Arial" w:cs="Arial"/>
          <w:sz w:val="24"/>
          <w:szCs w:val="24"/>
        </w:rPr>
        <w:t xml:space="preserve">Counsel for Co-Respondent referred to the case of </w:t>
      </w:r>
      <w:r w:rsidRPr="004E03FC">
        <w:rPr>
          <w:rFonts w:ascii="Arial" w:hAnsi="Arial" w:cs="Arial"/>
          <w:b/>
          <w:sz w:val="24"/>
          <w:szCs w:val="24"/>
        </w:rPr>
        <w:t>E.Cesar And C.W.A, RN 785</w:t>
      </w:r>
      <w:r>
        <w:rPr>
          <w:rFonts w:ascii="Arial" w:hAnsi="Arial" w:cs="Arial"/>
          <w:sz w:val="24"/>
          <w:szCs w:val="24"/>
        </w:rPr>
        <w:t xml:space="preserve"> </w:t>
      </w:r>
      <w:r w:rsidR="00591298">
        <w:rPr>
          <w:rFonts w:ascii="Arial" w:hAnsi="Arial" w:cs="Arial"/>
          <w:sz w:val="24"/>
          <w:szCs w:val="24"/>
        </w:rPr>
        <w:t xml:space="preserve"> </w:t>
      </w:r>
      <w:r>
        <w:rPr>
          <w:rFonts w:ascii="Arial" w:hAnsi="Arial" w:cs="Arial"/>
          <w:sz w:val="24"/>
          <w:szCs w:val="24"/>
        </w:rPr>
        <w:t>where the Permanent Arbitration Tribunal (as the Tribunal was then called)</w:t>
      </w:r>
      <w:r w:rsidR="006F5372">
        <w:rPr>
          <w:rFonts w:ascii="Arial" w:hAnsi="Arial" w:cs="Arial"/>
          <w:sz w:val="24"/>
          <w:szCs w:val="24"/>
        </w:rPr>
        <w:t>,</w:t>
      </w:r>
      <w:r>
        <w:rPr>
          <w:rFonts w:ascii="Arial" w:hAnsi="Arial" w:cs="Arial"/>
          <w:sz w:val="24"/>
          <w:szCs w:val="24"/>
        </w:rPr>
        <w:t xml:space="preserve"> referring to its earlier awards</w:t>
      </w:r>
      <w:r w:rsidR="006F5372">
        <w:rPr>
          <w:rFonts w:ascii="Arial" w:hAnsi="Arial" w:cs="Arial"/>
          <w:sz w:val="24"/>
          <w:szCs w:val="24"/>
        </w:rPr>
        <w:t>,</w:t>
      </w:r>
      <w:r>
        <w:rPr>
          <w:rFonts w:ascii="Arial" w:hAnsi="Arial" w:cs="Arial"/>
          <w:sz w:val="24"/>
          <w:szCs w:val="24"/>
        </w:rPr>
        <w:t xml:space="preserve"> stated that</w:t>
      </w:r>
      <w:r w:rsidR="006F5372">
        <w:rPr>
          <w:rFonts w:ascii="Arial" w:hAnsi="Arial" w:cs="Arial"/>
          <w:sz w:val="24"/>
          <w:szCs w:val="24"/>
        </w:rPr>
        <w:t>,</w:t>
      </w:r>
      <w:r>
        <w:rPr>
          <w:rFonts w:ascii="Arial" w:hAnsi="Arial" w:cs="Arial"/>
          <w:sz w:val="24"/>
          <w:szCs w:val="24"/>
        </w:rPr>
        <w:t xml:space="preserve"> subject to an abuse of powers on the part of management, matters regarding appointment and promotion of employees are essentially within the province of management.  Reference was also made to the ruling delivered in the case of </w:t>
      </w:r>
      <w:r w:rsidR="008E1C28" w:rsidRPr="006D0AB3">
        <w:rPr>
          <w:rFonts w:ascii="Arial" w:hAnsi="Arial" w:cs="Arial"/>
          <w:b/>
          <w:sz w:val="24"/>
          <w:szCs w:val="24"/>
        </w:rPr>
        <w:t>Mr L.Wilson And Municipal Council of Quatre Bornes, in presence of 1. Local Government Service Commission and 2. Pay Research Bureau, RN 104</w:t>
      </w:r>
      <w:r w:rsidR="008E1C28">
        <w:rPr>
          <w:rFonts w:ascii="Arial" w:hAnsi="Arial" w:cs="Arial"/>
          <w:b/>
          <w:sz w:val="24"/>
          <w:szCs w:val="24"/>
        </w:rPr>
        <w:t>/13</w:t>
      </w:r>
      <w:r w:rsidR="00FF603B" w:rsidRPr="00FF603B">
        <w:rPr>
          <w:rFonts w:ascii="Arial" w:hAnsi="Arial" w:cs="Arial"/>
          <w:sz w:val="24"/>
          <w:szCs w:val="24"/>
        </w:rPr>
        <w:t xml:space="preserve">. </w:t>
      </w:r>
      <w:r w:rsidR="00FF603B">
        <w:rPr>
          <w:rFonts w:ascii="Arial" w:hAnsi="Arial" w:cs="Arial"/>
          <w:b/>
          <w:sz w:val="24"/>
          <w:szCs w:val="24"/>
        </w:rPr>
        <w:t xml:space="preserve"> </w:t>
      </w:r>
      <w:r>
        <w:rPr>
          <w:rFonts w:ascii="Arial" w:hAnsi="Arial" w:cs="Arial"/>
          <w:sz w:val="24"/>
          <w:szCs w:val="24"/>
        </w:rPr>
        <w:t xml:space="preserve"> </w:t>
      </w:r>
      <w:r w:rsidR="00591298">
        <w:rPr>
          <w:rFonts w:ascii="Arial" w:hAnsi="Arial" w:cs="Arial"/>
          <w:sz w:val="24"/>
          <w:szCs w:val="24"/>
        </w:rPr>
        <w:t xml:space="preserve">  </w:t>
      </w:r>
      <w:r w:rsidR="00591298" w:rsidRPr="00591298">
        <w:rPr>
          <w:rFonts w:ascii="Arial" w:hAnsi="Arial" w:cs="Arial"/>
          <w:sz w:val="24"/>
          <w:szCs w:val="24"/>
        </w:rPr>
        <w:t xml:space="preserve">   </w:t>
      </w:r>
      <w:r w:rsidR="004B2814" w:rsidRPr="00591298">
        <w:rPr>
          <w:rFonts w:ascii="Arial" w:hAnsi="Arial" w:cs="Arial"/>
          <w:sz w:val="24"/>
          <w:szCs w:val="24"/>
        </w:rPr>
        <w:t xml:space="preserve">   </w:t>
      </w:r>
      <w:r w:rsidR="00BE0662" w:rsidRPr="00591298">
        <w:rPr>
          <w:rFonts w:ascii="Arial" w:hAnsi="Arial" w:cs="Arial"/>
          <w:sz w:val="24"/>
          <w:szCs w:val="24"/>
        </w:rPr>
        <w:t xml:space="preserve">  </w:t>
      </w:r>
    </w:p>
    <w:p w:rsidR="008A77CA" w:rsidRDefault="00FF603B" w:rsidP="00AB3DEA">
      <w:pPr>
        <w:jc w:val="both"/>
        <w:rPr>
          <w:rFonts w:ascii="Arial" w:hAnsi="Arial" w:cs="Arial"/>
          <w:sz w:val="24"/>
          <w:szCs w:val="24"/>
        </w:rPr>
      </w:pPr>
      <w:r>
        <w:rPr>
          <w:rFonts w:ascii="Arial" w:hAnsi="Arial" w:cs="Arial"/>
          <w:sz w:val="24"/>
          <w:szCs w:val="24"/>
        </w:rPr>
        <w:t xml:space="preserve">Counsel for Disputant </w:t>
      </w:r>
      <w:r w:rsidR="00DF28C7">
        <w:rPr>
          <w:rFonts w:ascii="Arial" w:hAnsi="Arial" w:cs="Arial"/>
          <w:sz w:val="24"/>
          <w:szCs w:val="24"/>
        </w:rPr>
        <w:t xml:space="preserve">referred to the case of </w:t>
      </w:r>
      <w:r w:rsidR="00DF28C7" w:rsidRPr="00866514">
        <w:rPr>
          <w:rFonts w:ascii="Arial" w:hAnsi="Arial" w:cs="Arial"/>
          <w:b/>
          <w:sz w:val="24"/>
          <w:szCs w:val="24"/>
        </w:rPr>
        <w:t>Rama v Vacoas Transport Co Ltd 1958</w:t>
      </w:r>
      <w:r w:rsidR="00E60455" w:rsidRPr="00866514">
        <w:rPr>
          <w:rFonts w:ascii="Arial" w:hAnsi="Arial" w:cs="Arial"/>
          <w:b/>
          <w:sz w:val="24"/>
          <w:szCs w:val="24"/>
        </w:rPr>
        <w:t xml:space="preserve"> </w:t>
      </w:r>
      <w:r w:rsidR="00DF28C7" w:rsidRPr="00866514">
        <w:rPr>
          <w:rFonts w:ascii="Arial" w:hAnsi="Arial" w:cs="Arial"/>
          <w:b/>
          <w:sz w:val="24"/>
          <w:szCs w:val="24"/>
        </w:rPr>
        <w:t>MR 184</w:t>
      </w:r>
      <w:r w:rsidR="00DF28C7">
        <w:rPr>
          <w:rFonts w:ascii="Arial" w:hAnsi="Arial" w:cs="Arial"/>
          <w:sz w:val="24"/>
          <w:szCs w:val="24"/>
        </w:rPr>
        <w:t xml:space="preserve"> where the Supreme Court held that where an objection </w:t>
      </w:r>
      <w:r w:rsidR="00DF28C7" w:rsidRPr="00DF28C7">
        <w:rPr>
          <w:rFonts w:ascii="Arial" w:hAnsi="Arial" w:cs="Arial"/>
          <w:i/>
          <w:sz w:val="24"/>
          <w:szCs w:val="24"/>
        </w:rPr>
        <w:t>in limine</w:t>
      </w:r>
      <w:r w:rsidR="00DF28C7">
        <w:rPr>
          <w:rFonts w:ascii="Arial" w:hAnsi="Arial" w:cs="Arial"/>
          <w:sz w:val="24"/>
          <w:szCs w:val="24"/>
        </w:rPr>
        <w:t xml:space="preserve"> is based on disputed facts, the court must hear the evidence before it can rule on the point of law and that the objection cannot be taken </w:t>
      </w:r>
      <w:r w:rsidR="00DF28C7" w:rsidRPr="00DF28C7">
        <w:rPr>
          <w:rFonts w:ascii="Arial" w:hAnsi="Arial" w:cs="Arial"/>
          <w:i/>
          <w:sz w:val="24"/>
          <w:szCs w:val="24"/>
        </w:rPr>
        <w:t>in limine</w:t>
      </w:r>
      <w:r w:rsidR="00DF28C7">
        <w:rPr>
          <w:rFonts w:ascii="Arial" w:hAnsi="Arial" w:cs="Arial"/>
          <w:sz w:val="24"/>
          <w:szCs w:val="24"/>
        </w:rPr>
        <w:t xml:space="preserve">.  He referred to the authority of the Tribunal to intervene whenever there is an abuse of authority or power by an employer.  He suggested that this </w:t>
      </w:r>
      <w:r w:rsidR="00DF6D38">
        <w:rPr>
          <w:rFonts w:ascii="Arial" w:hAnsi="Arial" w:cs="Arial"/>
          <w:sz w:val="24"/>
          <w:szCs w:val="24"/>
        </w:rPr>
        <w:t>i</w:t>
      </w:r>
      <w:r w:rsidR="00DF28C7">
        <w:rPr>
          <w:rFonts w:ascii="Arial" w:hAnsi="Arial" w:cs="Arial"/>
          <w:sz w:val="24"/>
          <w:szCs w:val="24"/>
        </w:rPr>
        <w:t xml:space="preserve">s </w:t>
      </w:r>
      <w:r w:rsidR="005C51BC">
        <w:rPr>
          <w:rFonts w:ascii="Arial" w:hAnsi="Arial" w:cs="Arial"/>
          <w:sz w:val="24"/>
          <w:szCs w:val="24"/>
        </w:rPr>
        <w:t>a case which warrants</w:t>
      </w:r>
      <w:r w:rsidR="00DF6D38">
        <w:rPr>
          <w:rFonts w:ascii="Arial" w:hAnsi="Arial" w:cs="Arial"/>
          <w:sz w:val="24"/>
          <w:szCs w:val="24"/>
        </w:rPr>
        <w:t xml:space="preserve"> the </w:t>
      </w:r>
      <w:r w:rsidR="005C51BC">
        <w:rPr>
          <w:rFonts w:ascii="Arial" w:hAnsi="Arial" w:cs="Arial"/>
          <w:sz w:val="24"/>
          <w:szCs w:val="24"/>
        </w:rPr>
        <w:t xml:space="preserve">intervention of the </w:t>
      </w:r>
      <w:r w:rsidR="00DF6D38">
        <w:rPr>
          <w:rFonts w:ascii="Arial" w:hAnsi="Arial" w:cs="Arial"/>
          <w:sz w:val="24"/>
          <w:szCs w:val="24"/>
        </w:rPr>
        <w:t xml:space="preserve">Tribunal.  </w:t>
      </w:r>
      <w:r w:rsidR="0082570F">
        <w:rPr>
          <w:rFonts w:ascii="Arial" w:hAnsi="Arial" w:cs="Arial"/>
          <w:sz w:val="24"/>
          <w:szCs w:val="24"/>
        </w:rPr>
        <w:t xml:space="preserve">He argued that the legislator intervened in 2008 to include specifically promotion within the jurisdiction of the Tribunal.  </w:t>
      </w:r>
      <w:r w:rsidR="00B9719D" w:rsidRPr="005668AE">
        <w:rPr>
          <w:rFonts w:ascii="Arial" w:hAnsi="Arial" w:cs="Arial"/>
          <w:sz w:val="24"/>
          <w:szCs w:val="24"/>
          <w:lang w:val="fr-FR"/>
        </w:rPr>
        <w:t xml:space="preserve">He </w:t>
      </w:r>
      <w:r w:rsidR="006F5372" w:rsidRPr="005668AE">
        <w:rPr>
          <w:rFonts w:ascii="Arial" w:hAnsi="Arial" w:cs="Arial"/>
          <w:sz w:val="24"/>
          <w:szCs w:val="24"/>
          <w:lang w:val="fr-FR"/>
        </w:rPr>
        <w:t xml:space="preserve">also </w:t>
      </w:r>
      <w:r w:rsidR="00B9719D" w:rsidRPr="005668AE">
        <w:rPr>
          <w:rFonts w:ascii="Arial" w:hAnsi="Arial" w:cs="Arial"/>
          <w:sz w:val="24"/>
          <w:szCs w:val="24"/>
          <w:lang w:val="fr-FR"/>
        </w:rPr>
        <w:t xml:space="preserve">referred to extracts from </w:t>
      </w:r>
      <w:r w:rsidR="00B9719D" w:rsidRPr="005668AE">
        <w:rPr>
          <w:rFonts w:ascii="Arial" w:hAnsi="Arial" w:cs="Arial"/>
          <w:i/>
          <w:sz w:val="24"/>
          <w:szCs w:val="24"/>
          <w:lang w:val="fr-FR"/>
        </w:rPr>
        <w:t>Dr. D. Kok Kan, Introduction au droit du travail mauricien, 1/Les relations individuelles de travail</w:t>
      </w:r>
      <w:r w:rsidR="00B9719D" w:rsidRPr="005668AE">
        <w:rPr>
          <w:rFonts w:ascii="Arial" w:hAnsi="Arial" w:cs="Arial"/>
          <w:sz w:val="24"/>
          <w:szCs w:val="24"/>
          <w:lang w:val="fr-FR"/>
        </w:rPr>
        <w:t xml:space="preserve">. </w:t>
      </w:r>
      <w:r w:rsidR="00DF28C7" w:rsidRPr="005668AE">
        <w:rPr>
          <w:rFonts w:ascii="Arial" w:hAnsi="Arial" w:cs="Arial"/>
          <w:sz w:val="24"/>
          <w:szCs w:val="24"/>
          <w:lang w:val="fr-FR"/>
        </w:rPr>
        <w:t xml:space="preserve">  </w:t>
      </w:r>
      <w:r w:rsidR="00866514">
        <w:rPr>
          <w:rFonts w:ascii="Arial" w:hAnsi="Arial" w:cs="Arial"/>
          <w:sz w:val="24"/>
          <w:szCs w:val="24"/>
        </w:rPr>
        <w:t xml:space="preserve">He </w:t>
      </w:r>
      <w:r w:rsidR="006F5372">
        <w:rPr>
          <w:rFonts w:ascii="Arial" w:hAnsi="Arial" w:cs="Arial"/>
          <w:sz w:val="24"/>
          <w:szCs w:val="24"/>
        </w:rPr>
        <w:t>then</w:t>
      </w:r>
      <w:r w:rsidR="001F3E50">
        <w:rPr>
          <w:rFonts w:ascii="Arial" w:hAnsi="Arial" w:cs="Arial"/>
          <w:sz w:val="24"/>
          <w:szCs w:val="24"/>
        </w:rPr>
        <w:t xml:space="preserve"> </w:t>
      </w:r>
      <w:r w:rsidR="00866514">
        <w:rPr>
          <w:rFonts w:ascii="Arial" w:hAnsi="Arial" w:cs="Arial"/>
          <w:sz w:val="24"/>
          <w:szCs w:val="24"/>
        </w:rPr>
        <w:t xml:space="preserve">referred </w:t>
      </w:r>
      <w:r w:rsidR="00C138FB">
        <w:rPr>
          <w:rFonts w:ascii="Arial" w:hAnsi="Arial" w:cs="Arial"/>
          <w:sz w:val="24"/>
          <w:szCs w:val="24"/>
        </w:rPr>
        <w:t xml:space="preserve">to the case of </w:t>
      </w:r>
      <w:r w:rsidR="00C138FB" w:rsidRPr="00C138FB">
        <w:rPr>
          <w:rFonts w:ascii="Arial" w:hAnsi="Arial" w:cs="Arial"/>
          <w:b/>
          <w:sz w:val="24"/>
          <w:szCs w:val="24"/>
        </w:rPr>
        <w:t>Mrs D.C.Y.P And The Sun Casinos Ltd, RN 202</w:t>
      </w:r>
      <w:r w:rsidR="00C138FB">
        <w:rPr>
          <w:rFonts w:ascii="Arial" w:hAnsi="Arial" w:cs="Arial"/>
          <w:sz w:val="24"/>
          <w:szCs w:val="24"/>
        </w:rPr>
        <w:t xml:space="preserve"> which he suggested was very similar to the present matter.  He argued that the then Permanent Arbitration Tribunal stated that it will intervene whenever there is an abuse.  </w:t>
      </w:r>
      <w:r w:rsidR="008A77CA">
        <w:rPr>
          <w:rFonts w:ascii="Arial" w:hAnsi="Arial" w:cs="Arial"/>
          <w:sz w:val="24"/>
          <w:szCs w:val="24"/>
        </w:rPr>
        <w:t xml:space="preserve">In reply, Counsel for Co-Respondent argued that there is no </w:t>
      </w:r>
      <w:r w:rsidR="006F5372">
        <w:rPr>
          <w:rFonts w:ascii="Arial" w:hAnsi="Arial" w:cs="Arial"/>
          <w:sz w:val="24"/>
          <w:szCs w:val="24"/>
        </w:rPr>
        <w:t>averment</w:t>
      </w:r>
      <w:r w:rsidR="008A77CA">
        <w:rPr>
          <w:rFonts w:ascii="Arial" w:hAnsi="Arial" w:cs="Arial"/>
          <w:sz w:val="24"/>
          <w:szCs w:val="24"/>
        </w:rPr>
        <w:t xml:space="preserve"> that the Respondent made an abuse of power or that the Tribunal should intervene to prevent an injustice.  </w:t>
      </w:r>
    </w:p>
    <w:p w:rsidR="00697BCA" w:rsidRDefault="008A77CA" w:rsidP="00697BCA">
      <w:pPr>
        <w:jc w:val="both"/>
        <w:rPr>
          <w:rFonts w:ascii="Arial" w:hAnsi="Arial" w:cs="Arial"/>
          <w:sz w:val="24"/>
          <w:szCs w:val="24"/>
        </w:rPr>
      </w:pPr>
      <w:r>
        <w:rPr>
          <w:rFonts w:ascii="Arial" w:hAnsi="Arial" w:cs="Arial"/>
          <w:sz w:val="24"/>
          <w:szCs w:val="24"/>
        </w:rPr>
        <w:t xml:space="preserve">The Tribunal has examined all the evidence on record including the arguments of both Counsel.  </w:t>
      </w:r>
      <w:r w:rsidR="00697BCA">
        <w:rPr>
          <w:rFonts w:ascii="Arial" w:hAnsi="Arial" w:cs="Arial"/>
          <w:sz w:val="24"/>
          <w:szCs w:val="24"/>
        </w:rPr>
        <w:t>“Labour dispute” is defined (the relevant part for the purposes of the preliminary objection) in section 2 of the Act as follows:</w:t>
      </w:r>
    </w:p>
    <w:p w:rsidR="00697BCA" w:rsidRDefault="00697BCA" w:rsidP="00697BCA">
      <w:pPr>
        <w:jc w:val="both"/>
        <w:rPr>
          <w:rFonts w:ascii="Arial" w:hAnsi="Arial" w:cs="Arial"/>
          <w:i/>
          <w:sz w:val="24"/>
          <w:szCs w:val="24"/>
        </w:rPr>
      </w:pPr>
      <w:r w:rsidRPr="00142914">
        <w:rPr>
          <w:rFonts w:ascii="Arial" w:hAnsi="Arial" w:cs="Arial"/>
          <w:i/>
          <w:sz w:val="24"/>
          <w:szCs w:val="24"/>
        </w:rPr>
        <w:t xml:space="preserve">“labour dispute” – </w:t>
      </w:r>
    </w:p>
    <w:p w:rsidR="00697BCA" w:rsidRPr="00697BCA" w:rsidRDefault="00697BCA" w:rsidP="00697BCA">
      <w:pPr>
        <w:pStyle w:val="ListParagraph"/>
        <w:numPr>
          <w:ilvl w:val="0"/>
          <w:numId w:val="10"/>
        </w:numPr>
        <w:jc w:val="both"/>
        <w:rPr>
          <w:rFonts w:ascii="Arial" w:hAnsi="Arial" w:cs="Arial"/>
          <w:i/>
          <w:sz w:val="24"/>
          <w:szCs w:val="24"/>
        </w:rPr>
      </w:pPr>
      <w:r w:rsidRPr="00697BCA">
        <w:rPr>
          <w:rFonts w:ascii="Arial" w:hAnsi="Arial" w:cs="Arial"/>
          <w:i/>
          <w:sz w:val="24"/>
          <w:szCs w:val="24"/>
        </w:rPr>
        <w:t xml:space="preserve">means a dispute between a worker, a recognised trade union of workers or a joint negotiating panel, and an employer which relates wholly or mainly to </w:t>
      </w:r>
      <w:r>
        <w:rPr>
          <w:rFonts w:ascii="Arial" w:hAnsi="Arial" w:cs="Arial"/>
          <w:i/>
          <w:sz w:val="24"/>
          <w:szCs w:val="24"/>
        </w:rPr>
        <w:t>–</w:t>
      </w:r>
    </w:p>
    <w:p w:rsidR="00697BCA" w:rsidRDefault="00697BCA" w:rsidP="00697BCA">
      <w:pPr>
        <w:pStyle w:val="ListParagraph"/>
        <w:numPr>
          <w:ilvl w:val="0"/>
          <w:numId w:val="11"/>
        </w:numPr>
        <w:jc w:val="both"/>
        <w:rPr>
          <w:rFonts w:ascii="Arial" w:hAnsi="Arial" w:cs="Arial"/>
          <w:i/>
          <w:sz w:val="24"/>
          <w:szCs w:val="24"/>
        </w:rPr>
      </w:pPr>
      <w:r>
        <w:rPr>
          <w:rFonts w:ascii="Arial" w:hAnsi="Arial" w:cs="Arial"/>
          <w:i/>
          <w:sz w:val="24"/>
          <w:szCs w:val="24"/>
        </w:rPr>
        <w:t xml:space="preserve">the </w:t>
      </w:r>
      <w:r w:rsidRPr="00697BCA">
        <w:rPr>
          <w:rFonts w:ascii="Arial" w:hAnsi="Arial" w:cs="Arial"/>
          <w:i/>
          <w:sz w:val="24"/>
          <w:szCs w:val="24"/>
        </w:rPr>
        <w:t>wages, terms and conditions of employment</w:t>
      </w:r>
      <w:r>
        <w:rPr>
          <w:rFonts w:ascii="Arial" w:hAnsi="Arial" w:cs="Arial"/>
          <w:i/>
          <w:sz w:val="24"/>
          <w:szCs w:val="24"/>
        </w:rPr>
        <w:t xml:space="preserve"> of</w:t>
      </w:r>
      <w:r w:rsidRPr="00697BCA">
        <w:rPr>
          <w:rFonts w:ascii="Arial" w:hAnsi="Arial" w:cs="Arial"/>
          <w:i/>
          <w:sz w:val="24"/>
          <w:szCs w:val="24"/>
        </w:rPr>
        <w:t>, promotion</w:t>
      </w:r>
      <w:r>
        <w:rPr>
          <w:rFonts w:ascii="Arial" w:hAnsi="Arial" w:cs="Arial"/>
          <w:i/>
          <w:sz w:val="24"/>
          <w:szCs w:val="24"/>
        </w:rPr>
        <w:t xml:space="preserve"> of</w:t>
      </w:r>
      <w:r w:rsidRPr="00697BCA">
        <w:rPr>
          <w:rFonts w:ascii="Arial" w:hAnsi="Arial" w:cs="Arial"/>
          <w:i/>
          <w:sz w:val="24"/>
          <w:szCs w:val="24"/>
        </w:rPr>
        <w:t xml:space="preserve">, </w:t>
      </w:r>
      <w:r>
        <w:rPr>
          <w:rFonts w:ascii="Arial" w:hAnsi="Arial" w:cs="Arial"/>
          <w:i/>
          <w:sz w:val="24"/>
          <w:szCs w:val="24"/>
        </w:rPr>
        <w:t xml:space="preserve">or </w:t>
      </w:r>
      <w:r w:rsidRPr="00697BCA">
        <w:rPr>
          <w:rFonts w:ascii="Arial" w:hAnsi="Arial" w:cs="Arial"/>
          <w:i/>
          <w:sz w:val="24"/>
          <w:szCs w:val="24"/>
        </w:rPr>
        <w:t xml:space="preserve">allocation of work </w:t>
      </w:r>
      <w:r>
        <w:rPr>
          <w:rFonts w:ascii="Arial" w:hAnsi="Arial" w:cs="Arial"/>
          <w:i/>
          <w:sz w:val="24"/>
          <w:szCs w:val="24"/>
        </w:rPr>
        <w:t>to, a</w:t>
      </w:r>
      <w:r w:rsidRPr="00697BCA">
        <w:rPr>
          <w:rFonts w:ascii="Arial" w:hAnsi="Arial" w:cs="Arial"/>
          <w:i/>
          <w:sz w:val="24"/>
          <w:szCs w:val="24"/>
        </w:rPr>
        <w:t xml:space="preserve"> worker </w:t>
      </w:r>
      <w:r>
        <w:rPr>
          <w:rFonts w:ascii="Arial" w:hAnsi="Arial" w:cs="Arial"/>
          <w:i/>
          <w:sz w:val="24"/>
          <w:szCs w:val="24"/>
        </w:rPr>
        <w:t>or</w:t>
      </w:r>
      <w:r w:rsidRPr="00697BCA">
        <w:rPr>
          <w:rFonts w:ascii="Arial" w:hAnsi="Arial" w:cs="Arial"/>
          <w:i/>
          <w:sz w:val="24"/>
          <w:szCs w:val="24"/>
        </w:rPr>
        <w:t xml:space="preserve"> group of workers</w:t>
      </w:r>
      <w:r>
        <w:rPr>
          <w:rFonts w:ascii="Arial" w:hAnsi="Arial" w:cs="Arial"/>
          <w:i/>
          <w:sz w:val="24"/>
          <w:szCs w:val="24"/>
        </w:rPr>
        <w:t>;</w:t>
      </w:r>
      <w:r w:rsidRPr="00697BCA">
        <w:rPr>
          <w:rFonts w:ascii="Arial" w:hAnsi="Arial" w:cs="Arial"/>
          <w:i/>
          <w:sz w:val="24"/>
          <w:szCs w:val="24"/>
        </w:rPr>
        <w:t xml:space="preserve"> </w:t>
      </w:r>
    </w:p>
    <w:p w:rsidR="00697BCA" w:rsidRPr="00697BCA" w:rsidRDefault="00697BCA" w:rsidP="00697BCA">
      <w:pPr>
        <w:pStyle w:val="ListParagraph"/>
        <w:numPr>
          <w:ilvl w:val="0"/>
          <w:numId w:val="11"/>
        </w:numPr>
        <w:jc w:val="both"/>
        <w:rPr>
          <w:rFonts w:ascii="Arial" w:hAnsi="Arial" w:cs="Arial"/>
          <w:i/>
          <w:sz w:val="24"/>
          <w:szCs w:val="24"/>
        </w:rPr>
      </w:pPr>
      <w:r>
        <w:rPr>
          <w:rFonts w:ascii="Arial" w:hAnsi="Arial" w:cs="Arial"/>
          <w:i/>
          <w:sz w:val="24"/>
          <w:szCs w:val="24"/>
        </w:rPr>
        <w:lastRenderedPageBreak/>
        <w:t xml:space="preserve">the </w:t>
      </w:r>
      <w:r w:rsidRPr="00697BCA">
        <w:rPr>
          <w:rFonts w:ascii="Arial" w:hAnsi="Arial" w:cs="Arial"/>
          <w:i/>
          <w:sz w:val="24"/>
          <w:szCs w:val="24"/>
        </w:rPr>
        <w:t xml:space="preserve">reinstatement </w:t>
      </w:r>
      <w:r>
        <w:rPr>
          <w:rFonts w:ascii="Arial" w:hAnsi="Arial" w:cs="Arial"/>
          <w:i/>
          <w:sz w:val="24"/>
          <w:szCs w:val="24"/>
        </w:rPr>
        <w:t>o</w:t>
      </w:r>
      <w:r w:rsidRPr="00697BCA">
        <w:rPr>
          <w:rFonts w:ascii="Arial" w:hAnsi="Arial" w:cs="Arial"/>
          <w:i/>
          <w:sz w:val="24"/>
          <w:szCs w:val="24"/>
        </w:rPr>
        <w:t xml:space="preserve">f a worker; </w:t>
      </w:r>
      <w:r>
        <w:rPr>
          <w:rFonts w:ascii="Arial" w:hAnsi="Arial" w:cs="Arial"/>
          <w:i/>
          <w:sz w:val="24"/>
          <w:szCs w:val="24"/>
        </w:rPr>
        <w:t>other than ….</w:t>
      </w:r>
    </w:p>
    <w:p w:rsidR="000B5DD5" w:rsidRDefault="00697BCA" w:rsidP="00AB3DEA">
      <w:pPr>
        <w:jc w:val="both"/>
        <w:rPr>
          <w:rFonts w:ascii="Arial" w:hAnsi="Arial" w:cs="Arial"/>
          <w:sz w:val="24"/>
          <w:szCs w:val="24"/>
        </w:rPr>
      </w:pPr>
      <w:r>
        <w:rPr>
          <w:rFonts w:ascii="Arial" w:hAnsi="Arial" w:cs="Arial"/>
          <w:sz w:val="24"/>
          <w:szCs w:val="24"/>
        </w:rPr>
        <w:t xml:space="preserve">The present dispute is a dispute between a worker, the Disputant, and an employer, that is, Respondent.  The dispute relates wholly or mainly to </w:t>
      </w:r>
      <w:r w:rsidR="000B5DD5">
        <w:rPr>
          <w:rFonts w:ascii="Arial" w:hAnsi="Arial" w:cs="Arial"/>
          <w:sz w:val="24"/>
          <w:szCs w:val="24"/>
        </w:rPr>
        <w:t>the promotion of Disputant as per the terms of reference where the dispute is whether Disputant should have been promoted to the post of Transmission Officer at the same time as Co-Respondent who was himself promoted to the said post on 1 April 2019.  The present dispute is clearly a labour dispute.  The dispute has been referred to the Tribunal under section 69(9)(b) of the Act which reads as follows:</w:t>
      </w:r>
    </w:p>
    <w:p w:rsidR="00970F8D" w:rsidRDefault="000B5DD5" w:rsidP="00AB3DEA">
      <w:pPr>
        <w:jc w:val="both"/>
        <w:rPr>
          <w:rFonts w:ascii="Arial" w:hAnsi="Arial" w:cs="Arial"/>
          <w:i/>
          <w:sz w:val="24"/>
          <w:szCs w:val="24"/>
          <w:shd w:val="clear" w:color="auto" w:fill="FFFFFF"/>
        </w:rPr>
      </w:pPr>
      <w:r w:rsidRPr="00970F8D">
        <w:rPr>
          <w:rFonts w:ascii="Arial" w:hAnsi="Arial" w:cs="Arial"/>
          <w:i/>
          <w:sz w:val="24"/>
          <w:szCs w:val="24"/>
        </w:rPr>
        <w:t xml:space="preserve">69 (9) </w:t>
      </w:r>
      <w:r w:rsidR="00970F8D" w:rsidRPr="00970F8D">
        <w:rPr>
          <w:rFonts w:ascii="Arial" w:hAnsi="Arial" w:cs="Arial"/>
          <w:i/>
          <w:sz w:val="24"/>
          <w:szCs w:val="24"/>
          <w:shd w:val="clear" w:color="auto" w:fill="FFFFFF"/>
        </w:rPr>
        <w:t>Where no agreement is reached under subsection (8), the Commission shall declare</w:t>
      </w:r>
      <w:r w:rsidR="00970F8D">
        <w:rPr>
          <w:rFonts w:ascii="Arial" w:hAnsi="Arial" w:cs="Arial"/>
          <w:i/>
          <w:sz w:val="24"/>
          <w:szCs w:val="24"/>
          <w:shd w:val="clear" w:color="auto" w:fill="FFFFFF"/>
        </w:rPr>
        <w:t xml:space="preserve"> </w:t>
      </w:r>
      <w:r w:rsidR="00970F8D" w:rsidRPr="00970F8D">
        <w:rPr>
          <w:rFonts w:ascii="Arial" w:hAnsi="Arial" w:cs="Arial"/>
          <w:i/>
          <w:sz w:val="24"/>
          <w:szCs w:val="24"/>
          <w:shd w:val="clear" w:color="auto" w:fill="FFFFFF"/>
        </w:rPr>
        <w:t>that a deadlock has been reached and the Commission shall –</w:t>
      </w:r>
    </w:p>
    <w:p w:rsidR="00970F8D" w:rsidRDefault="00970F8D" w:rsidP="00970F8D">
      <w:pPr>
        <w:ind w:left="1134" w:hanging="283"/>
        <w:jc w:val="both"/>
        <w:rPr>
          <w:rFonts w:ascii="Arial" w:hAnsi="Arial" w:cs="Arial"/>
          <w:i/>
          <w:sz w:val="24"/>
          <w:szCs w:val="24"/>
          <w:shd w:val="clear" w:color="auto" w:fill="FFFFFF"/>
        </w:rPr>
      </w:pPr>
      <w:r w:rsidRPr="00970F8D">
        <w:rPr>
          <w:rFonts w:ascii="Arial" w:hAnsi="Arial" w:cs="Arial"/>
          <w:i/>
          <w:sz w:val="24"/>
          <w:szCs w:val="24"/>
          <w:shd w:val="clear" w:color="auto" w:fill="FFFFFF"/>
        </w:rPr>
        <w:t>(a)</w:t>
      </w:r>
      <w:r>
        <w:rPr>
          <w:rFonts w:ascii="Arial" w:hAnsi="Arial" w:cs="Arial"/>
          <w:i/>
          <w:sz w:val="24"/>
          <w:szCs w:val="24"/>
          <w:shd w:val="clear" w:color="auto" w:fill="FFFFFF"/>
        </w:rPr>
        <w:t xml:space="preserve"> </w:t>
      </w:r>
      <w:r w:rsidRPr="00970F8D">
        <w:rPr>
          <w:rFonts w:ascii="Arial" w:hAnsi="Arial" w:cs="Arial"/>
          <w:i/>
          <w:sz w:val="24"/>
          <w:szCs w:val="24"/>
          <w:shd w:val="clear" w:color="auto" w:fill="FFFFFF"/>
        </w:rPr>
        <w:t>not later than 7 days after the date of the deadlock submit a report to that effect to the parties; and</w:t>
      </w:r>
    </w:p>
    <w:p w:rsidR="000B5DD5" w:rsidRPr="00970F8D" w:rsidRDefault="00970F8D" w:rsidP="00970F8D">
      <w:pPr>
        <w:ind w:left="1134" w:hanging="283"/>
        <w:jc w:val="both"/>
        <w:rPr>
          <w:rFonts w:ascii="Arial" w:hAnsi="Arial" w:cs="Arial"/>
          <w:i/>
          <w:sz w:val="24"/>
          <w:szCs w:val="24"/>
        </w:rPr>
      </w:pPr>
      <w:r w:rsidRPr="00970F8D">
        <w:rPr>
          <w:rFonts w:ascii="Arial" w:hAnsi="Arial" w:cs="Arial"/>
          <w:i/>
          <w:sz w:val="24"/>
          <w:szCs w:val="24"/>
          <w:shd w:val="clear" w:color="auto" w:fill="FFFFFF"/>
        </w:rPr>
        <w:t>(b)</w:t>
      </w:r>
      <w:r>
        <w:rPr>
          <w:rFonts w:ascii="Arial" w:hAnsi="Arial" w:cs="Arial"/>
          <w:i/>
          <w:sz w:val="24"/>
          <w:szCs w:val="24"/>
          <w:shd w:val="clear" w:color="auto" w:fill="FFFFFF"/>
        </w:rPr>
        <w:t xml:space="preserve"> </w:t>
      </w:r>
      <w:r w:rsidRPr="00970F8D">
        <w:rPr>
          <w:rFonts w:ascii="Arial" w:hAnsi="Arial" w:cs="Arial"/>
          <w:i/>
          <w:sz w:val="24"/>
          <w:szCs w:val="24"/>
          <w:shd w:val="clear" w:color="auto" w:fill="FFFFFF"/>
        </w:rPr>
        <w:t>unless the parties jointly refer the dispute for voluntary arbitration under section 63, refer the labour dispute to the Tribunal at the request of the party reporting the dispute.</w:t>
      </w:r>
    </w:p>
    <w:p w:rsidR="000B5DD5" w:rsidRDefault="000B5DD5" w:rsidP="00AB3DEA">
      <w:pPr>
        <w:jc w:val="both"/>
        <w:rPr>
          <w:rFonts w:ascii="Arial" w:hAnsi="Arial" w:cs="Arial"/>
          <w:sz w:val="24"/>
          <w:szCs w:val="24"/>
        </w:rPr>
      </w:pPr>
      <w:r>
        <w:rPr>
          <w:rFonts w:ascii="Arial" w:hAnsi="Arial" w:cs="Arial"/>
          <w:sz w:val="24"/>
          <w:szCs w:val="24"/>
        </w:rPr>
        <w:t>Section 70(1) of the Act provides as follows:</w:t>
      </w:r>
    </w:p>
    <w:p w:rsidR="000B5DD5" w:rsidRPr="000B5DD5" w:rsidRDefault="000B5DD5" w:rsidP="00AB3DEA">
      <w:pPr>
        <w:jc w:val="both"/>
        <w:rPr>
          <w:rFonts w:ascii="Arial" w:hAnsi="Arial" w:cs="Arial"/>
          <w:i/>
          <w:sz w:val="24"/>
          <w:szCs w:val="24"/>
        </w:rPr>
      </w:pPr>
      <w:r w:rsidRPr="000B5DD5">
        <w:rPr>
          <w:rFonts w:ascii="Arial" w:hAnsi="Arial" w:cs="Arial"/>
          <w:i/>
          <w:sz w:val="24"/>
          <w:szCs w:val="24"/>
        </w:rPr>
        <w:t>70(1) Where a labour dispute is referred to the Tribunal under section 63 or 69(9), the Tribunal shall enquire into the dispute and make an award thereon within 90 days of the referral.</w:t>
      </w:r>
    </w:p>
    <w:p w:rsidR="00C52939" w:rsidRDefault="000B5DD5" w:rsidP="00AB3DEA">
      <w:pPr>
        <w:jc w:val="both"/>
        <w:rPr>
          <w:rFonts w:ascii="Arial" w:hAnsi="Arial" w:cs="Arial"/>
          <w:sz w:val="24"/>
          <w:szCs w:val="24"/>
        </w:rPr>
      </w:pPr>
      <w:r>
        <w:rPr>
          <w:rFonts w:ascii="Arial" w:hAnsi="Arial" w:cs="Arial"/>
          <w:sz w:val="24"/>
          <w:szCs w:val="24"/>
        </w:rPr>
        <w:t xml:space="preserve">Thus, </w:t>
      </w:r>
      <w:r w:rsidR="00C52939">
        <w:rPr>
          <w:rFonts w:ascii="Arial" w:hAnsi="Arial" w:cs="Arial"/>
          <w:sz w:val="24"/>
          <w:szCs w:val="24"/>
        </w:rPr>
        <w:t>where a labour dispute is referr</w:t>
      </w:r>
      <w:r w:rsidR="00970F8D">
        <w:rPr>
          <w:rFonts w:ascii="Arial" w:hAnsi="Arial" w:cs="Arial"/>
          <w:sz w:val="24"/>
          <w:szCs w:val="24"/>
        </w:rPr>
        <w:t>e</w:t>
      </w:r>
      <w:r w:rsidR="00C52939">
        <w:rPr>
          <w:rFonts w:ascii="Arial" w:hAnsi="Arial" w:cs="Arial"/>
          <w:sz w:val="24"/>
          <w:szCs w:val="24"/>
        </w:rPr>
        <w:t xml:space="preserve">d to </w:t>
      </w:r>
      <w:r>
        <w:rPr>
          <w:rFonts w:ascii="Arial" w:hAnsi="Arial" w:cs="Arial"/>
          <w:sz w:val="24"/>
          <w:szCs w:val="24"/>
        </w:rPr>
        <w:t xml:space="preserve">the Tribunal </w:t>
      </w:r>
      <w:r w:rsidR="00C52939">
        <w:rPr>
          <w:rFonts w:ascii="Arial" w:hAnsi="Arial" w:cs="Arial"/>
          <w:sz w:val="24"/>
          <w:szCs w:val="24"/>
        </w:rPr>
        <w:t xml:space="preserve">under the relevant sections of the Act, the Tribunal </w:t>
      </w:r>
      <w:r>
        <w:rPr>
          <w:rFonts w:ascii="Arial" w:hAnsi="Arial" w:cs="Arial"/>
          <w:sz w:val="24"/>
          <w:szCs w:val="24"/>
        </w:rPr>
        <w:t>shall enquire into the dispute and make an award thereon.</w:t>
      </w:r>
      <w:r w:rsidR="00C52939">
        <w:rPr>
          <w:rFonts w:ascii="Arial" w:hAnsi="Arial" w:cs="Arial"/>
          <w:sz w:val="24"/>
          <w:szCs w:val="24"/>
        </w:rPr>
        <w:t xml:space="preserve">  The Tribunal shall not enquire into a labour dispute whe</w:t>
      </w:r>
      <w:r w:rsidR="004F4D11">
        <w:rPr>
          <w:rFonts w:ascii="Arial" w:hAnsi="Arial" w:cs="Arial"/>
          <w:sz w:val="24"/>
          <w:szCs w:val="24"/>
        </w:rPr>
        <w:t>re</w:t>
      </w:r>
      <w:r w:rsidR="00C52939">
        <w:rPr>
          <w:rFonts w:ascii="Arial" w:hAnsi="Arial" w:cs="Arial"/>
          <w:sz w:val="24"/>
          <w:szCs w:val="24"/>
        </w:rPr>
        <w:t xml:space="preserve"> the dispute is specifically excluded from the jurisdiction of the Tribunal</w:t>
      </w:r>
      <w:r w:rsidR="00970F8D">
        <w:rPr>
          <w:rFonts w:ascii="Arial" w:hAnsi="Arial" w:cs="Arial"/>
          <w:sz w:val="24"/>
          <w:szCs w:val="24"/>
        </w:rPr>
        <w:t>, for example,</w:t>
      </w:r>
      <w:r w:rsidR="00C52939">
        <w:rPr>
          <w:rFonts w:ascii="Arial" w:hAnsi="Arial" w:cs="Arial"/>
          <w:sz w:val="24"/>
          <w:szCs w:val="24"/>
        </w:rPr>
        <w:t xml:space="preserve"> under section 71 of the Act.</w:t>
      </w:r>
    </w:p>
    <w:p w:rsidR="00C52939" w:rsidRDefault="00C52939" w:rsidP="00AB3DEA">
      <w:pPr>
        <w:jc w:val="both"/>
        <w:rPr>
          <w:rFonts w:ascii="Arial" w:hAnsi="Arial" w:cs="Arial"/>
          <w:sz w:val="24"/>
          <w:szCs w:val="24"/>
        </w:rPr>
      </w:pPr>
      <w:r>
        <w:rPr>
          <w:rFonts w:ascii="Arial" w:hAnsi="Arial" w:cs="Arial"/>
          <w:sz w:val="24"/>
          <w:szCs w:val="24"/>
        </w:rPr>
        <w:t>Section 71 of the Act indeed provides as follows:</w:t>
      </w:r>
    </w:p>
    <w:p w:rsidR="00C52939" w:rsidRPr="00C52939" w:rsidRDefault="00C52939" w:rsidP="00AB3DEA">
      <w:pPr>
        <w:jc w:val="both"/>
        <w:rPr>
          <w:rFonts w:ascii="Arial" w:hAnsi="Arial" w:cs="Arial"/>
          <w:i/>
          <w:sz w:val="24"/>
          <w:szCs w:val="24"/>
        </w:rPr>
      </w:pPr>
      <w:r w:rsidRPr="00C52939">
        <w:rPr>
          <w:rFonts w:ascii="Arial" w:hAnsi="Arial" w:cs="Arial"/>
          <w:i/>
          <w:sz w:val="24"/>
          <w:szCs w:val="24"/>
        </w:rPr>
        <w:t>71. Exclusion of jurisdiction of Tribunal</w:t>
      </w:r>
    </w:p>
    <w:p w:rsidR="00C52939" w:rsidRPr="00C52939" w:rsidRDefault="00C52939" w:rsidP="00AB3DEA">
      <w:pPr>
        <w:jc w:val="both"/>
        <w:rPr>
          <w:rFonts w:ascii="Arial" w:hAnsi="Arial" w:cs="Arial"/>
          <w:i/>
          <w:sz w:val="24"/>
          <w:szCs w:val="24"/>
        </w:rPr>
      </w:pPr>
      <w:r w:rsidRPr="00C52939">
        <w:rPr>
          <w:rFonts w:ascii="Arial" w:hAnsi="Arial" w:cs="Arial"/>
          <w:i/>
          <w:sz w:val="24"/>
          <w:szCs w:val="24"/>
        </w:rPr>
        <w:t>The Tribunal shall not enquire into any labour dispute where the dispute relates to any issue –</w:t>
      </w:r>
    </w:p>
    <w:p w:rsidR="00C52939" w:rsidRPr="00C52939" w:rsidRDefault="00C52939" w:rsidP="00C52939">
      <w:pPr>
        <w:pStyle w:val="ListParagraph"/>
        <w:numPr>
          <w:ilvl w:val="0"/>
          <w:numId w:val="12"/>
        </w:numPr>
        <w:jc w:val="both"/>
        <w:rPr>
          <w:rFonts w:ascii="Arial" w:hAnsi="Arial" w:cs="Arial"/>
          <w:i/>
          <w:sz w:val="24"/>
          <w:szCs w:val="24"/>
        </w:rPr>
      </w:pPr>
      <w:r w:rsidRPr="00C52939">
        <w:rPr>
          <w:rFonts w:ascii="Arial" w:hAnsi="Arial" w:cs="Arial"/>
          <w:i/>
          <w:sz w:val="24"/>
          <w:szCs w:val="24"/>
        </w:rPr>
        <w:t>within the exclusive jurisdiction of the Industrial Court;</w:t>
      </w:r>
    </w:p>
    <w:p w:rsidR="00C52939" w:rsidRPr="00C52939" w:rsidRDefault="00C52939" w:rsidP="00C52939">
      <w:pPr>
        <w:pStyle w:val="ListParagraph"/>
        <w:numPr>
          <w:ilvl w:val="0"/>
          <w:numId w:val="12"/>
        </w:numPr>
        <w:jc w:val="both"/>
        <w:rPr>
          <w:rFonts w:ascii="Arial" w:hAnsi="Arial" w:cs="Arial"/>
          <w:i/>
          <w:sz w:val="24"/>
          <w:szCs w:val="24"/>
        </w:rPr>
      </w:pPr>
      <w:r w:rsidRPr="00C52939">
        <w:rPr>
          <w:rFonts w:ascii="Arial" w:hAnsi="Arial" w:cs="Arial"/>
          <w:i/>
          <w:sz w:val="24"/>
          <w:szCs w:val="24"/>
        </w:rPr>
        <w:t>which is the subject of pending proceedings before the Commission or any court of law.</w:t>
      </w:r>
    </w:p>
    <w:p w:rsidR="000B5DD5" w:rsidRPr="00C52939" w:rsidRDefault="00C52939" w:rsidP="00C52939">
      <w:pPr>
        <w:jc w:val="both"/>
        <w:rPr>
          <w:rFonts w:ascii="Arial" w:hAnsi="Arial" w:cs="Arial"/>
          <w:sz w:val="24"/>
          <w:szCs w:val="24"/>
        </w:rPr>
      </w:pPr>
      <w:r>
        <w:rPr>
          <w:rFonts w:ascii="Arial" w:hAnsi="Arial" w:cs="Arial"/>
          <w:sz w:val="24"/>
          <w:szCs w:val="24"/>
        </w:rPr>
        <w:lastRenderedPageBreak/>
        <w:t xml:space="preserve">In the present matter, there is no suggestion that the labour dispute </w:t>
      </w:r>
      <w:r w:rsidR="00970F8D">
        <w:rPr>
          <w:rFonts w:ascii="Arial" w:hAnsi="Arial" w:cs="Arial"/>
          <w:sz w:val="24"/>
          <w:szCs w:val="24"/>
        </w:rPr>
        <w:t xml:space="preserve">is a dispute covered by </w:t>
      </w:r>
      <w:r>
        <w:rPr>
          <w:rFonts w:ascii="Arial" w:hAnsi="Arial" w:cs="Arial"/>
          <w:sz w:val="24"/>
          <w:szCs w:val="24"/>
        </w:rPr>
        <w:t>section 71 of the Act</w:t>
      </w:r>
      <w:r w:rsidR="00970F8D">
        <w:rPr>
          <w:rFonts w:ascii="Arial" w:hAnsi="Arial" w:cs="Arial"/>
          <w:sz w:val="24"/>
          <w:szCs w:val="24"/>
        </w:rPr>
        <w:t xml:space="preserve"> or that the dispute is specifically excluded from the jurisdiction of the Tribunal under another piece of legislation</w:t>
      </w:r>
      <w:r>
        <w:rPr>
          <w:rFonts w:ascii="Arial" w:hAnsi="Arial" w:cs="Arial"/>
          <w:sz w:val="24"/>
          <w:szCs w:val="24"/>
        </w:rPr>
        <w:t xml:space="preserve">.  The Tribunal thus </w:t>
      </w:r>
      <w:r w:rsidR="007834B7">
        <w:rPr>
          <w:rFonts w:ascii="Arial" w:hAnsi="Arial" w:cs="Arial"/>
          <w:sz w:val="24"/>
          <w:szCs w:val="24"/>
        </w:rPr>
        <w:t xml:space="preserve">has to enquire into the present dispute subject to specific powers granted to the Tribunal </w:t>
      </w:r>
      <w:r w:rsidR="00B07751">
        <w:rPr>
          <w:rFonts w:ascii="Arial" w:hAnsi="Arial" w:cs="Arial"/>
          <w:sz w:val="24"/>
          <w:szCs w:val="24"/>
        </w:rPr>
        <w:t xml:space="preserve">under section 6 of the Second Schedule to the Act, </w:t>
      </w:r>
      <w:r w:rsidR="007834B7">
        <w:rPr>
          <w:rFonts w:ascii="Arial" w:hAnsi="Arial" w:cs="Arial"/>
          <w:sz w:val="24"/>
          <w:szCs w:val="24"/>
        </w:rPr>
        <w:t xml:space="preserve">in relation to the practice and procedure to be adopted by the Tribunal.  Under section 6(2)(b) of the Second Schedule to the Act, the Tribunal may, for example, in relation to any dispute before it </w:t>
      </w:r>
      <w:r w:rsidR="008B3F55">
        <w:rPr>
          <w:rFonts w:ascii="Arial" w:hAnsi="Arial" w:cs="Arial"/>
          <w:sz w:val="24"/>
          <w:szCs w:val="24"/>
        </w:rPr>
        <w:t>remit the matter</w:t>
      </w:r>
      <w:r w:rsidR="00B07751">
        <w:rPr>
          <w:rFonts w:ascii="Arial" w:hAnsi="Arial" w:cs="Arial"/>
          <w:sz w:val="24"/>
          <w:szCs w:val="24"/>
        </w:rPr>
        <w:t xml:space="preserve">, subject to such conditions as it may determine, to the parties for further consideration by them with a view to settling or limiting the several issues in dispute.   </w:t>
      </w:r>
      <w:r w:rsidR="008B3F55">
        <w:rPr>
          <w:rFonts w:ascii="Arial" w:hAnsi="Arial" w:cs="Arial"/>
          <w:sz w:val="24"/>
          <w:szCs w:val="24"/>
        </w:rPr>
        <w:t xml:space="preserve"> </w:t>
      </w:r>
      <w:r w:rsidR="007834B7">
        <w:rPr>
          <w:rFonts w:ascii="Arial" w:hAnsi="Arial" w:cs="Arial"/>
          <w:sz w:val="24"/>
          <w:szCs w:val="24"/>
        </w:rPr>
        <w:t xml:space="preserve">      </w:t>
      </w:r>
      <w:r>
        <w:rPr>
          <w:rFonts w:ascii="Arial" w:hAnsi="Arial" w:cs="Arial"/>
          <w:sz w:val="24"/>
          <w:szCs w:val="24"/>
        </w:rPr>
        <w:t xml:space="preserve"> </w:t>
      </w:r>
      <w:r w:rsidRPr="00C52939">
        <w:rPr>
          <w:rFonts w:ascii="Arial" w:hAnsi="Arial" w:cs="Arial"/>
          <w:sz w:val="24"/>
          <w:szCs w:val="24"/>
        </w:rPr>
        <w:t xml:space="preserve">  </w:t>
      </w:r>
    </w:p>
    <w:p w:rsidR="00CA0A67" w:rsidRDefault="00B07751" w:rsidP="00AB3DEA">
      <w:pPr>
        <w:jc w:val="both"/>
        <w:rPr>
          <w:rFonts w:ascii="Arial" w:hAnsi="Arial" w:cs="Arial"/>
          <w:sz w:val="24"/>
          <w:szCs w:val="24"/>
        </w:rPr>
      </w:pPr>
      <w:r>
        <w:rPr>
          <w:rFonts w:ascii="Arial" w:hAnsi="Arial" w:cs="Arial"/>
          <w:sz w:val="24"/>
          <w:szCs w:val="24"/>
        </w:rPr>
        <w:t xml:space="preserve">Counsel for Co-Respondent relied on the case of </w:t>
      </w:r>
      <w:r w:rsidRPr="006D0AB3">
        <w:rPr>
          <w:rFonts w:ascii="Arial" w:hAnsi="Arial" w:cs="Arial"/>
          <w:b/>
          <w:sz w:val="24"/>
          <w:szCs w:val="24"/>
        </w:rPr>
        <w:t>Mr L.Wilson</w:t>
      </w:r>
      <w:r w:rsidR="008E1C28">
        <w:rPr>
          <w:rFonts w:ascii="Arial" w:hAnsi="Arial" w:cs="Arial"/>
          <w:b/>
          <w:sz w:val="24"/>
          <w:szCs w:val="24"/>
        </w:rPr>
        <w:t xml:space="preserve"> (see above)</w:t>
      </w:r>
      <w:r w:rsidR="006D0AB3" w:rsidRPr="006D0AB3">
        <w:rPr>
          <w:rFonts w:ascii="Arial" w:hAnsi="Arial" w:cs="Arial"/>
          <w:sz w:val="24"/>
          <w:szCs w:val="24"/>
        </w:rPr>
        <w:t>.</w:t>
      </w:r>
      <w:r w:rsidR="006D0AB3">
        <w:rPr>
          <w:rFonts w:ascii="Arial" w:hAnsi="Arial" w:cs="Arial"/>
          <w:b/>
          <w:sz w:val="24"/>
          <w:szCs w:val="24"/>
        </w:rPr>
        <w:t xml:space="preserve">  </w:t>
      </w:r>
      <w:r>
        <w:rPr>
          <w:rFonts w:ascii="Arial" w:hAnsi="Arial" w:cs="Arial"/>
          <w:sz w:val="24"/>
          <w:szCs w:val="24"/>
        </w:rPr>
        <w:t xml:space="preserve">The </w:t>
      </w:r>
      <w:r w:rsidR="006D0AB3">
        <w:rPr>
          <w:rFonts w:ascii="Arial" w:hAnsi="Arial" w:cs="Arial"/>
          <w:sz w:val="24"/>
          <w:szCs w:val="24"/>
        </w:rPr>
        <w:t xml:space="preserve">present matter can be clearly distinguished from the </w:t>
      </w:r>
      <w:r w:rsidR="00CA0A67">
        <w:rPr>
          <w:rFonts w:ascii="Arial" w:hAnsi="Arial" w:cs="Arial"/>
          <w:sz w:val="24"/>
          <w:szCs w:val="24"/>
        </w:rPr>
        <w:t>said</w:t>
      </w:r>
      <w:r w:rsidR="006D0AB3">
        <w:rPr>
          <w:rFonts w:ascii="Arial" w:hAnsi="Arial" w:cs="Arial"/>
          <w:sz w:val="24"/>
          <w:szCs w:val="24"/>
        </w:rPr>
        <w:t xml:space="preserve"> case where the powers of the Local Government Service Commission (LGSC)</w:t>
      </w:r>
      <w:r w:rsidR="00333B9D">
        <w:rPr>
          <w:rFonts w:ascii="Arial" w:hAnsi="Arial" w:cs="Arial"/>
          <w:sz w:val="24"/>
          <w:szCs w:val="24"/>
        </w:rPr>
        <w:t xml:space="preserve"> and more particularly sections 4(1) and 4(2) of the LGSC Act</w:t>
      </w:r>
      <w:r w:rsidR="006D0AB3">
        <w:rPr>
          <w:rFonts w:ascii="Arial" w:hAnsi="Arial" w:cs="Arial"/>
          <w:sz w:val="24"/>
          <w:szCs w:val="24"/>
        </w:rPr>
        <w:t xml:space="preserve"> were in issue and wh</w:t>
      </w:r>
      <w:r w:rsidR="00333B9D">
        <w:rPr>
          <w:rFonts w:ascii="Arial" w:hAnsi="Arial" w:cs="Arial"/>
          <w:sz w:val="24"/>
          <w:szCs w:val="24"/>
        </w:rPr>
        <w:t xml:space="preserve">ich is clearly not the case here.  Also, the case of </w:t>
      </w:r>
      <w:r w:rsidR="00333B9D" w:rsidRPr="00333B9D">
        <w:rPr>
          <w:rFonts w:ascii="Arial" w:hAnsi="Arial" w:cs="Arial"/>
          <w:b/>
          <w:sz w:val="24"/>
          <w:szCs w:val="24"/>
        </w:rPr>
        <w:t>Cesar and C.W.A, RN 785</w:t>
      </w:r>
      <w:r w:rsidR="00333B9D">
        <w:rPr>
          <w:rFonts w:ascii="Arial" w:hAnsi="Arial" w:cs="Arial"/>
          <w:b/>
          <w:sz w:val="24"/>
          <w:szCs w:val="24"/>
        </w:rPr>
        <w:t xml:space="preserve"> </w:t>
      </w:r>
      <w:r w:rsidR="00333B9D" w:rsidRPr="00333B9D">
        <w:rPr>
          <w:rFonts w:ascii="Arial" w:hAnsi="Arial" w:cs="Arial"/>
          <w:sz w:val="24"/>
          <w:szCs w:val="24"/>
        </w:rPr>
        <w:t xml:space="preserve">referred </w:t>
      </w:r>
      <w:r w:rsidR="00A35871">
        <w:rPr>
          <w:rFonts w:ascii="Arial" w:hAnsi="Arial" w:cs="Arial"/>
          <w:sz w:val="24"/>
          <w:szCs w:val="24"/>
        </w:rPr>
        <w:t xml:space="preserve">to </w:t>
      </w:r>
      <w:r w:rsidR="00333B9D" w:rsidRPr="00333B9D">
        <w:rPr>
          <w:rFonts w:ascii="Arial" w:hAnsi="Arial" w:cs="Arial"/>
          <w:sz w:val="24"/>
          <w:szCs w:val="24"/>
        </w:rPr>
        <w:t xml:space="preserve">by Counsel </w:t>
      </w:r>
      <w:r w:rsidR="00333B9D">
        <w:rPr>
          <w:rFonts w:ascii="Arial" w:hAnsi="Arial" w:cs="Arial"/>
          <w:sz w:val="24"/>
          <w:szCs w:val="24"/>
        </w:rPr>
        <w:t xml:space="preserve">for Co-Respondent relates to a case which had been heard on its merits </w:t>
      </w:r>
      <w:r w:rsidR="00C25FD7">
        <w:rPr>
          <w:rFonts w:ascii="Arial" w:hAnsi="Arial" w:cs="Arial"/>
          <w:sz w:val="24"/>
          <w:szCs w:val="24"/>
        </w:rPr>
        <w:t>and there were</w:t>
      </w:r>
      <w:r w:rsidR="00333B9D">
        <w:rPr>
          <w:rFonts w:ascii="Arial" w:hAnsi="Arial" w:cs="Arial"/>
          <w:sz w:val="24"/>
          <w:szCs w:val="24"/>
        </w:rPr>
        <w:t xml:space="preserve"> testimonies </w:t>
      </w:r>
      <w:r w:rsidR="0093027F">
        <w:rPr>
          <w:rFonts w:ascii="Arial" w:hAnsi="Arial" w:cs="Arial"/>
          <w:sz w:val="24"/>
          <w:szCs w:val="24"/>
        </w:rPr>
        <w:t xml:space="preserve">of parties and </w:t>
      </w:r>
      <w:r w:rsidR="00C25FD7">
        <w:rPr>
          <w:rFonts w:ascii="Arial" w:hAnsi="Arial" w:cs="Arial"/>
          <w:sz w:val="24"/>
          <w:szCs w:val="24"/>
        </w:rPr>
        <w:t>eventually</w:t>
      </w:r>
      <w:r w:rsidR="0093027F">
        <w:rPr>
          <w:rFonts w:ascii="Arial" w:hAnsi="Arial" w:cs="Arial"/>
          <w:sz w:val="24"/>
          <w:szCs w:val="24"/>
        </w:rPr>
        <w:t xml:space="preserve"> an </w:t>
      </w:r>
      <w:r w:rsidR="00775C40">
        <w:rPr>
          <w:rFonts w:ascii="Arial" w:hAnsi="Arial" w:cs="Arial"/>
          <w:sz w:val="24"/>
          <w:szCs w:val="24"/>
        </w:rPr>
        <w:t>a</w:t>
      </w:r>
      <w:r w:rsidR="0093027F">
        <w:rPr>
          <w:rFonts w:ascii="Arial" w:hAnsi="Arial" w:cs="Arial"/>
          <w:sz w:val="24"/>
          <w:szCs w:val="24"/>
        </w:rPr>
        <w:t xml:space="preserve">ward was delivered.  Irrespective of principles </w:t>
      </w:r>
      <w:r w:rsidR="00991689">
        <w:rPr>
          <w:rFonts w:ascii="Arial" w:hAnsi="Arial" w:cs="Arial"/>
          <w:sz w:val="24"/>
          <w:szCs w:val="24"/>
        </w:rPr>
        <w:t xml:space="preserve">mentioned in the award in the case of </w:t>
      </w:r>
      <w:r w:rsidR="00991689" w:rsidRPr="00991689">
        <w:rPr>
          <w:rFonts w:ascii="Arial" w:hAnsi="Arial" w:cs="Arial"/>
          <w:b/>
          <w:sz w:val="24"/>
          <w:szCs w:val="24"/>
        </w:rPr>
        <w:t>Cesar (</w:t>
      </w:r>
      <w:r w:rsidR="008E1C28">
        <w:rPr>
          <w:rFonts w:ascii="Arial" w:hAnsi="Arial" w:cs="Arial"/>
          <w:b/>
          <w:sz w:val="24"/>
          <w:szCs w:val="24"/>
        </w:rPr>
        <w:t>see</w:t>
      </w:r>
      <w:r w:rsidR="00991689" w:rsidRPr="00991689">
        <w:rPr>
          <w:rFonts w:ascii="Arial" w:hAnsi="Arial" w:cs="Arial"/>
          <w:b/>
          <w:sz w:val="24"/>
          <w:szCs w:val="24"/>
        </w:rPr>
        <w:t xml:space="preserve"> above)</w:t>
      </w:r>
      <w:r w:rsidR="0093027F">
        <w:rPr>
          <w:rFonts w:ascii="Arial" w:hAnsi="Arial" w:cs="Arial"/>
          <w:sz w:val="24"/>
          <w:szCs w:val="24"/>
        </w:rPr>
        <w:t xml:space="preserve">, the Tribunal has to enquire into the </w:t>
      </w:r>
      <w:r w:rsidR="00991689">
        <w:rPr>
          <w:rFonts w:ascii="Arial" w:hAnsi="Arial" w:cs="Arial"/>
          <w:sz w:val="24"/>
          <w:szCs w:val="24"/>
        </w:rPr>
        <w:t xml:space="preserve">present </w:t>
      </w:r>
      <w:r w:rsidR="0093027F">
        <w:rPr>
          <w:rFonts w:ascii="Arial" w:hAnsi="Arial" w:cs="Arial"/>
          <w:sz w:val="24"/>
          <w:szCs w:val="24"/>
        </w:rPr>
        <w:t xml:space="preserve">matter </w:t>
      </w:r>
      <w:r w:rsidR="00775C40">
        <w:rPr>
          <w:rFonts w:ascii="Arial" w:hAnsi="Arial" w:cs="Arial"/>
          <w:sz w:val="24"/>
          <w:szCs w:val="24"/>
        </w:rPr>
        <w:t xml:space="preserve">first </w:t>
      </w:r>
      <w:r w:rsidR="0093027F">
        <w:rPr>
          <w:rFonts w:ascii="Arial" w:hAnsi="Arial" w:cs="Arial"/>
          <w:sz w:val="24"/>
          <w:szCs w:val="24"/>
        </w:rPr>
        <w:t xml:space="preserve">and provide the opportunity to parties </w:t>
      </w:r>
      <w:r w:rsidR="00775C40">
        <w:rPr>
          <w:rFonts w:ascii="Arial" w:hAnsi="Arial" w:cs="Arial"/>
          <w:sz w:val="24"/>
          <w:szCs w:val="24"/>
        </w:rPr>
        <w:t>to be heard before making any award.</w:t>
      </w:r>
      <w:r w:rsidR="00A35871">
        <w:rPr>
          <w:rFonts w:ascii="Arial" w:hAnsi="Arial" w:cs="Arial"/>
          <w:sz w:val="24"/>
          <w:szCs w:val="24"/>
        </w:rPr>
        <w:t xml:space="preserve">  </w:t>
      </w:r>
      <w:r w:rsidR="00CA0A67">
        <w:rPr>
          <w:rFonts w:ascii="Arial" w:hAnsi="Arial" w:cs="Arial"/>
          <w:sz w:val="24"/>
          <w:szCs w:val="24"/>
        </w:rPr>
        <w:t>Counsel for Co-Respondent has suggested that</w:t>
      </w:r>
      <w:r w:rsidR="00EF4117">
        <w:rPr>
          <w:rFonts w:ascii="Arial" w:hAnsi="Arial" w:cs="Arial"/>
          <w:sz w:val="24"/>
          <w:szCs w:val="24"/>
        </w:rPr>
        <w:t xml:space="preserve"> there is no averment that the Respondent made an abuse of power or that the Tribunal should intervene to prevent an injustice.  The Tribunal may, for instance, refer to paragraph 13 of the Statement of Case of the Disputant where it is averred that “…</w:t>
      </w:r>
      <w:r w:rsidR="00EF4117" w:rsidRPr="00EF4117">
        <w:rPr>
          <w:rFonts w:ascii="Arial" w:hAnsi="Arial" w:cs="Arial"/>
          <w:i/>
          <w:sz w:val="24"/>
          <w:szCs w:val="24"/>
        </w:rPr>
        <w:t>the respondent has unreasonably, discriminately, unfairly and in complete disregard to the rules of natural justice withheld the promotion of the disputant to the post of Transmission officer</w:t>
      </w:r>
      <w:r w:rsidR="00EF4117">
        <w:rPr>
          <w:rFonts w:ascii="Arial" w:hAnsi="Arial" w:cs="Arial"/>
          <w:sz w:val="24"/>
          <w:szCs w:val="24"/>
        </w:rPr>
        <w:t>.”</w:t>
      </w:r>
      <w:r w:rsidR="00CA0A67">
        <w:rPr>
          <w:rFonts w:ascii="Arial" w:hAnsi="Arial" w:cs="Arial"/>
          <w:sz w:val="24"/>
          <w:szCs w:val="24"/>
        </w:rPr>
        <w:t xml:space="preserve">   </w:t>
      </w:r>
    </w:p>
    <w:p w:rsidR="00486E73" w:rsidRDefault="00A35871" w:rsidP="00AB3DEA">
      <w:pPr>
        <w:jc w:val="both"/>
        <w:rPr>
          <w:rFonts w:ascii="Arial" w:hAnsi="Arial" w:cs="Arial"/>
          <w:sz w:val="24"/>
          <w:szCs w:val="24"/>
        </w:rPr>
      </w:pPr>
      <w:r>
        <w:rPr>
          <w:rFonts w:ascii="Arial" w:hAnsi="Arial" w:cs="Arial"/>
          <w:sz w:val="24"/>
          <w:szCs w:val="24"/>
        </w:rPr>
        <w:t xml:space="preserve">The preliminary objection as worded is at best premature and </w:t>
      </w:r>
      <w:r w:rsidR="00486E73">
        <w:rPr>
          <w:rFonts w:ascii="Arial" w:hAnsi="Arial" w:cs="Arial"/>
          <w:sz w:val="24"/>
          <w:szCs w:val="24"/>
        </w:rPr>
        <w:t xml:space="preserve">it is only after </w:t>
      </w:r>
      <w:r>
        <w:rPr>
          <w:rFonts w:ascii="Arial" w:hAnsi="Arial" w:cs="Arial"/>
          <w:sz w:val="24"/>
          <w:szCs w:val="24"/>
        </w:rPr>
        <w:t xml:space="preserve">the </w:t>
      </w:r>
      <w:r w:rsidR="00486E73">
        <w:rPr>
          <w:rFonts w:ascii="Arial" w:hAnsi="Arial" w:cs="Arial"/>
          <w:sz w:val="24"/>
          <w:szCs w:val="24"/>
        </w:rPr>
        <w:t>Tribunal has enquired into the present dispute, which is within its jurisdiction, and heard all the evidence that it can obviously decide on which award it can make.</w:t>
      </w:r>
    </w:p>
    <w:p w:rsidR="00953EC7" w:rsidRDefault="00486E73" w:rsidP="00AB3DEA">
      <w:pPr>
        <w:jc w:val="both"/>
        <w:rPr>
          <w:rFonts w:ascii="Arial" w:hAnsi="Arial" w:cs="Arial"/>
          <w:sz w:val="24"/>
          <w:szCs w:val="24"/>
        </w:rPr>
      </w:pPr>
      <w:r>
        <w:rPr>
          <w:rFonts w:ascii="Arial" w:hAnsi="Arial" w:cs="Arial"/>
          <w:sz w:val="24"/>
          <w:szCs w:val="24"/>
        </w:rPr>
        <w:t xml:space="preserve">For all the reasons given above, the preliminary objection as taken is at best premature and is set aside.  The </w:t>
      </w:r>
      <w:r w:rsidR="00991689">
        <w:rPr>
          <w:rFonts w:ascii="Arial" w:hAnsi="Arial" w:cs="Arial"/>
          <w:sz w:val="24"/>
          <w:szCs w:val="24"/>
        </w:rPr>
        <w:t>Tribunal will proceed with the hearing of the matter on its merits.</w:t>
      </w:r>
      <w:r>
        <w:rPr>
          <w:rFonts w:ascii="Arial" w:hAnsi="Arial" w:cs="Arial"/>
          <w:sz w:val="24"/>
          <w:szCs w:val="24"/>
        </w:rPr>
        <w:t xml:space="preserve">   </w:t>
      </w:r>
      <w:r w:rsidR="00775C40">
        <w:rPr>
          <w:rFonts w:ascii="Arial" w:hAnsi="Arial" w:cs="Arial"/>
          <w:sz w:val="24"/>
          <w:szCs w:val="24"/>
        </w:rPr>
        <w:t xml:space="preserve"> </w:t>
      </w:r>
      <w:r w:rsidR="0093027F">
        <w:rPr>
          <w:rFonts w:ascii="Arial" w:hAnsi="Arial" w:cs="Arial"/>
          <w:sz w:val="24"/>
          <w:szCs w:val="24"/>
        </w:rPr>
        <w:t xml:space="preserve"> </w:t>
      </w:r>
    </w:p>
    <w:p w:rsidR="00177109" w:rsidRDefault="00177109" w:rsidP="00AB3DEA">
      <w:pPr>
        <w:jc w:val="both"/>
        <w:rPr>
          <w:rFonts w:ascii="Arial" w:hAnsi="Arial" w:cs="Arial"/>
          <w:b/>
          <w:sz w:val="24"/>
          <w:szCs w:val="24"/>
        </w:rPr>
      </w:pPr>
    </w:p>
    <w:p w:rsidR="00AB3DEA" w:rsidRPr="005B080A" w:rsidRDefault="005668AE"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87882">
        <w:rPr>
          <w:rFonts w:ascii="Arial" w:hAnsi="Arial" w:cs="Arial"/>
          <w:b/>
          <w:sz w:val="24"/>
          <w:szCs w:val="24"/>
        </w:rPr>
        <w:tab/>
      </w:r>
      <w:r>
        <w:rPr>
          <w:rFonts w:ascii="Arial" w:hAnsi="Arial" w:cs="Arial"/>
          <w:b/>
          <w:sz w:val="24"/>
          <w:szCs w:val="24"/>
        </w:rPr>
        <w:t xml:space="preserve">SD </w:t>
      </w:r>
      <w:r w:rsidR="00177109">
        <w:rPr>
          <w:rFonts w:ascii="Arial" w:hAnsi="Arial" w:cs="Arial"/>
          <w:b/>
          <w:sz w:val="24"/>
          <w:szCs w:val="24"/>
        </w:rPr>
        <w:t>Raffick Hossenbaccus</w:t>
      </w:r>
      <w:r w:rsidR="00687882">
        <w:rPr>
          <w:rFonts w:ascii="Arial" w:hAnsi="Arial" w:cs="Arial"/>
          <w:b/>
          <w:sz w:val="24"/>
          <w:szCs w:val="24"/>
        </w:rPr>
        <w:tab/>
      </w:r>
      <w:r w:rsidR="00687882">
        <w:rPr>
          <w:rFonts w:ascii="Arial" w:hAnsi="Arial" w:cs="Arial"/>
          <w:b/>
          <w:sz w:val="24"/>
          <w:szCs w:val="24"/>
        </w:rPr>
        <w:tab/>
      </w:r>
    </w:p>
    <w:p w:rsidR="00AB3DEA" w:rsidRPr="005B080A" w:rsidRDefault="00177109" w:rsidP="00AB3DEA">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Pr="005B080A">
        <w:rPr>
          <w:rFonts w:ascii="Arial" w:hAnsi="Arial" w:cs="Arial"/>
          <w:b/>
          <w:sz w:val="24"/>
          <w:szCs w:val="24"/>
        </w:rPr>
        <w:t>Member</w:t>
      </w:r>
      <w:r w:rsidR="00687882">
        <w:rPr>
          <w:rFonts w:ascii="Arial" w:hAnsi="Arial" w:cs="Arial"/>
          <w:b/>
          <w:sz w:val="24"/>
          <w:szCs w:val="24"/>
        </w:rPr>
        <w:tab/>
      </w:r>
    </w:p>
    <w:p w:rsidR="00840B0B" w:rsidRDefault="00840B0B" w:rsidP="00AB3DEA">
      <w:pPr>
        <w:jc w:val="both"/>
        <w:rPr>
          <w:rFonts w:ascii="Arial" w:hAnsi="Arial" w:cs="Arial"/>
          <w:b/>
          <w:sz w:val="24"/>
          <w:szCs w:val="24"/>
        </w:rPr>
      </w:pPr>
    </w:p>
    <w:p w:rsidR="00953EC7" w:rsidRDefault="00953EC7" w:rsidP="00AB3DEA">
      <w:pPr>
        <w:jc w:val="both"/>
        <w:rPr>
          <w:rFonts w:ascii="Arial" w:hAnsi="Arial" w:cs="Arial"/>
          <w:b/>
          <w:sz w:val="24"/>
          <w:szCs w:val="24"/>
        </w:rPr>
      </w:pPr>
    </w:p>
    <w:p w:rsidR="00AB3DEA" w:rsidRPr="005B080A" w:rsidRDefault="005668AE" w:rsidP="00AB3DEA">
      <w:pPr>
        <w:jc w:val="both"/>
        <w:rPr>
          <w:rFonts w:ascii="Arial" w:hAnsi="Arial" w:cs="Arial"/>
          <w:b/>
          <w:sz w:val="24"/>
          <w:szCs w:val="24"/>
        </w:rPr>
      </w:pPr>
      <w:r>
        <w:rPr>
          <w:rFonts w:ascii="Arial" w:hAnsi="Arial" w:cs="Arial"/>
          <w:b/>
          <w:sz w:val="24"/>
          <w:szCs w:val="24"/>
        </w:rPr>
        <w:lastRenderedPageBreak/>
        <w:t xml:space="preserve">SD </w:t>
      </w:r>
      <w:r w:rsidR="00164CD5">
        <w:rPr>
          <w:rFonts w:ascii="Arial" w:hAnsi="Arial" w:cs="Arial"/>
          <w:b/>
          <w:sz w:val="24"/>
          <w:szCs w:val="24"/>
        </w:rPr>
        <w:t xml:space="preserve">Karen K. Veerapen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 xml:space="preserve">SD </w:t>
      </w:r>
      <w:r w:rsidR="00177109">
        <w:rPr>
          <w:rFonts w:ascii="Arial" w:hAnsi="Arial" w:cs="Arial"/>
          <w:b/>
          <w:sz w:val="24"/>
          <w:szCs w:val="24"/>
        </w:rPr>
        <w:t>Ghianeswar Gokhool</w:t>
      </w:r>
      <w:r w:rsidR="00AB3DEA" w:rsidRPr="005B080A">
        <w:rPr>
          <w:rFonts w:ascii="Arial" w:hAnsi="Arial" w:cs="Arial"/>
          <w:b/>
          <w:sz w:val="24"/>
          <w:szCs w:val="24"/>
        </w:rPr>
        <w:tab/>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177109" w:rsidRPr="005B080A">
        <w:rPr>
          <w:rFonts w:ascii="Arial" w:hAnsi="Arial" w:cs="Arial"/>
          <w:b/>
          <w:sz w:val="24"/>
          <w:szCs w:val="24"/>
        </w:rPr>
        <w:t>Member</w:t>
      </w:r>
      <w:r w:rsidR="00687882">
        <w:rPr>
          <w:rFonts w:ascii="Arial" w:hAnsi="Arial" w:cs="Arial"/>
          <w:b/>
          <w:sz w:val="24"/>
          <w:szCs w:val="24"/>
        </w:rPr>
        <w:tab/>
      </w:r>
    </w:p>
    <w:p w:rsidR="00AD5C66" w:rsidRPr="00025210" w:rsidRDefault="00953EC7" w:rsidP="00657F75">
      <w:pPr>
        <w:jc w:val="both"/>
        <w:rPr>
          <w:rFonts w:ascii="Arial" w:hAnsi="Arial" w:cs="Arial"/>
          <w:sz w:val="24"/>
          <w:szCs w:val="24"/>
        </w:rPr>
      </w:pPr>
      <w:r>
        <w:rPr>
          <w:rFonts w:ascii="Arial" w:hAnsi="Arial" w:cs="Arial"/>
          <w:b/>
          <w:sz w:val="24"/>
          <w:szCs w:val="24"/>
        </w:rPr>
        <w:t>2 August</w:t>
      </w:r>
      <w:r w:rsidR="007B7C58">
        <w:rPr>
          <w:rFonts w:ascii="Arial" w:hAnsi="Arial" w:cs="Arial"/>
          <w:b/>
          <w:sz w:val="24"/>
          <w:szCs w:val="24"/>
        </w:rPr>
        <w:t xml:space="preserve"> </w:t>
      </w:r>
      <w:r w:rsidR="006B0DE8" w:rsidRPr="005B080A">
        <w:rPr>
          <w:rFonts w:ascii="Arial" w:hAnsi="Arial" w:cs="Arial"/>
          <w:b/>
          <w:sz w:val="24"/>
          <w:szCs w:val="24"/>
        </w:rPr>
        <w:t>20</w:t>
      </w:r>
      <w:r w:rsidR="00164CD5">
        <w:rPr>
          <w:rFonts w:ascii="Arial" w:hAnsi="Arial" w:cs="Arial"/>
          <w:b/>
          <w:sz w:val="24"/>
          <w:szCs w:val="24"/>
        </w:rPr>
        <w:t>21</w:t>
      </w:r>
    </w:p>
    <w:sectPr w:rsidR="00AD5C66" w:rsidRPr="00025210"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A2" w:rsidRDefault="006674A2" w:rsidP="00936BD4">
      <w:pPr>
        <w:spacing w:after="0" w:line="240" w:lineRule="auto"/>
      </w:pPr>
      <w:r>
        <w:separator/>
      </w:r>
    </w:p>
  </w:endnote>
  <w:endnote w:type="continuationSeparator" w:id="0">
    <w:p w:rsidR="006674A2" w:rsidRDefault="006674A2"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rsidR="007A4FFC" w:rsidRDefault="007A4FFC">
        <w:pPr>
          <w:pStyle w:val="Footer"/>
          <w:jc w:val="center"/>
        </w:pPr>
        <w:r>
          <w:fldChar w:fldCharType="begin"/>
        </w:r>
        <w:r>
          <w:instrText xml:space="preserve"> PAGE   \* MERGEFORMAT </w:instrText>
        </w:r>
        <w:r>
          <w:fldChar w:fldCharType="separate"/>
        </w:r>
        <w:r w:rsidR="00C118B8">
          <w:rPr>
            <w:noProof/>
          </w:rPr>
          <w:t>1</w:t>
        </w:r>
        <w:r>
          <w:rPr>
            <w:noProof/>
          </w:rPr>
          <w:fldChar w:fldCharType="end"/>
        </w:r>
      </w:p>
    </w:sdtContent>
  </w:sdt>
  <w:p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A2" w:rsidRDefault="006674A2" w:rsidP="00936BD4">
      <w:pPr>
        <w:spacing w:after="0" w:line="240" w:lineRule="auto"/>
      </w:pPr>
      <w:r>
        <w:separator/>
      </w:r>
    </w:p>
  </w:footnote>
  <w:footnote w:type="continuationSeparator" w:id="0">
    <w:p w:rsidR="006674A2" w:rsidRDefault="006674A2"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13DBB"/>
    <w:multiLevelType w:val="hybridMultilevel"/>
    <w:tmpl w:val="12F24AF0"/>
    <w:lvl w:ilvl="0" w:tplc="4E325DF6">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B0EA2"/>
    <w:multiLevelType w:val="hybridMultilevel"/>
    <w:tmpl w:val="E368C750"/>
    <w:lvl w:ilvl="0" w:tplc="0ABC4E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505F8"/>
    <w:multiLevelType w:val="hybridMultilevel"/>
    <w:tmpl w:val="ED2E7F0A"/>
    <w:lvl w:ilvl="0" w:tplc="292A8084">
      <w:start w:val="1"/>
      <w:numFmt w:val="low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7" w15:restartNumberingAfterBreak="0">
    <w:nsid w:val="53BA4458"/>
    <w:multiLevelType w:val="hybridMultilevel"/>
    <w:tmpl w:val="9014C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0"/>
  </w:num>
  <w:num w:numId="5">
    <w:abstractNumId w:val="4"/>
  </w:num>
  <w:num w:numId="6">
    <w:abstractNumId w:val="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3855"/>
    <w:rsid w:val="00004163"/>
    <w:rsid w:val="00004F55"/>
    <w:rsid w:val="00012C81"/>
    <w:rsid w:val="00012CAF"/>
    <w:rsid w:val="000158C3"/>
    <w:rsid w:val="0002005A"/>
    <w:rsid w:val="000208E2"/>
    <w:rsid w:val="000250D3"/>
    <w:rsid w:val="00025210"/>
    <w:rsid w:val="00026AA1"/>
    <w:rsid w:val="00026E65"/>
    <w:rsid w:val="000318F3"/>
    <w:rsid w:val="00032922"/>
    <w:rsid w:val="00032D6D"/>
    <w:rsid w:val="00035B3D"/>
    <w:rsid w:val="000408F8"/>
    <w:rsid w:val="00040A89"/>
    <w:rsid w:val="000446C4"/>
    <w:rsid w:val="00044CAF"/>
    <w:rsid w:val="00044E57"/>
    <w:rsid w:val="000451CB"/>
    <w:rsid w:val="00045715"/>
    <w:rsid w:val="00046690"/>
    <w:rsid w:val="00052421"/>
    <w:rsid w:val="000530DC"/>
    <w:rsid w:val="00054088"/>
    <w:rsid w:val="00054439"/>
    <w:rsid w:val="00055D51"/>
    <w:rsid w:val="00060F6E"/>
    <w:rsid w:val="0006414D"/>
    <w:rsid w:val="00066405"/>
    <w:rsid w:val="00070DC7"/>
    <w:rsid w:val="000730AD"/>
    <w:rsid w:val="000739D5"/>
    <w:rsid w:val="0008120B"/>
    <w:rsid w:val="00081614"/>
    <w:rsid w:val="00082CB1"/>
    <w:rsid w:val="00082DBE"/>
    <w:rsid w:val="00085AD3"/>
    <w:rsid w:val="00085C61"/>
    <w:rsid w:val="00086046"/>
    <w:rsid w:val="00086724"/>
    <w:rsid w:val="00087A97"/>
    <w:rsid w:val="00087BCD"/>
    <w:rsid w:val="00090141"/>
    <w:rsid w:val="0009622A"/>
    <w:rsid w:val="0009740F"/>
    <w:rsid w:val="00097411"/>
    <w:rsid w:val="00097D74"/>
    <w:rsid w:val="000A5361"/>
    <w:rsid w:val="000B1EAF"/>
    <w:rsid w:val="000B251C"/>
    <w:rsid w:val="000B260E"/>
    <w:rsid w:val="000B448C"/>
    <w:rsid w:val="000B5DD5"/>
    <w:rsid w:val="000C1234"/>
    <w:rsid w:val="000C1509"/>
    <w:rsid w:val="000C2D87"/>
    <w:rsid w:val="000C5B14"/>
    <w:rsid w:val="000C5E65"/>
    <w:rsid w:val="000D1828"/>
    <w:rsid w:val="000D4ECD"/>
    <w:rsid w:val="000D4ED0"/>
    <w:rsid w:val="000D5C17"/>
    <w:rsid w:val="000E0D59"/>
    <w:rsid w:val="000E111D"/>
    <w:rsid w:val="000E1E58"/>
    <w:rsid w:val="000E5325"/>
    <w:rsid w:val="000E5AA9"/>
    <w:rsid w:val="000E5B0A"/>
    <w:rsid w:val="000E5FFF"/>
    <w:rsid w:val="000E7ACD"/>
    <w:rsid w:val="000F15FD"/>
    <w:rsid w:val="000F1B8A"/>
    <w:rsid w:val="000F1C09"/>
    <w:rsid w:val="000F364E"/>
    <w:rsid w:val="000F59DC"/>
    <w:rsid w:val="000F5D9F"/>
    <w:rsid w:val="000F7674"/>
    <w:rsid w:val="000F7C3F"/>
    <w:rsid w:val="000F7DE8"/>
    <w:rsid w:val="001005C2"/>
    <w:rsid w:val="00101A2A"/>
    <w:rsid w:val="001100F8"/>
    <w:rsid w:val="001102CE"/>
    <w:rsid w:val="00112006"/>
    <w:rsid w:val="00114021"/>
    <w:rsid w:val="001151FD"/>
    <w:rsid w:val="0011570D"/>
    <w:rsid w:val="0012026E"/>
    <w:rsid w:val="0012116D"/>
    <w:rsid w:val="001227CD"/>
    <w:rsid w:val="0012309E"/>
    <w:rsid w:val="00124C76"/>
    <w:rsid w:val="001267D7"/>
    <w:rsid w:val="00127F37"/>
    <w:rsid w:val="001313E1"/>
    <w:rsid w:val="00132534"/>
    <w:rsid w:val="001349A3"/>
    <w:rsid w:val="00137FE1"/>
    <w:rsid w:val="00142789"/>
    <w:rsid w:val="00143253"/>
    <w:rsid w:val="00151418"/>
    <w:rsid w:val="001603FD"/>
    <w:rsid w:val="00160672"/>
    <w:rsid w:val="00162868"/>
    <w:rsid w:val="00164CD5"/>
    <w:rsid w:val="001654FE"/>
    <w:rsid w:val="00167F07"/>
    <w:rsid w:val="00171492"/>
    <w:rsid w:val="001755AA"/>
    <w:rsid w:val="001762AE"/>
    <w:rsid w:val="00177109"/>
    <w:rsid w:val="00182947"/>
    <w:rsid w:val="00183C0A"/>
    <w:rsid w:val="001915BF"/>
    <w:rsid w:val="00191E34"/>
    <w:rsid w:val="00192933"/>
    <w:rsid w:val="0019321B"/>
    <w:rsid w:val="001936F5"/>
    <w:rsid w:val="00195CE9"/>
    <w:rsid w:val="00196263"/>
    <w:rsid w:val="00196BF2"/>
    <w:rsid w:val="00197F84"/>
    <w:rsid w:val="001A1FEC"/>
    <w:rsid w:val="001A3D86"/>
    <w:rsid w:val="001A3F6E"/>
    <w:rsid w:val="001A55D2"/>
    <w:rsid w:val="001B0595"/>
    <w:rsid w:val="001B08EE"/>
    <w:rsid w:val="001B1403"/>
    <w:rsid w:val="001B1EAE"/>
    <w:rsid w:val="001B5209"/>
    <w:rsid w:val="001B57ED"/>
    <w:rsid w:val="001B5E82"/>
    <w:rsid w:val="001B7F18"/>
    <w:rsid w:val="001C00CE"/>
    <w:rsid w:val="001C2C36"/>
    <w:rsid w:val="001C2D4E"/>
    <w:rsid w:val="001C4EB1"/>
    <w:rsid w:val="001C63D0"/>
    <w:rsid w:val="001D134B"/>
    <w:rsid w:val="001D145D"/>
    <w:rsid w:val="001D16FA"/>
    <w:rsid w:val="001D3289"/>
    <w:rsid w:val="001D3851"/>
    <w:rsid w:val="001D468C"/>
    <w:rsid w:val="001D72AF"/>
    <w:rsid w:val="001D75E6"/>
    <w:rsid w:val="001E1E1B"/>
    <w:rsid w:val="001E3532"/>
    <w:rsid w:val="001E4A11"/>
    <w:rsid w:val="001E593C"/>
    <w:rsid w:val="001E698E"/>
    <w:rsid w:val="001E7DA1"/>
    <w:rsid w:val="001F24A7"/>
    <w:rsid w:val="001F362A"/>
    <w:rsid w:val="001F3E50"/>
    <w:rsid w:val="001F7957"/>
    <w:rsid w:val="00201D3F"/>
    <w:rsid w:val="00202101"/>
    <w:rsid w:val="00204C2C"/>
    <w:rsid w:val="00213C9F"/>
    <w:rsid w:val="00215D65"/>
    <w:rsid w:val="002171BC"/>
    <w:rsid w:val="002200D9"/>
    <w:rsid w:val="00222022"/>
    <w:rsid w:val="00223A3D"/>
    <w:rsid w:val="00223A5B"/>
    <w:rsid w:val="002250AF"/>
    <w:rsid w:val="00226288"/>
    <w:rsid w:val="002273D5"/>
    <w:rsid w:val="00227942"/>
    <w:rsid w:val="00227C4E"/>
    <w:rsid w:val="002322A1"/>
    <w:rsid w:val="00232757"/>
    <w:rsid w:val="00236AAE"/>
    <w:rsid w:val="00236C1E"/>
    <w:rsid w:val="00240CF7"/>
    <w:rsid w:val="002410AF"/>
    <w:rsid w:val="002461E4"/>
    <w:rsid w:val="00246ACC"/>
    <w:rsid w:val="0024775C"/>
    <w:rsid w:val="00251C54"/>
    <w:rsid w:val="00253AF6"/>
    <w:rsid w:val="00254918"/>
    <w:rsid w:val="00254B1E"/>
    <w:rsid w:val="00256261"/>
    <w:rsid w:val="0026017D"/>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23FF"/>
    <w:rsid w:val="002937AD"/>
    <w:rsid w:val="00293E90"/>
    <w:rsid w:val="00296224"/>
    <w:rsid w:val="002A1D57"/>
    <w:rsid w:val="002A2EEA"/>
    <w:rsid w:val="002A3769"/>
    <w:rsid w:val="002B155F"/>
    <w:rsid w:val="002B36DB"/>
    <w:rsid w:val="002B37BD"/>
    <w:rsid w:val="002B53BA"/>
    <w:rsid w:val="002B7094"/>
    <w:rsid w:val="002C49F8"/>
    <w:rsid w:val="002D0819"/>
    <w:rsid w:val="002D68C7"/>
    <w:rsid w:val="002D7B0A"/>
    <w:rsid w:val="002E1725"/>
    <w:rsid w:val="002E6686"/>
    <w:rsid w:val="002E6878"/>
    <w:rsid w:val="002F3C31"/>
    <w:rsid w:val="002F7631"/>
    <w:rsid w:val="00305111"/>
    <w:rsid w:val="003063D3"/>
    <w:rsid w:val="00316E08"/>
    <w:rsid w:val="00320069"/>
    <w:rsid w:val="00321E90"/>
    <w:rsid w:val="003245E9"/>
    <w:rsid w:val="00324927"/>
    <w:rsid w:val="00326F5E"/>
    <w:rsid w:val="00332565"/>
    <w:rsid w:val="00333B9D"/>
    <w:rsid w:val="0033582F"/>
    <w:rsid w:val="00336851"/>
    <w:rsid w:val="003370EF"/>
    <w:rsid w:val="003379A5"/>
    <w:rsid w:val="0034156F"/>
    <w:rsid w:val="00342EBC"/>
    <w:rsid w:val="0034756C"/>
    <w:rsid w:val="00347D10"/>
    <w:rsid w:val="00350C25"/>
    <w:rsid w:val="00355A30"/>
    <w:rsid w:val="00360F91"/>
    <w:rsid w:val="003625F3"/>
    <w:rsid w:val="00363A01"/>
    <w:rsid w:val="00364677"/>
    <w:rsid w:val="00366292"/>
    <w:rsid w:val="00366FBB"/>
    <w:rsid w:val="00370553"/>
    <w:rsid w:val="00373335"/>
    <w:rsid w:val="003743FB"/>
    <w:rsid w:val="00377C47"/>
    <w:rsid w:val="003810FD"/>
    <w:rsid w:val="00382009"/>
    <w:rsid w:val="00382B70"/>
    <w:rsid w:val="003833DB"/>
    <w:rsid w:val="00384A73"/>
    <w:rsid w:val="00384E94"/>
    <w:rsid w:val="00387E10"/>
    <w:rsid w:val="003904AE"/>
    <w:rsid w:val="00390C7F"/>
    <w:rsid w:val="00392B8B"/>
    <w:rsid w:val="00395E5E"/>
    <w:rsid w:val="003A2BCD"/>
    <w:rsid w:val="003A3721"/>
    <w:rsid w:val="003A5565"/>
    <w:rsid w:val="003A6B86"/>
    <w:rsid w:val="003A6F65"/>
    <w:rsid w:val="003A7B39"/>
    <w:rsid w:val="003B73A6"/>
    <w:rsid w:val="003C19F2"/>
    <w:rsid w:val="003C1AB3"/>
    <w:rsid w:val="003C1C3A"/>
    <w:rsid w:val="003C6EF6"/>
    <w:rsid w:val="003E20B0"/>
    <w:rsid w:val="003E3EC5"/>
    <w:rsid w:val="003E4AAA"/>
    <w:rsid w:val="003E5417"/>
    <w:rsid w:val="003E588B"/>
    <w:rsid w:val="003E5DC6"/>
    <w:rsid w:val="003E71A1"/>
    <w:rsid w:val="003F039B"/>
    <w:rsid w:val="003F0D21"/>
    <w:rsid w:val="003F4CE3"/>
    <w:rsid w:val="003F4DA6"/>
    <w:rsid w:val="003F4FD8"/>
    <w:rsid w:val="003F6884"/>
    <w:rsid w:val="003F6AB7"/>
    <w:rsid w:val="003F6ABF"/>
    <w:rsid w:val="004002C9"/>
    <w:rsid w:val="00401C65"/>
    <w:rsid w:val="0040214A"/>
    <w:rsid w:val="0040658D"/>
    <w:rsid w:val="00406CCE"/>
    <w:rsid w:val="0041207D"/>
    <w:rsid w:val="00412C71"/>
    <w:rsid w:val="0041418F"/>
    <w:rsid w:val="00415801"/>
    <w:rsid w:val="004161A8"/>
    <w:rsid w:val="00421A28"/>
    <w:rsid w:val="00422A63"/>
    <w:rsid w:val="00423028"/>
    <w:rsid w:val="00424AFA"/>
    <w:rsid w:val="00424F2D"/>
    <w:rsid w:val="00426E70"/>
    <w:rsid w:val="00427C9D"/>
    <w:rsid w:val="00431F50"/>
    <w:rsid w:val="0043331E"/>
    <w:rsid w:val="00433F18"/>
    <w:rsid w:val="00434CB7"/>
    <w:rsid w:val="00434CFC"/>
    <w:rsid w:val="00435964"/>
    <w:rsid w:val="004364A0"/>
    <w:rsid w:val="00442403"/>
    <w:rsid w:val="00444A7B"/>
    <w:rsid w:val="00445571"/>
    <w:rsid w:val="00446462"/>
    <w:rsid w:val="0045074C"/>
    <w:rsid w:val="00451956"/>
    <w:rsid w:val="0045258A"/>
    <w:rsid w:val="0045271C"/>
    <w:rsid w:val="00457AAF"/>
    <w:rsid w:val="00460A28"/>
    <w:rsid w:val="00466B06"/>
    <w:rsid w:val="0046703B"/>
    <w:rsid w:val="00472E6B"/>
    <w:rsid w:val="0047379A"/>
    <w:rsid w:val="004737A0"/>
    <w:rsid w:val="00473F80"/>
    <w:rsid w:val="004752DC"/>
    <w:rsid w:val="00477B40"/>
    <w:rsid w:val="004806BC"/>
    <w:rsid w:val="00482176"/>
    <w:rsid w:val="0048229C"/>
    <w:rsid w:val="004864D1"/>
    <w:rsid w:val="00486E73"/>
    <w:rsid w:val="00491DD9"/>
    <w:rsid w:val="004932CE"/>
    <w:rsid w:val="00494589"/>
    <w:rsid w:val="00495D8A"/>
    <w:rsid w:val="0049697C"/>
    <w:rsid w:val="00496C58"/>
    <w:rsid w:val="004A1855"/>
    <w:rsid w:val="004A1928"/>
    <w:rsid w:val="004A1D5D"/>
    <w:rsid w:val="004A2E61"/>
    <w:rsid w:val="004A5D3E"/>
    <w:rsid w:val="004B0B03"/>
    <w:rsid w:val="004B2814"/>
    <w:rsid w:val="004B2DA5"/>
    <w:rsid w:val="004B4C0D"/>
    <w:rsid w:val="004B5248"/>
    <w:rsid w:val="004B6036"/>
    <w:rsid w:val="004B6B3A"/>
    <w:rsid w:val="004B719F"/>
    <w:rsid w:val="004B732B"/>
    <w:rsid w:val="004B7A10"/>
    <w:rsid w:val="004C1CA0"/>
    <w:rsid w:val="004C260D"/>
    <w:rsid w:val="004C443F"/>
    <w:rsid w:val="004C4516"/>
    <w:rsid w:val="004C63DF"/>
    <w:rsid w:val="004C7E40"/>
    <w:rsid w:val="004D070D"/>
    <w:rsid w:val="004D125E"/>
    <w:rsid w:val="004D3EF9"/>
    <w:rsid w:val="004D489D"/>
    <w:rsid w:val="004E03FC"/>
    <w:rsid w:val="004E3AFC"/>
    <w:rsid w:val="004E6740"/>
    <w:rsid w:val="004F38DE"/>
    <w:rsid w:val="004F3CD9"/>
    <w:rsid w:val="004F3F53"/>
    <w:rsid w:val="004F4D11"/>
    <w:rsid w:val="004F5996"/>
    <w:rsid w:val="004F7AE7"/>
    <w:rsid w:val="0050051D"/>
    <w:rsid w:val="0050644A"/>
    <w:rsid w:val="00506C39"/>
    <w:rsid w:val="00506E42"/>
    <w:rsid w:val="0051068A"/>
    <w:rsid w:val="0051143F"/>
    <w:rsid w:val="00514EAA"/>
    <w:rsid w:val="0051683F"/>
    <w:rsid w:val="00517185"/>
    <w:rsid w:val="005172AD"/>
    <w:rsid w:val="00520DF1"/>
    <w:rsid w:val="005212CE"/>
    <w:rsid w:val="005232DD"/>
    <w:rsid w:val="00524266"/>
    <w:rsid w:val="005256CB"/>
    <w:rsid w:val="0052576E"/>
    <w:rsid w:val="005257AE"/>
    <w:rsid w:val="005277D0"/>
    <w:rsid w:val="0053211F"/>
    <w:rsid w:val="00532DF4"/>
    <w:rsid w:val="0053490F"/>
    <w:rsid w:val="00534A39"/>
    <w:rsid w:val="005351AF"/>
    <w:rsid w:val="00535CAA"/>
    <w:rsid w:val="00537670"/>
    <w:rsid w:val="00537ED8"/>
    <w:rsid w:val="005442AF"/>
    <w:rsid w:val="00544D41"/>
    <w:rsid w:val="00545A0A"/>
    <w:rsid w:val="00551460"/>
    <w:rsid w:val="00553E3E"/>
    <w:rsid w:val="00555343"/>
    <w:rsid w:val="00557A45"/>
    <w:rsid w:val="00557BD9"/>
    <w:rsid w:val="00557C09"/>
    <w:rsid w:val="00561DCF"/>
    <w:rsid w:val="00562E7B"/>
    <w:rsid w:val="005668AE"/>
    <w:rsid w:val="005669A3"/>
    <w:rsid w:val="00567B32"/>
    <w:rsid w:val="00572AB5"/>
    <w:rsid w:val="00574FB7"/>
    <w:rsid w:val="005770D1"/>
    <w:rsid w:val="00580BAA"/>
    <w:rsid w:val="0058163F"/>
    <w:rsid w:val="00582AD1"/>
    <w:rsid w:val="00582BD9"/>
    <w:rsid w:val="00585296"/>
    <w:rsid w:val="00585D12"/>
    <w:rsid w:val="00591298"/>
    <w:rsid w:val="00592E0B"/>
    <w:rsid w:val="00595671"/>
    <w:rsid w:val="005A129B"/>
    <w:rsid w:val="005A4280"/>
    <w:rsid w:val="005A700A"/>
    <w:rsid w:val="005A72D6"/>
    <w:rsid w:val="005B3043"/>
    <w:rsid w:val="005B3C12"/>
    <w:rsid w:val="005C10D6"/>
    <w:rsid w:val="005C51BC"/>
    <w:rsid w:val="005C6A71"/>
    <w:rsid w:val="005C744D"/>
    <w:rsid w:val="005D01C0"/>
    <w:rsid w:val="005D155D"/>
    <w:rsid w:val="005D1B01"/>
    <w:rsid w:val="005D2183"/>
    <w:rsid w:val="005D37EC"/>
    <w:rsid w:val="005D42C0"/>
    <w:rsid w:val="005D624D"/>
    <w:rsid w:val="005D6FB6"/>
    <w:rsid w:val="005E206D"/>
    <w:rsid w:val="005E2E8F"/>
    <w:rsid w:val="005E4D8E"/>
    <w:rsid w:val="005E520A"/>
    <w:rsid w:val="005F0B8B"/>
    <w:rsid w:val="005F57BE"/>
    <w:rsid w:val="005F5924"/>
    <w:rsid w:val="005F6495"/>
    <w:rsid w:val="005F75F2"/>
    <w:rsid w:val="0060053B"/>
    <w:rsid w:val="006013FA"/>
    <w:rsid w:val="0060233D"/>
    <w:rsid w:val="0061066F"/>
    <w:rsid w:val="0061176B"/>
    <w:rsid w:val="006122B9"/>
    <w:rsid w:val="006130E6"/>
    <w:rsid w:val="00613D59"/>
    <w:rsid w:val="0061517F"/>
    <w:rsid w:val="00616D49"/>
    <w:rsid w:val="006210CD"/>
    <w:rsid w:val="006210DA"/>
    <w:rsid w:val="0062165E"/>
    <w:rsid w:val="00621C55"/>
    <w:rsid w:val="0062482D"/>
    <w:rsid w:val="00625ECE"/>
    <w:rsid w:val="006264E7"/>
    <w:rsid w:val="00626DE6"/>
    <w:rsid w:val="0062719B"/>
    <w:rsid w:val="00627B48"/>
    <w:rsid w:val="00627B93"/>
    <w:rsid w:val="00630989"/>
    <w:rsid w:val="00632B44"/>
    <w:rsid w:val="006334E9"/>
    <w:rsid w:val="00633AF7"/>
    <w:rsid w:val="006362F6"/>
    <w:rsid w:val="00642E8D"/>
    <w:rsid w:val="00643E18"/>
    <w:rsid w:val="00645779"/>
    <w:rsid w:val="006457B2"/>
    <w:rsid w:val="0064785C"/>
    <w:rsid w:val="00647C3E"/>
    <w:rsid w:val="00652403"/>
    <w:rsid w:val="006546B3"/>
    <w:rsid w:val="00654D9A"/>
    <w:rsid w:val="00655FFC"/>
    <w:rsid w:val="00657AED"/>
    <w:rsid w:val="00657F75"/>
    <w:rsid w:val="00661C10"/>
    <w:rsid w:val="00661C32"/>
    <w:rsid w:val="00662104"/>
    <w:rsid w:val="006665C9"/>
    <w:rsid w:val="00667475"/>
    <w:rsid w:val="006674A2"/>
    <w:rsid w:val="00671CE7"/>
    <w:rsid w:val="006726C0"/>
    <w:rsid w:val="00672AFF"/>
    <w:rsid w:val="006739C0"/>
    <w:rsid w:val="00673A78"/>
    <w:rsid w:val="00681A9F"/>
    <w:rsid w:val="00683D30"/>
    <w:rsid w:val="00684238"/>
    <w:rsid w:val="0068424A"/>
    <w:rsid w:val="00686B0B"/>
    <w:rsid w:val="00686D1F"/>
    <w:rsid w:val="006873C4"/>
    <w:rsid w:val="00687677"/>
    <w:rsid w:val="00687882"/>
    <w:rsid w:val="00691070"/>
    <w:rsid w:val="00697BCA"/>
    <w:rsid w:val="006A154D"/>
    <w:rsid w:val="006A4CD1"/>
    <w:rsid w:val="006A592E"/>
    <w:rsid w:val="006B0D19"/>
    <w:rsid w:val="006B0DE8"/>
    <w:rsid w:val="006B3565"/>
    <w:rsid w:val="006B642D"/>
    <w:rsid w:val="006B73A9"/>
    <w:rsid w:val="006C2052"/>
    <w:rsid w:val="006D0AB3"/>
    <w:rsid w:val="006D32A7"/>
    <w:rsid w:val="006D50A8"/>
    <w:rsid w:val="006D678D"/>
    <w:rsid w:val="006D6C3A"/>
    <w:rsid w:val="006E0562"/>
    <w:rsid w:val="006E152B"/>
    <w:rsid w:val="006E462F"/>
    <w:rsid w:val="006E50F0"/>
    <w:rsid w:val="006E64F6"/>
    <w:rsid w:val="006E675A"/>
    <w:rsid w:val="006F26A9"/>
    <w:rsid w:val="006F2E78"/>
    <w:rsid w:val="006F3859"/>
    <w:rsid w:val="006F5372"/>
    <w:rsid w:val="006F63B1"/>
    <w:rsid w:val="006F7497"/>
    <w:rsid w:val="00700409"/>
    <w:rsid w:val="00700F2F"/>
    <w:rsid w:val="00701260"/>
    <w:rsid w:val="007023F0"/>
    <w:rsid w:val="00703594"/>
    <w:rsid w:val="00703BC0"/>
    <w:rsid w:val="00704E6A"/>
    <w:rsid w:val="0070663A"/>
    <w:rsid w:val="00707420"/>
    <w:rsid w:val="00710DB2"/>
    <w:rsid w:val="007113FC"/>
    <w:rsid w:val="007243B0"/>
    <w:rsid w:val="00724BCE"/>
    <w:rsid w:val="00730627"/>
    <w:rsid w:val="00732BC8"/>
    <w:rsid w:val="007334A6"/>
    <w:rsid w:val="00737C0C"/>
    <w:rsid w:val="00740AD8"/>
    <w:rsid w:val="00740B03"/>
    <w:rsid w:val="0074213D"/>
    <w:rsid w:val="007423A7"/>
    <w:rsid w:val="007428EC"/>
    <w:rsid w:val="007462A7"/>
    <w:rsid w:val="00746E60"/>
    <w:rsid w:val="00751FF2"/>
    <w:rsid w:val="007552F4"/>
    <w:rsid w:val="00755EFF"/>
    <w:rsid w:val="00760C2F"/>
    <w:rsid w:val="00762126"/>
    <w:rsid w:val="007675BB"/>
    <w:rsid w:val="007756E7"/>
    <w:rsid w:val="00775C40"/>
    <w:rsid w:val="00776D45"/>
    <w:rsid w:val="00781F9E"/>
    <w:rsid w:val="0078211F"/>
    <w:rsid w:val="00783437"/>
    <w:rsid w:val="007834B7"/>
    <w:rsid w:val="00784AE2"/>
    <w:rsid w:val="007870A2"/>
    <w:rsid w:val="007879BE"/>
    <w:rsid w:val="00787A33"/>
    <w:rsid w:val="00787FAD"/>
    <w:rsid w:val="00790D3A"/>
    <w:rsid w:val="00792041"/>
    <w:rsid w:val="00792BDF"/>
    <w:rsid w:val="00792BFE"/>
    <w:rsid w:val="007A0A6D"/>
    <w:rsid w:val="007A4FFC"/>
    <w:rsid w:val="007A6518"/>
    <w:rsid w:val="007A67AA"/>
    <w:rsid w:val="007A6A78"/>
    <w:rsid w:val="007A73ED"/>
    <w:rsid w:val="007B4F60"/>
    <w:rsid w:val="007B7C58"/>
    <w:rsid w:val="007C4D82"/>
    <w:rsid w:val="007C56EC"/>
    <w:rsid w:val="007C7218"/>
    <w:rsid w:val="007D3848"/>
    <w:rsid w:val="007D55A4"/>
    <w:rsid w:val="007D6086"/>
    <w:rsid w:val="007E2DE7"/>
    <w:rsid w:val="007E2F41"/>
    <w:rsid w:val="007E577D"/>
    <w:rsid w:val="007E6379"/>
    <w:rsid w:val="007E6674"/>
    <w:rsid w:val="007E7DE5"/>
    <w:rsid w:val="007F41D9"/>
    <w:rsid w:val="007F597C"/>
    <w:rsid w:val="007F62A7"/>
    <w:rsid w:val="00800201"/>
    <w:rsid w:val="00804C69"/>
    <w:rsid w:val="00805EA4"/>
    <w:rsid w:val="008234B4"/>
    <w:rsid w:val="0082570F"/>
    <w:rsid w:val="008271A7"/>
    <w:rsid w:val="00831D70"/>
    <w:rsid w:val="00834948"/>
    <w:rsid w:val="0083574B"/>
    <w:rsid w:val="00835B86"/>
    <w:rsid w:val="00836D4F"/>
    <w:rsid w:val="00840B0B"/>
    <w:rsid w:val="0084259C"/>
    <w:rsid w:val="00842C6B"/>
    <w:rsid w:val="00851A33"/>
    <w:rsid w:val="008524D1"/>
    <w:rsid w:val="00852509"/>
    <w:rsid w:val="008548F1"/>
    <w:rsid w:val="008560B9"/>
    <w:rsid w:val="008570FF"/>
    <w:rsid w:val="008571BD"/>
    <w:rsid w:val="008647DD"/>
    <w:rsid w:val="0086649D"/>
    <w:rsid w:val="00866514"/>
    <w:rsid w:val="008700AB"/>
    <w:rsid w:val="0087062D"/>
    <w:rsid w:val="00873892"/>
    <w:rsid w:val="0087390A"/>
    <w:rsid w:val="0087472B"/>
    <w:rsid w:val="00874A38"/>
    <w:rsid w:val="00874D48"/>
    <w:rsid w:val="00881553"/>
    <w:rsid w:val="008834C3"/>
    <w:rsid w:val="00883702"/>
    <w:rsid w:val="0088388A"/>
    <w:rsid w:val="00883A3D"/>
    <w:rsid w:val="00885112"/>
    <w:rsid w:val="00885C3E"/>
    <w:rsid w:val="00885E22"/>
    <w:rsid w:val="00887AEE"/>
    <w:rsid w:val="00887F80"/>
    <w:rsid w:val="00890856"/>
    <w:rsid w:val="00891D53"/>
    <w:rsid w:val="00892251"/>
    <w:rsid w:val="00892F45"/>
    <w:rsid w:val="00894421"/>
    <w:rsid w:val="00897014"/>
    <w:rsid w:val="00897CAC"/>
    <w:rsid w:val="008A07B2"/>
    <w:rsid w:val="008A1C35"/>
    <w:rsid w:val="008A1D62"/>
    <w:rsid w:val="008A26E6"/>
    <w:rsid w:val="008A77CA"/>
    <w:rsid w:val="008A7DD9"/>
    <w:rsid w:val="008B1940"/>
    <w:rsid w:val="008B332B"/>
    <w:rsid w:val="008B3F55"/>
    <w:rsid w:val="008B44B1"/>
    <w:rsid w:val="008C31FF"/>
    <w:rsid w:val="008C5C2F"/>
    <w:rsid w:val="008C7016"/>
    <w:rsid w:val="008C77B3"/>
    <w:rsid w:val="008D2AD8"/>
    <w:rsid w:val="008D2D58"/>
    <w:rsid w:val="008D3233"/>
    <w:rsid w:val="008E03F2"/>
    <w:rsid w:val="008E180B"/>
    <w:rsid w:val="008E1C28"/>
    <w:rsid w:val="008E5F3F"/>
    <w:rsid w:val="008F060F"/>
    <w:rsid w:val="008F1572"/>
    <w:rsid w:val="008F3733"/>
    <w:rsid w:val="008F4072"/>
    <w:rsid w:val="008F5A3B"/>
    <w:rsid w:val="008F5F96"/>
    <w:rsid w:val="00904629"/>
    <w:rsid w:val="009062AD"/>
    <w:rsid w:val="00907096"/>
    <w:rsid w:val="009104D4"/>
    <w:rsid w:val="00910CA5"/>
    <w:rsid w:val="0091456A"/>
    <w:rsid w:val="00916A7D"/>
    <w:rsid w:val="00917D1F"/>
    <w:rsid w:val="00921BC4"/>
    <w:rsid w:val="009230EA"/>
    <w:rsid w:val="0092577F"/>
    <w:rsid w:val="0093027F"/>
    <w:rsid w:val="0093195B"/>
    <w:rsid w:val="009329B2"/>
    <w:rsid w:val="0093371B"/>
    <w:rsid w:val="00933B15"/>
    <w:rsid w:val="00934498"/>
    <w:rsid w:val="00935139"/>
    <w:rsid w:val="00936BD4"/>
    <w:rsid w:val="0094013C"/>
    <w:rsid w:val="00942435"/>
    <w:rsid w:val="009447B7"/>
    <w:rsid w:val="00944B6F"/>
    <w:rsid w:val="00953EC7"/>
    <w:rsid w:val="009554A8"/>
    <w:rsid w:val="009555E6"/>
    <w:rsid w:val="00956945"/>
    <w:rsid w:val="00956E1C"/>
    <w:rsid w:val="009616FC"/>
    <w:rsid w:val="009633A3"/>
    <w:rsid w:val="0096359A"/>
    <w:rsid w:val="009653FF"/>
    <w:rsid w:val="00970F8D"/>
    <w:rsid w:val="00972EF2"/>
    <w:rsid w:val="00975D32"/>
    <w:rsid w:val="00976488"/>
    <w:rsid w:val="00977ED1"/>
    <w:rsid w:val="0098006B"/>
    <w:rsid w:val="0098127F"/>
    <w:rsid w:val="00982CC9"/>
    <w:rsid w:val="00983149"/>
    <w:rsid w:val="00984EBC"/>
    <w:rsid w:val="00985BF5"/>
    <w:rsid w:val="00987ED0"/>
    <w:rsid w:val="00991689"/>
    <w:rsid w:val="00991B5F"/>
    <w:rsid w:val="00992E3D"/>
    <w:rsid w:val="00994B1F"/>
    <w:rsid w:val="00995E4A"/>
    <w:rsid w:val="009A15DE"/>
    <w:rsid w:val="009A1C29"/>
    <w:rsid w:val="009A4FBE"/>
    <w:rsid w:val="009A7BF0"/>
    <w:rsid w:val="009B053D"/>
    <w:rsid w:val="009B1B8F"/>
    <w:rsid w:val="009B56F9"/>
    <w:rsid w:val="009B715C"/>
    <w:rsid w:val="009C1057"/>
    <w:rsid w:val="009C2184"/>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20FE"/>
    <w:rsid w:val="009E59A4"/>
    <w:rsid w:val="009E6B3C"/>
    <w:rsid w:val="009F2D60"/>
    <w:rsid w:val="009F4074"/>
    <w:rsid w:val="009F41EE"/>
    <w:rsid w:val="009F4861"/>
    <w:rsid w:val="00A00971"/>
    <w:rsid w:val="00A029E4"/>
    <w:rsid w:val="00A05E02"/>
    <w:rsid w:val="00A05EBB"/>
    <w:rsid w:val="00A06F03"/>
    <w:rsid w:val="00A116FE"/>
    <w:rsid w:val="00A12186"/>
    <w:rsid w:val="00A1247B"/>
    <w:rsid w:val="00A14143"/>
    <w:rsid w:val="00A149F4"/>
    <w:rsid w:val="00A154D9"/>
    <w:rsid w:val="00A25599"/>
    <w:rsid w:val="00A279CF"/>
    <w:rsid w:val="00A315E3"/>
    <w:rsid w:val="00A33B12"/>
    <w:rsid w:val="00A35725"/>
    <w:rsid w:val="00A35871"/>
    <w:rsid w:val="00A375C9"/>
    <w:rsid w:val="00A37EEF"/>
    <w:rsid w:val="00A40744"/>
    <w:rsid w:val="00A41AB6"/>
    <w:rsid w:val="00A424E2"/>
    <w:rsid w:val="00A43B8B"/>
    <w:rsid w:val="00A51AE1"/>
    <w:rsid w:val="00A55072"/>
    <w:rsid w:val="00A5585C"/>
    <w:rsid w:val="00A56B35"/>
    <w:rsid w:val="00A56E72"/>
    <w:rsid w:val="00A61EDD"/>
    <w:rsid w:val="00A624F9"/>
    <w:rsid w:val="00A6263A"/>
    <w:rsid w:val="00A631B9"/>
    <w:rsid w:val="00A634F4"/>
    <w:rsid w:val="00A63B74"/>
    <w:rsid w:val="00A65183"/>
    <w:rsid w:val="00A657BD"/>
    <w:rsid w:val="00A6607E"/>
    <w:rsid w:val="00A661B0"/>
    <w:rsid w:val="00A66A0F"/>
    <w:rsid w:val="00A70F11"/>
    <w:rsid w:val="00A72BC5"/>
    <w:rsid w:val="00A73CD7"/>
    <w:rsid w:val="00A74538"/>
    <w:rsid w:val="00A77811"/>
    <w:rsid w:val="00A81E50"/>
    <w:rsid w:val="00A81EAD"/>
    <w:rsid w:val="00A82DEB"/>
    <w:rsid w:val="00A835AA"/>
    <w:rsid w:val="00A93982"/>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7928"/>
    <w:rsid w:val="00AC5A11"/>
    <w:rsid w:val="00AC70B1"/>
    <w:rsid w:val="00AC7946"/>
    <w:rsid w:val="00AC7EF6"/>
    <w:rsid w:val="00AD037A"/>
    <w:rsid w:val="00AD40A6"/>
    <w:rsid w:val="00AD4562"/>
    <w:rsid w:val="00AD5A7E"/>
    <w:rsid w:val="00AD5C66"/>
    <w:rsid w:val="00AE076C"/>
    <w:rsid w:val="00AE2681"/>
    <w:rsid w:val="00AE388F"/>
    <w:rsid w:val="00AF3E45"/>
    <w:rsid w:val="00AF6A5C"/>
    <w:rsid w:val="00B01277"/>
    <w:rsid w:val="00B01572"/>
    <w:rsid w:val="00B0186B"/>
    <w:rsid w:val="00B049DD"/>
    <w:rsid w:val="00B04AA2"/>
    <w:rsid w:val="00B05673"/>
    <w:rsid w:val="00B07751"/>
    <w:rsid w:val="00B11DF3"/>
    <w:rsid w:val="00B11FA7"/>
    <w:rsid w:val="00B13386"/>
    <w:rsid w:val="00B13967"/>
    <w:rsid w:val="00B1474E"/>
    <w:rsid w:val="00B21468"/>
    <w:rsid w:val="00B23B8D"/>
    <w:rsid w:val="00B24C4C"/>
    <w:rsid w:val="00B25E09"/>
    <w:rsid w:val="00B274C0"/>
    <w:rsid w:val="00B27D19"/>
    <w:rsid w:val="00B30B58"/>
    <w:rsid w:val="00B3554B"/>
    <w:rsid w:val="00B36C61"/>
    <w:rsid w:val="00B376BF"/>
    <w:rsid w:val="00B41796"/>
    <w:rsid w:val="00B44E3A"/>
    <w:rsid w:val="00B463B6"/>
    <w:rsid w:val="00B50479"/>
    <w:rsid w:val="00B526C4"/>
    <w:rsid w:val="00B5636E"/>
    <w:rsid w:val="00B57B89"/>
    <w:rsid w:val="00B60FB4"/>
    <w:rsid w:val="00B62CCA"/>
    <w:rsid w:val="00B62FBD"/>
    <w:rsid w:val="00B65FB6"/>
    <w:rsid w:val="00B65FF1"/>
    <w:rsid w:val="00B6601C"/>
    <w:rsid w:val="00B6655C"/>
    <w:rsid w:val="00B6673F"/>
    <w:rsid w:val="00B70B60"/>
    <w:rsid w:val="00B721E5"/>
    <w:rsid w:val="00B72939"/>
    <w:rsid w:val="00B73D20"/>
    <w:rsid w:val="00B74E26"/>
    <w:rsid w:val="00B76446"/>
    <w:rsid w:val="00B76CD6"/>
    <w:rsid w:val="00B8219B"/>
    <w:rsid w:val="00B84622"/>
    <w:rsid w:val="00B84970"/>
    <w:rsid w:val="00B85C7D"/>
    <w:rsid w:val="00B869F4"/>
    <w:rsid w:val="00B92D40"/>
    <w:rsid w:val="00B933ED"/>
    <w:rsid w:val="00B93896"/>
    <w:rsid w:val="00B95087"/>
    <w:rsid w:val="00B956AB"/>
    <w:rsid w:val="00B95F16"/>
    <w:rsid w:val="00B9719D"/>
    <w:rsid w:val="00BA1867"/>
    <w:rsid w:val="00BA22B0"/>
    <w:rsid w:val="00BA22F5"/>
    <w:rsid w:val="00BA3208"/>
    <w:rsid w:val="00BA4904"/>
    <w:rsid w:val="00BB5096"/>
    <w:rsid w:val="00BB575C"/>
    <w:rsid w:val="00BC315E"/>
    <w:rsid w:val="00BC484A"/>
    <w:rsid w:val="00BC596F"/>
    <w:rsid w:val="00BC648F"/>
    <w:rsid w:val="00BC752C"/>
    <w:rsid w:val="00BD08B6"/>
    <w:rsid w:val="00BD33F6"/>
    <w:rsid w:val="00BE0424"/>
    <w:rsid w:val="00BE0662"/>
    <w:rsid w:val="00BE1C89"/>
    <w:rsid w:val="00BE21CA"/>
    <w:rsid w:val="00BE2D8D"/>
    <w:rsid w:val="00BE3D09"/>
    <w:rsid w:val="00BE727B"/>
    <w:rsid w:val="00BE7A84"/>
    <w:rsid w:val="00BF0EEA"/>
    <w:rsid w:val="00BF2E1E"/>
    <w:rsid w:val="00BF4DDB"/>
    <w:rsid w:val="00C00315"/>
    <w:rsid w:val="00C0057F"/>
    <w:rsid w:val="00C03F98"/>
    <w:rsid w:val="00C03FFB"/>
    <w:rsid w:val="00C04743"/>
    <w:rsid w:val="00C07163"/>
    <w:rsid w:val="00C118B8"/>
    <w:rsid w:val="00C138FB"/>
    <w:rsid w:val="00C1614B"/>
    <w:rsid w:val="00C162BA"/>
    <w:rsid w:val="00C202EA"/>
    <w:rsid w:val="00C21F2F"/>
    <w:rsid w:val="00C22ECD"/>
    <w:rsid w:val="00C25391"/>
    <w:rsid w:val="00C2553F"/>
    <w:rsid w:val="00C25FD7"/>
    <w:rsid w:val="00C275F1"/>
    <w:rsid w:val="00C31717"/>
    <w:rsid w:val="00C332AC"/>
    <w:rsid w:val="00C34FAE"/>
    <w:rsid w:val="00C35B46"/>
    <w:rsid w:val="00C37062"/>
    <w:rsid w:val="00C377D7"/>
    <w:rsid w:val="00C40974"/>
    <w:rsid w:val="00C43C68"/>
    <w:rsid w:val="00C43EC0"/>
    <w:rsid w:val="00C440F6"/>
    <w:rsid w:val="00C46BE0"/>
    <w:rsid w:val="00C51AD1"/>
    <w:rsid w:val="00C52939"/>
    <w:rsid w:val="00C53708"/>
    <w:rsid w:val="00C57943"/>
    <w:rsid w:val="00C57B55"/>
    <w:rsid w:val="00C60B7E"/>
    <w:rsid w:val="00C60C03"/>
    <w:rsid w:val="00C6491B"/>
    <w:rsid w:val="00C66721"/>
    <w:rsid w:val="00C6746A"/>
    <w:rsid w:val="00C676FE"/>
    <w:rsid w:val="00C70886"/>
    <w:rsid w:val="00C71831"/>
    <w:rsid w:val="00C72D4D"/>
    <w:rsid w:val="00C73C52"/>
    <w:rsid w:val="00C74068"/>
    <w:rsid w:val="00C763D2"/>
    <w:rsid w:val="00C77496"/>
    <w:rsid w:val="00C77B2F"/>
    <w:rsid w:val="00C80146"/>
    <w:rsid w:val="00C80CD7"/>
    <w:rsid w:val="00C8394F"/>
    <w:rsid w:val="00C84AE4"/>
    <w:rsid w:val="00C85003"/>
    <w:rsid w:val="00C901BF"/>
    <w:rsid w:val="00C90AAC"/>
    <w:rsid w:val="00C912A1"/>
    <w:rsid w:val="00C913A9"/>
    <w:rsid w:val="00C926F4"/>
    <w:rsid w:val="00C92CA5"/>
    <w:rsid w:val="00C933D5"/>
    <w:rsid w:val="00C97139"/>
    <w:rsid w:val="00C97796"/>
    <w:rsid w:val="00CA0A67"/>
    <w:rsid w:val="00CA1E03"/>
    <w:rsid w:val="00CA54B0"/>
    <w:rsid w:val="00CA6F27"/>
    <w:rsid w:val="00CA7F7A"/>
    <w:rsid w:val="00CB397D"/>
    <w:rsid w:val="00CB6601"/>
    <w:rsid w:val="00CB667C"/>
    <w:rsid w:val="00CB6B38"/>
    <w:rsid w:val="00CC05C7"/>
    <w:rsid w:val="00CC0839"/>
    <w:rsid w:val="00CC097B"/>
    <w:rsid w:val="00CC2D2B"/>
    <w:rsid w:val="00CC5ECE"/>
    <w:rsid w:val="00CC7CB8"/>
    <w:rsid w:val="00CC7DBC"/>
    <w:rsid w:val="00CD2C75"/>
    <w:rsid w:val="00CD2D82"/>
    <w:rsid w:val="00CD55D4"/>
    <w:rsid w:val="00CE0FC0"/>
    <w:rsid w:val="00CE6333"/>
    <w:rsid w:val="00CE657E"/>
    <w:rsid w:val="00CF0666"/>
    <w:rsid w:val="00CF08C1"/>
    <w:rsid w:val="00CF0F7B"/>
    <w:rsid w:val="00CF1EAF"/>
    <w:rsid w:val="00CF2080"/>
    <w:rsid w:val="00CF50FA"/>
    <w:rsid w:val="00CF629D"/>
    <w:rsid w:val="00CF64F5"/>
    <w:rsid w:val="00CF685B"/>
    <w:rsid w:val="00D0105F"/>
    <w:rsid w:val="00D0210C"/>
    <w:rsid w:val="00D023AD"/>
    <w:rsid w:val="00D03A06"/>
    <w:rsid w:val="00D05F2A"/>
    <w:rsid w:val="00D13AB0"/>
    <w:rsid w:val="00D14CAB"/>
    <w:rsid w:val="00D14FDE"/>
    <w:rsid w:val="00D15C0A"/>
    <w:rsid w:val="00D15EE4"/>
    <w:rsid w:val="00D17FDD"/>
    <w:rsid w:val="00D2392F"/>
    <w:rsid w:val="00D276D6"/>
    <w:rsid w:val="00D303EB"/>
    <w:rsid w:val="00D3148C"/>
    <w:rsid w:val="00D341D9"/>
    <w:rsid w:val="00D43B46"/>
    <w:rsid w:val="00D44972"/>
    <w:rsid w:val="00D44F1A"/>
    <w:rsid w:val="00D45A87"/>
    <w:rsid w:val="00D55E03"/>
    <w:rsid w:val="00D6229F"/>
    <w:rsid w:val="00D62689"/>
    <w:rsid w:val="00D62A11"/>
    <w:rsid w:val="00D62CB5"/>
    <w:rsid w:val="00D62E1A"/>
    <w:rsid w:val="00D6380E"/>
    <w:rsid w:val="00D64E11"/>
    <w:rsid w:val="00D65040"/>
    <w:rsid w:val="00D65868"/>
    <w:rsid w:val="00D65F34"/>
    <w:rsid w:val="00D66112"/>
    <w:rsid w:val="00D67D6A"/>
    <w:rsid w:val="00D70980"/>
    <w:rsid w:val="00D7105D"/>
    <w:rsid w:val="00D748B3"/>
    <w:rsid w:val="00D74AC6"/>
    <w:rsid w:val="00D74D66"/>
    <w:rsid w:val="00D75D28"/>
    <w:rsid w:val="00D76261"/>
    <w:rsid w:val="00D7751E"/>
    <w:rsid w:val="00D813E0"/>
    <w:rsid w:val="00D849A3"/>
    <w:rsid w:val="00D9714C"/>
    <w:rsid w:val="00D97312"/>
    <w:rsid w:val="00DA0E5F"/>
    <w:rsid w:val="00DA11AD"/>
    <w:rsid w:val="00DA31D3"/>
    <w:rsid w:val="00DB27B6"/>
    <w:rsid w:val="00DB2B79"/>
    <w:rsid w:val="00DB4FCC"/>
    <w:rsid w:val="00DB7381"/>
    <w:rsid w:val="00DC2247"/>
    <w:rsid w:val="00DC32A6"/>
    <w:rsid w:val="00DD203E"/>
    <w:rsid w:val="00DD2698"/>
    <w:rsid w:val="00DD562F"/>
    <w:rsid w:val="00DD79C2"/>
    <w:rsid w:val="00DE2029"/>
    <w:rsid w:val="00DE2E94"/>
    <w:rsid w:val="00DE441F"/>
    <w:rsid w:val="00DE5282"/>
    <w:rsid w:val="00DF0873"/>
    <w:rsid w:val="00DF28C7"/>
    <w:rsid w:val="00DF3EC0"/>
    <w:rsid w:val="00DF48C8"/>
    <w:rsid w:val="00DF4C47"/>
    <w:rsid w:val="00DF4EF8"/>
    <w:rsid w:val="00DF5AD8"/>
    <w:rsid w:val="00DF6D38"/>
    <w:rsid w:val="00E00D23"/>
    <w:rsid w:val="00E03FFD"/>
    <w:rsid w:val="00E048FB"/>
    <w:rsid w:val="00E04A03"/>
    <w:rsid w:val="00E10445"/>
    <w:rsid w:val="00E11720"/>
    <w:rsid w:val="00E1243A"/>
    <w:rsid w:val="00E131BD"/>
    <w:rsid w:val="00E14EE8"/>
    <w:rsid w:val="00E15BC6"/>
    <w:rsid w:val="00E16FD8"/>
    <w:rsid w:val="00E202CD"/>
    <w:rsid w:val="00E22A91"/>
    <w:rsid w:val="00E26F20"/>
    <w:rsid w:val="00E27047"/>
    <w:rsid w:val="00E30068"/>
    <w:rsid w:val="00E3100A"/>
    <w:rsid w:val="00E32713"/>
    <w:rsid w:val="00E33C3E"/>
    <w:rsid w:val="00E37C70"/>
    <w:rsid w:val="00E42AB7"/>
    <w:rsid w:val="00E43D3D"/>
    <w:rsid w:val="00E43FC9"/>
    <w:rsid w:val="00E50E2E"/>
    <w:rsid w:val="00E50EEF"/>
    <w:rsid w:val="00E5281E"/>
    <w:rsid w:val="00E53D9F"/>
    <w:rsid w:val="00E54FCD"/>
    <w:rsid w:val="00E55B5B"/>
    <w:rsid w:val="00E57041"/>
    <w:rsid w:val="00E60455"/>
    <w:rsid w:val="00E67A5E"/>
    <w:rsid w:val="00E733A9"/>
    <w:rsid w:val="00E81C02"/>
    <w:rsid w:val="00E83B79"/>
    <w:rsid w:val="00E84D37"/>
    <w:rsid w:val="00E8576E"/>
    <w:rsid w:val="00E86973"/>
    <w:rsid w:val="00E873CB"/>
    <w:rsid w:val="00E902DC"/>
    <w:rsid w:val="00E927F3"/>
    <w:rsid w:val="00E93FE4"/>
    <w:rsid w:val="00E977DE"/>
    <w:rsid w:val="00E9783D"/>
    <w:rsid w:val="00EA2B3B"/>
    <w:rsid w:val="00EA3CC2"/>
    <w:rsid w:val="00EA4FC9"/>
    <w:rsid w:val="00EA7741"/>
    <w:rsid w:val="00EB1A3E"/>
    <w:rsid w:val="00EB504C"/>
    <w:rsid w:val="00EB609C"/>
    <w:rsid w:val="00EC2178"/>
    <w:rsid w:val="00EC4A87"/>
    <w:rsid w:val="00EC593A"/>
    <w:rsid w:val="00EC7525"/>
    <w:rsid w:val="00ED253E"/>
    <w:rsid w:val="00ED6065"/>
    <w:rsid w:val="00ED6A68"/>
    <w:rsid w:val="00ED754A"/>
    <w:rsid w:val="00EE1E72"/>
    <w:rsid w:val="00EE2036"/>
    <w:rsid w:val="00EE5A3C"/>
    <w:rsid w:val="00EE5BFB"/>
    <w:rsid w:val="00EF09EA"/>
    <w:rsid w:val="00EF232A"/>
    <w:rsid w:val="00EF4117"/>
    <w:rsid w:val="00EF4415"/>
    <w:rsid w:val="00EF565B"/>
    <w:rsid w:val="00EF6747"/>
    <w:rsid w:val="00EF6AF4"/>
    <w:rsid w:val="00F03368"/>
    <w:rsid w:val="00F03C63"/>
    <w:rsid w:val="00F07472"/>
    <w:rsid w:val="00F0783D"/>
    <w:rsid w:val="00F11CEB"/>
    <w:rsid w:val="00F129B0"/>
    <w:rsid w:val="00F13477"/>
    <w:rsid w:val="00F15A56"/>
    <w:rsid w:val="00F16EB0"/>
    <w:rsid w:val="00F1772F"/>
    <w:rsid w:val="00F17E38"/>
    <w:rsid w:val="00F2149C"/>
    <w:rsid w:val="00F22BBD"/>
    <w:rsid w:val="00F27329"/>
    <w:rsid w:val="00F304AA"/>
    <w:rsid w:val="00F30FC8"/>
    <w:rsid w:val="00F33410"/>
    <w:rsid w:val="00F3500E"/>
    <w:rsid w:val="00F35256"/>
    <w:rsid w:val="00F35339"/>
    <w:rsid w:val="00F3787E"/>
    <w:rsid w:val="00F40B91"/>
    <w:rsid w:val="00F42893"/>
    <w:rsid w:val="00F4293F"/>
    <w:rsid w:val="00F440A5"/>
    <w:rsid w:val="00F47D19"/>
    <w:rsid w:val="00F47F75"/>
    <w:rsid w:val="00F509CD"/>
    <w:rsid w:val="00F54152"/>
    <w:rsid w:val="00F548E1"/>
    <w:rsid w:val="00F55AF8"/>
    <w:rsid w:val="00F5648E"/>
    <w:rsid w:val="00F614A2"/>
    <w:rsid w:val="00F71957"/>
    <w:rsid w:val="00F7274B"/>
    <w:rsid w:val="00F84124"/>
    <w:rsid w:val="00F852C0"/>
    <w:rsid w:val="00F85670"/>
    <w:rsid w:val="00F939E2"/>
    <w:rsid w:val="00F96055"/>
    <w:rsid w:val="00F96789"/>
    <w:rsid w:val="00F97EB0"/>
    <w:rsid w:val="00FA02FB"/>
    <w:rsid w:val="00FA18CA"/>
    <w:rsid w:val="00FA2A38"/>
    <w:rsid w:val="00FA6B9C"/>
    <w:rsid w:val="00FB0822"/>
    <w:rsid w:val="00FB2B62"/>
    <w:rsid w:val="00FB2F9C"/>
    <w:rsid w:val="00FB39E3"/>
    <w:rsid w:val="00FB42BD"/>
    <w:rsid w:val="00FB48A1"/>
    <w:rsid w:val="00FB49F6"/>
    <w:rsid w:val="00FC1EE1"/>
    <w:rsid w:val="00FC37D0"/>
    <w:rsid w:val="00FC5510"/>
    <w:rsid w:val="00FC5F2B"/>
    <w:rsid w:val="00FD0630"/>
    <w:rsid w:val="00FD0819"/>
    <w:rsid w:val="00FD4F66"/>
    <w:rsid w:val="00FE590B"/>
    <w:rsid w:val="00FE5E09"/>
    <w:rsid w:val="00FE7958"/>
    <w:rsid w:val="00FF603B"/>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A58B7-F5C3-4141-9E1A-D404E726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9C0FA6-3A8C-46CD-8704-6E53D73F1B8D}"/>
</file>

<file path=customXml/itemProps2.xml><?xml version="1.0" encoding="utf-8"?>
<ds:datastoreItem xmlns:ds="http://schemas.openxmlformats.org/officeDocument/2006/customXml" ds:itemID="{BA9D8E67-D064-4951-ABF5-D9519E17A25E}"/>
</file>

<file path=customXml/itemProps3.xml><?xml version="1.0" encoding="utf-8"?>
<ds:datastoreItem xmlns:ds="http://schemas.openxmlformats.org/officeDocument/2006/customXml" ds:itemID="{10ECCD65-D098-4D41-A5D5-11D3D5FB81A1}"/>
</file>

<file path=customXml/itemProps4.xml><?xml version="1.0" encoding="utf-8"?>
<ds:datastoreItem xmlns:ds="http://schemas.openxmlformats.org/officeDocument/2006/customXml" ds:itemID="{13E85F17-D4D7-4CCE-966C-A9D63D753D6A}"/>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2019-12-05T06:52:00Z</cp:lastPrinted>
  <dcterms:created xsi:type="dcterms:W3CDTF">2021-08-02T11:18:00Z</dcterms:created>
  <dcterms:modified xsi:type="dcterms:W3CDTF">2021-08-02T11:18:00Z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