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C9C03" w14:textId="77777777"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14:paraId="1B7A0E49" w14:textId="77777777" w:rsidR="00AB3DEA" w:rsidRPr="005B080A" w:rsidRDefault="00142789" w:rsidP="00AB3DEA">
      <w:pPr>
        <w:jc w:val="center"/>
        <w:rPr>
          <w:rFonts w:ascii="Arial" w:hAnsi="Arial" w:cs="Arial"/>
          <w:b/>
          <w:sz w:val="24"/>
          <w:szCs w:val="24"/>
        </w:rPr>
      </w:pPr>
      <w:r>
        <w:rPr>
          <w:rFonts w:ascii="Arial" w:hAnsi="Arial" w:cs="Arial"/>
          <w:b/>
          <w:sz w:val="24"/>
          <w:szCs w:val="24"/>
        </w:rPr>
        <w:t>RULING</w:t>
      </w:r>
    </w:p>
    <w:p w14:paraId="3482CF47" w14:textId="37D7B012"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3F42C3">
        <w:rPr>
          <w:rFonts w:ascii="Arial" w:hAnsi="Arial" w:cs="Arial"/>
          <w:b/>
          <w:sz w:val="24"/>
          <w:szCs w:val="24"/>
        </w:rPr>
        <w:t>107</w:t>
      </w:r>
      <w:r w:rsidRPr="005B080A">
        <w:rPr>
          <w:rFonts w:ascii="Arial" w:hAnsi="Arial" w:cs="Arial"/>
          <w:b/>
          <w:sz w:val="24"/>
          <w:szCs w:val="24"/>
        </w:rPr>
        <w:t>/</w:t>
      </w:r>
      <w:r w:rsidR="00440780">
        <w:rPr>
          <w:rFonts w:ascii="Arial" w:hAnsi="Arial" w:cs="Arial"/>
          <w:b/>
          <w:sz w:val="24"/>
          <w:szCs w:val="24"/>
        </w:rPr>
        <w:t>20</w:t>
      </w:r>
      <w:r w:rsidR="008010A0">
        <w:rPr>
          <w:rFonts w:ascii="Arial" w:hAnsi="Arial" w:cs="Arial"/>
          <w:b/>
          <w:sz w:val="24"/>
          <w:szCs w:val="24"/>
        </w:rPr>
        <w:t>-</w:t>
      </w:r>
      <w:r w:rsidR="003F42C3">
        <w:rPr>
          <w:rFonts w:ascii="Arial" w:hAnsi="Arial" w:cs="Arial"/>
          <w:b/>
          <w:sz w:val="24"/>
          <w:szCs w:val="24"/>
        </w:rPr>
        <w:t>135</w:t>
      </w:r>
      <w:r w:rsidR="008010A0">
        <w:rPr>
          <w:rFonts w:ascii="Arial" w:hAnsi="Arial" w:cs="Arial"/>
          <w:b/>
          <w:sz w:val="24"/>
          <w:szCs w:val="24"/>
        </w:rPr>
        <w:t xml:space="preserve">/20 </w:t>
      </w:r>
    </w:p>
    <w:p w14:paraId="19569895" w14:textId="77777777" w:rsidR="00AB3DEA" w:rsidRPr="005B080A" w:rsidRDefault="00AB3DEA" w:rsidP="00AB3DEA">
      <w:pPr>
        <w:ind w:firstLine="720"/>
        <w:rPr>
          <w:rFonts w:ascii="Arial" w:hAnsi="Arial" w:cs="Arial"/>
          <w:b/>
          <w:sz w:val="24"/>
          <w:szCs w:val="24"/>
        </w:rPr>
      </w:pPr>
    </w:p>
    <w:p w14:paraId="2A28520A"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67E00F2A"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Vice-President</w:t>
      </w:r>
    </w:p>
    <w:p w14:paraId="19B2ADAE" w14:textId="77777777" w:rsidR="00AB3DEA" w:rsidRPr="005B080A" w:rsidRDefault="00620BAC" w:rsidP="00AB3DEA">
      <w:pPr>
        <w:ind w:left="1440" w:firstLine="720"/>
        <w:jc w:val="both"/>
        <w:rPr>
          <w:rFonts w:ascii="Arial" w:hAnsi="Arial" w:cs="Arial"/>
          <w:b/>
          <w:sz w:val="24"/>
          <w:szCs w:val="24"/>
        </w:rPr>
      </w:pPr>
      <w:r>
        <w:rPr>
          <w:rFonts w:ascii="Arial" w:hAnsi="Arial" w:cs="Arial"/>
          <w:b/>
          <w:sz w:val="24"/>
          <w:szCs w:val="24"/>
        </w:rPr>
        <w:t>Francis Supparayen</w:t>
      </w:r>
      <w:r w:rsidR="00AB3DEA">
        <w:rPr>
          <w:rFonts w:ascii="Arial" w:hAnsi="Arial" w:cs="Arial"/>
          <w:b/>
          <w:sz w:val="24"/>
          <w:szCs w:val="24"/>
        </w:rPr>
        <w:t xml:space="preserve">        </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76BDA381" w14:textId="77777777" w:rsidR="00AB3DEA" w:rsidRPr="005B080A" w:rsidRDefault="00C746BE" w:rsidP="00AB3DEA">
      <w:pPr>
        <w:ind w:left="1440" w:firstLine="720"/>
        <w:jc w:val="both"/>
        <w:rPr>
          <w:rFonts w:ascii="Arial" w:hAnsi="Arial" w:cs="Arial"/>
          <w:b/>
          <w:sz w:val="24"/>
          <w:szCs w:val="24"/>
        </w:rPr>
      </w:pPr>
      <w:r>
        <w:rPr>
          <w:rFonts w:ascii="Arial" w:hAnsi="Arial" w:cs="Arial"/>
          <w:b/>
          <w:sz w:val="24"/>
          <w:szCs w:val="24"/>
        </w:rPr>
        <w:t>Rabin Gungoo</w:t>
      </w:r>
      <w:r>
        <w:rPr>
          <w:rFonts w:ascii="Arial" w:hAnsi="Arial" w:cs="Arial"/>
          <w:b/>
          <w:sz w:val="24"/>
          <w:szCs w:val="24"/>
        </w:rPr>
        <w:tab/>
      </w:r>
      <w:r w:rsidR="00E37C70">
        <w:rPr>
          <w:rFonts w:ascii="Arial" w:hAnsi="Arial" w:cs="Arial"/>
          <w:b/>
          <w:sz w:val="24"/>
          <w:szCs w:val="24"/>
        </w:rPr>
        <w:t xml:space="preserve"> </w:t>
      </w:r>
      <w:r w:rsidR="00AB3DEA" w:rsidRPr="005B080A">
        <w:rPr>
          <w:rFonts w:ascii="Arial" w:hAnsi="Arial" w:cs="Arial"/>
          <w:b/>
          <w:sz w:val="24"/>
          <w:szCs w:val="24"/>
        </w:rPr>
        <w:t xml:space="preserve">  </w:t>
      </w:r>
      <w:r w:rsidR="00AB3DEA">
        <w:rPr>
          <w:rFonts w:ascii="Arial" w:hAnsi="Arial" w:cs="Arial"/>
          <w:b/>
          <w:sz w:val="24"/>
          <w:szCs w:val="24"/>
        </w:rPr>
        <w:t xml:space="preserve">  </w:t>
      </w:r>
      <w:r w:rsidR="00097D74">
        <w:rPr>
          <w:rFonts w:ascii="Arial" w:hAnsi="Arial" w:cs="Arial"/>
          <w:b/>
          <w:sz w:val="24"/>
          <w:szCs w:val="24"/>
        </w:rPr>
        <w:t xml:space="preserve">  </w:t>
      </w:r>
      <w:r w:rsidR="00AB3DEA">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14:paraId="64368E03" w14:textId="32ED2A7B"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3F42C3" w:rsidRPr="002A5F7F">
        <w:rPr>
          <w:rFonts w:ascii="Arial" w:hAnsi="Arial" w:cs="Arial"/>
          <w:b/>
          <w:sz w:val="24"/>
          <w:szCs w:val="24"/>
        </w:rPr>
        <w:t>Ghianeswar Gokhool</w:t>
      </w:r>
      <w:r w:rsidR="00CA6F27">
        <w:rPr>
          <w:rFonts w:ascii="Arial" w:hAnsi="Arial" w:cs="Arial"/>
          <w:b/>
          <w:sz w:val="24"/>
          <w:szCs w:val="24"/>
        </w:rPr>
        <w:t xml:space="preserve"> </w:t>
      </w:r>
      <w:r w:rsidR="00C746BE">
        <w:rPr>
          <w:rFonts w:ascii="Arial" w:hAnsi="Arial" w:cs="Arial"/>
          <w:b/>
          <w:sz w:val="24"/>
          <w:szCs w:val="24"/>
        </w:rPr>
        <w:tab/>
      </w:r>
      <w:r w:rsidR="00AA1FE5">
        <w:rPr>
          <w:rFonts w:ascii="Arial" w:hAnsi="Arial" w:cs="Arial"/>
          <w:b/>
          <w:sz w:val="24"/>
          <w:szCs w:val="24"/>
        </w:rPr>
        <w:t xml:space="preserve">     </w:t>
      </w:r>
      <w:r w:rsidRPr="005B080A">
        <w:rPr>
          <w:rFonts w:ascii="Arial" w:hAnsi="Arial" w:cs="Arial"/>
          <w:b/>
          <w:sz w:val="24"/>
          <w:szCs w:val="24"/>
        </w:rPr>
        <w:t xml:space="preserve">      Member</w:t>
      </w:r>
    </w:p>
    <w:p w14:paraId="52E9B440" w14:textId="77777777" w:rsidR="00840B0B" w:rsidRPr="005B080A" w:rsidRDefault="00840B0B" w:rsidP="00AB3DEA">
      <w:pPr>
        <w:rPr>
          <w:rFonts w:ascii="Arial" w:hAnsi="Arial" w:cs="Arial"/>
          <w:b/>
          <w:sz w:val="24"/>
          <w:szCs w:val="24"/>
        </w:rPr>
      </w:pPr>
    </w:p>
    <w:p w14:paraId="6AB4CF18"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3579AF60" w14:textId="1B448F1A" w:rsidR="00AB3DEA" w:rsidRPr="005B080A" w:rsidRDefault="00620BAC" w:rsidP="00AB3DEA">
      <w:pPr>
        <w:ind w:firstLine="720"/>
        <w:jc w:val="center"/>
        <w:rPr>
          <w:rFonts w:ascii="Arial" w:hAnsi="Arial" w:cs="Arial"/>
          <w:b/>
          <w:sz w:val="24"/>
          <w:szCs w:val="24"/>
        </w:rPr>
      </w:pPr>
      <w:r>
        <w:rPr>
          <w:rFonts w:ascii="Arial" w:hAnsi="Arial" w:cs="Arial"/>
          <w:b/>
          <w:sz w:val="24"/>
          <w:szCs w:val="24"/>
        </w:rPr>
        <w:t xml:space="preserve">Mr </w:t>
      </w:r>
      <w:r w:rsidR="00085D6C">
        <w:rPr>
          <w:rFonts w:ascii="Arial" w:hAnsi="Arial" w:cs="Arial"/>
          <w:b/>
          <w:sz w:val="24"/>
          <w:szCs w:val="24"/>
        </w:rPr>
        <w:t>Danny Clarel Agathe</w:t>
      </w:r>
      <w:r w:rsidR="00AB3DEA" w:rsidRPr="005B080A">
        <w:rPr>
          <w:rFonts w:ascii="Arial" w:hAnsi="Arial" w:cs="Arial"/>
          <w:b/>
          <w:sz w:val="24"/>
          <w:szCs w:val="24"/>
        </w:rPr>
        <w:t xml:space="preserve"> </w:t>
      </w:r>
      <w:r w:rsidR="00085D6C">
        <w:rPr>
          <w:rFonts w:ascii="Arial" w:hAnsi="Arial" w:cs="Arial"/>
          <w:b/>
          <w:sz w:val="24"/>
          <w:szCs w:val="24"/>
        </w:rPr>
        <w:t xml:space="preserve">and Others </w:t>
      </w:r>
      <w:r w:rsidR="00AB3DEA" w:rsidRPr="005B080A">
        <w:rPr>
          <w:rFonts w:ascii="Arial" w:hAnsi="Arial" w:cs="Arial"/>
          <w:b/>
          <w:sz w:val="24"/>
          <w:szCs w:val="24"/>
        </w:rPr>
        <w:t>(</w:t>
      </w:r>
      <w:r>
        <w:rPr>
          <w:rFonts w:ascii="Arial" w:hAnsi="Arial" w:cs="Arial"/>
          <w:b/>
          <w:sz w:val="24"/>
          <w:szCs w:val="24"/>
        </w:rPr>
        <w:t>Disputant</w:t>
      </w:r>
      <w:r w:rsidR="00085D6C">
        <w:rPr>
          <w:rFonts w:ascii="Arial" w:hAnsi="Arial" w:cs="Arial"/>
          <w:b/>
          <w:sz w:val="24"/>
          <w:szCs w:val="24"/>
        </w:rPr>
        <w:t>s</w:t>
      </w:r>
      <w:r w:rsidR="00AB3DEA" w:rsidRPr="005B080A">
        <w:rPr>
          <w:rFonts w:ascii="Arial" w:hAnsi="Arial" w:cs="Arial"/>
          <w:b/>
          <w:sz w:val="24"/>
          <w:szCs w:val="24"/>
        </w:rPr>
        <w:t>)</w:t>
      </w:r>
    </w:p>
    <w:p w14:paraId="1849BFAF"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04B4CD4" w14:textId="592CB891" w:rsidR="00AB3DEA" w:rsidRDefault="00085D6C" w:rsidP="00AB3DEA">
      <w:pPr>
        <w:ind w:left="1440" w:firstLine="720"/>
        <w:jc w:val="center"/>
        <w:rPr>
          <w:rFonts w:ascii="Arial" w:hAnsi="Arial" w:cs="Arial"/>
          <w:b/>
          <w:sz w:val="28"/>
          <w:szCs w:val="28"/>
        </w:rPr>
      </w:pPr>
      <w:r>
        <w:rPr>
          <w:rFonts w:ascii="Arial" w:hAnsi="Arial" w:cs="Arial"/>
          <w:b/>
          <w:sz w:val="24"/>
          <w:szCs w:val="24"/>
        </w:rPr>
        <w:t>The State of Mauritius as represented by The Ministry of Finance, Economic Planning</w:t>
      </w:r>
      <w:r w:rsidR="00AB3DEA" w:rsidRPr="005B080A">
        <w:rPr>
          <w:rFonts w:ascii="Arial" w:hAnsi="Arial" w:cs="Arial"/>
          <w:b/>
          <w:sz w:val="24"/>
          <w:szCs w:val="24"/>
        </w:rPr>
        <w:t xml:space="preserve"> </w:t>
      </w:r>
      <w:r>
        <w:rPr>
          <w:rFonts w:ascii="Arial" w:hAnsi="Arial" w:cs="Arial"/>
          <w:b/>
          <w:sz w:val="24"/>
          <w:szCs w:val="24"/>
        </w:rPr>
        <w:t xml:space="preserve">and Development </w:t>
      </w:r>
      <w:r w:rsidR="00AB3DEA" w:rsidRPr="005B080A">
        <w:rPr>
          <w:rFonts w:ascii="Arial" w:hAnsi="Arial" w:cs="Arial"/>
          <w:b/>
          <w:sz w:val="24"/>
          <w:szCs w:val="24"/>
        </w:rPr>
        <w:t>(Respondent</w:t>
      </w:r>
      <w:r w:rsidR="00AB3DEA" w:rsidRPr="00906543">
        <w:rPr>
          <w:rFonts w:ascii="Arial" w:hAnsi="Arial" w:cs="Arial"/>
          <w:b/>
          <w:sz w:val="28"/>
          <w:szCs w:val="28"/>
        </w:rPr>
        <w:t>)</w:t>
      </w:r>
    </w:p>
    <w:p w14:paraId="43CF39F5" w14:textId="2CD114B2" w:rsidR="00620BAC" w:rsidRDefault="009D6A71" w:rsidP="00AB3DEA">
      <w:pPr>
        <w:ind w:left="1440" w:firstLine="720"/>
        <w:jc w:val="center"/>
        <w:rPr>
          <w:rFonts w:ascii="Arial" w:hAnsi="Arial" w:cs="Arial"/>
          <w:b/>
          <w:sz w:val="24"/>
          <w:szCs w:val="24"/>
        </w:rPr>
      </w:pPr>
      <w:r w:rsidRPr="002C17A0">
        <w:rPr>
          <w:rFonts w:ascii="Arial" w:hAnsi="Arial" w:cs="Arial"/>
          <w:b/>
          <w:sz w:val="24"/>
          <w:szCs w:val="24"/>
        </w:rPr>
        <w:t xml:space="preserve">i.p.o </w:t>
      </w:r>
      <w:r w:rsidR="00085D6C">
        <w:rPr>
          <w:rFonts w:ascii="Arial" w:hAnsi="Arial" w:cs="Arial"/>
          <w:b/>
          <w:sz w:val="24"/>
          <w:szCs w:val="24"/>
        </w:rPr>
        <w:t xml:space="preserve">(1) Pay Research </w:t>
      </w:r>
      <w:r w:rsidRPr="002C17A0">
        <w:rPr>
          <w:rFonts w:ascii="Arial" w:hAnsi="Arial" w:cs="Arial"/>
          <w:b/>
          <w:sz w:val="24"/>
          <w:szCs w:val="24"/>
        </w:rPr>
        <w:t>B</w:t>
      </w:r>
      <w:r w:rsidR="00085D6C">
        <w:rPr>
          <w:rFonts w:ascii="Arial" w:hAnsi="Arial" w:cs="Arial"/>
          <w:b/>
          <w:sz w:val="24"/>
          <w:szCs w:val="24"/>
        </w:rPr>
        <w:t>ureau</w:t>
      </w:r>
      <w:r>
        <w:rPr>
          <w:rFonts w:ascii="Arial" w:hAnsi="Arial" w:cs="Arial"/>
          <w:b/>
          <w:sz w:val="24"/>
          <w:szCs w:val="24"/>
        </w:rPr>
        <w:t xml:space="preserve"> (Co-Respondent</w:t>
      </w:r>
      <w:r w:rsidR="00085D6C">
        <w:rPr>
          <w:rFonts w:ascii="Arial" w:hAnsi="Arial" w:cs="Arial"/>
          <w:b/>
          <w:sz w:val="24"/>
          <w:szCs w:val="24"/>
        </w:rPr>
        <w:t xml:space="preserve"> No. 1</w:t>
      </w:r>
      <w:r>
        <w:rPr>
          <w:rFonts w:ascii="Arial" w:hAnsi="Arial" w:cs="Arial"/>
          <w:b/>
          <w:sz w:val="24"/>
          <w:szCs w:val="24"/>
        </w:rPr>
        <w:t>)</w:t>
      </w:r>
    </w:p>
    <w:p w14:paraId="2951A952" w14:textId="77777777" w:rsidR="00085D6C" w:rsidRDefault="00085D6C" w:rsidP="00AB3DEA">
      <w:pPr>
        <w:ind w:left="1440" w:firstLine="720"/>
        <w:jc w:val="center"/>
        <w:rPr>
          <w:rFonts w:ascii="Arial" w:hAnsi="Arial" w:cs="Arial"/>
          <w:b/>
          <w:sz w:val="24"/>
          <w:szCs w:val="24"/>
        </w:rPr>
      </w:pPr>
      <w:r>
        <w:rPr>
          <w:rFonts w:ascii="Arial" w:hAnsi="Arial" w:cs="Arial"/>
          <w:b/>
          <w:sz w:val="24"/>
          <w:szCs w:val="24"/>
        </w:rPr>
        <w:t>(2) Ministry of Public Service, Administrative and Institutional Reforms</w:t>
      </w:r>
    </w:p>
    <w:p w14:paraId="6041A40E" w14:textId="77777777" w:rsidR="00085D6C" w:rsidRDefault="00085D6C" w:rsidP="00AB3DEA">
      <w:pPr>
        <w:ind w:left="1440" w:firstLine="720"/>
        <w:jc w:val="center"/>
        <w:rPr>
          <w:rFonts w:ascii="Arial" w:hAnsi="Arial" w:cs="Arial"/>
          <w:b/>
          <w:sz w:val="24"/>
          <w:szCs w:val="24"/>
        </w:rPr>
      </w:pPr>
      <w:r>
        <w:rPr>
          <w:rFonts w:ascii="Arial" w:hAnsi="Arial" w:cs="Arial"/>
          <w:b/>
          <w:sz w:val="24"/>
          <w:szCs w:val="24"/>
        </w:rPr>
        <w:t>(3) Public Service Commission</w:t>
      </w:r>
    </w:p>
    <w:p w14:paraId="6C13BEBD" w14:textId="0D953EDC" w:rsidR="00085D6C" w:rsidRDefault="00085D6C" w:rsidP="00AB3DEA">
      <w:pPr>
        <w:ind w:left="1440" w:firstLine="720"/>
        <w:jc w:val="center"/>
        <w:rPr>
          <w:rFonts w:ascii="Arial" w:hAnsi="Arial" w:cs="Arial"/>
          <w:b/>
          <w:sz w:val="28"/>
          <w:szCs w:val="28"/>
        </w:rPr>
      </w:pPr>
      <w:r>
        <w:rPr>
          <w:rFonts w:ascii="Arial" w:hAnsi="Arial" w:cs="Arial"/>
          <w:b/>
          <w:sz w:val="24"/>
          <w:szCs w:val="24"/>
        </w:rPr>
        <w:t xml:space="preserve">  </w:t>
      </w:r>
    </w:p>
    <w:p w14:paraId="6D3D234D" w14:textId="697AD9A9" w:rsidR="00D81ACB" w:rsidRDefault="00D81ACB" w:rsidP="00D81ACB">
      <w:pPr>
        <w:jc w:val="both"/>
        <w:rPr>
          <w:rFonts w:ascii="Arial" w:hAnsi="Arial" w:cs="Arial"/>
          <w:sz w:val="24"/>
          <w:szCs w:val="24"/>
        </w:rPr>
      </w:pPr>
      <w:r>
        <w:rPr>
          <w:rFonts w:ascii="Arial" w:hAnsi="Arial" w:cs="Arial"/>
          <w:sz w:val="24"/>
          <w:szCs w:val="24"/>
        </w:rPr>
        <w:t>The above cases have been referred to the Tribunal by the Commission for Conciliation and Mediation under Section 69(</w:t>
      </w:r>
      <w:r w:rsidR="00071E28">
        <w:rPr>
          <w:rFonts w:ascii="Arial" w:hAnsi="Arial" w:cs="Arial"/>
          <w:sz w:val="24"/>
          <w:szCs w:val="24"/>
        </w:rPr>
        <w:t>9</w:t>
      </w:r>
      <w:r>
        <w:rPr>
          <w:rFonts w:ascii="Arial" w:hAnsi="Arial" w:cs="Arial"/>
          <w:sz w:val="24"/>
          <w:szCs w:val="24"/>
        </w:rPr>
        <w:t>)</w:t>
      </w:r>
      <w:r w:rsidR="00071E28">
        <w:rPr>
          <w:rFonts w:ascii="Arial" w:hAnsi="Arial" w:cs="Arial"/>
          <w:sz w:val="24"/>
          <w:szCs w:val="24"/>
        </w:rPr>
        <w:t>(b)</w:t>
      </w:r>
      <w:r>
        <w:rPr>
          <w:rFonts w:ascii="Arial" w:hAnsi="Arial" w:cs="Arial"/>
          <w:sz w:val="24"/>
          <w:szCs w:val="24"/>
        </w:rPr>
        <w:t xml:space="preserve"> of the Employment Relations Act</w:t>
      </w:r>
      <w:r w:rsidR="00071E28">
        <w:rPr>
          <w:rFonts w:ascii="Arial" w:hAnsi="Arial" w:cs="Arial"/>
          <w:sz w:val="24"/>
          <w:szCs w:val="24"/>
        </w:rPr>
        <w:t xml:space="preserve"> 2008, as amended</w:t>
      </w:r>
      <w:r>
        <w:rPr>
          <w:rFonts w:ascii="Arial" w:hAnsi="Arial" w:cs="Arial"/>
          <w:sz w:val="24"/>
          <w:szCs w:val="24"/>
        </w:rPr>
        <w:t xml:space="preserve"> (hereinafter referred to as “the Act”).  </w:t>
      </w:r>
      <w:r w:rsidR="00E277EE">
        <w:rPr>
          <w:rFonts w:ascii="Arial" w:hAnsi="Arial" w:cs="Arial"/>
          <w:sz w:val="24"/>
          <w:szCs w:val="24"/>
        </w:rPr>
        <w:t>All twenty-nine cases were consolidated and t</w:t>
      </w:r>
      <w:r w:rsidR="0092405A">
        <w:rPr>
          <w:rFonts w:ascii="Arial" w:hAnsi="Arial" w:cs="Arial"/>
          <w:sz w:val="24"/>
          <w:szCs w:val="24"/>
        </w:rPr>
        <w:t>he Co-Respondent</w:t>
      </w:r>
      <w:r w:rsidR="00E277EE">
        <w:rPr>
          <w:rFonts w:ascii="Arial" w:hAnsi="Arial" w:cs="Arial"/>
          <w:sz w:val="24"/>
          <w:szCs w:val="24"/>
        </w:rPr>
        <w:t>s</w:t>
      </w:r>
      <w:r w:rsidR="0092405A">
        <w:rPr>
          <w:rFonts w:ascii="Arial" w:hAnsi="Arial" w:cs="Arial"/>
          <w:sz w:val="24"/>
          <w:szCs w:val="24"/>
        </w:rPr>
        <w:t xml:space="preserve"> </w:t>
      </w:r>
      <w:r w:rsidR="00E277EE">
        <w:rPr>
          <w:rFonts w:ascii="Arial" w:hAnsi="Arial" w:cs="Arial"/>
          <w:sz w:val="24"/>
          <w:szCs w:val="24"/>
        </w:rPr>
        <w:t>were</w:t>
      </w:r>
      <w:r w:rsidR="0092405A">
        <w:rPr>
          <w:rFonts w:ascii="Arial" w:hAnsi="Arial" w:cs="Arial"/>
          <w:sz w:val="24"/>
          <w:szCs w:val="24"/>
        </w:rPr>
        <w:t xml:space="preserve"> joined as part</w:t>
      </w:r>
      <w:r w:rsidR="00E277EE">
        <w:rPr>
          <w:rFonts w:ascii="Arial" w:hAnsi="Arial" w:cs="Arial"/>
          <w:sz w:val="24"/>
          <w:szCs w:val="24"/>
        </w:rPr>
        <w:t>ies to the proceedings</w:t>
      </w:r>
      <w:r w:rsidR="00593DD7">
        <w:rPr>
          <w:rFonts w:ascii="Arial" w:hAnsi="Arial" w:cs="Arial"/>
          <w:sz w:val="24"/>
          <w:szCs w:val="24"/>
        </w:rPr>
        <w:t>.</w:t>
      </w:r>
      <w:r>
        <w:rPr>
          <w:rFonts w:ascii="Arial" w:hAnsi="Arial" w:cs="Arial"/>
          <w:sz w:val="24"/>
          <w:szCs w:val="24"/>
        </w:rPr>
        <w:t xml:space="preserve">  All th</w:t>
      </w:r>
      <w:r w:rsidR="00AF17A7">
        <w:rPr>
          <w:rFonts w:ascii="Arial" w:hAnsi="Arial" w:cs="Arial"/>
          <w:sz w:val="24"/>
          <w:szCs w:val="24"/>
        </w:rPr>
        <w:t>e</w:t>
      </w:r>
      <w:r>
        <w:rPr>
          <w:rFonts w:ascii="Arial" w:hAnsi="Arial" w:cs="Arial"/>
          <w:sz w:val="24"/>
          <w:szCs w:val="24"/>
        </w:rPr>
        <w:t xml:space="preserve"> </w:t>
      </w:r>
      <w:r w:rsidR="00AF17A7">
        <w:rPr>
          <w:rFonts w:ascii="Arial" w:hAnsi="Arial" w:cs="Arial"/>
          <w:sz w:val="24"/>
          <w:szCs w:val="24"/>
        </w:rPr>
        <w:t>disputants</w:t>
      </w:r>
      <w:r w:rsidR="00B03FBA">
        <w:rPr>
          <w:rFonts w:ascii="Arial" w:hAnsi="Arial" w:cs="Arial"/>
          <w:sz w:val="24"/>
          <w:szCs w:val="24"/>
        </w:rPr>
        <w:t>,</w:t>
      </w:r>
      <w:r w:rsidR="00AF17A7">
        <w:rPr>
          <w:rFonts w:ascii="Arial" w:hAnsi="Arial" w:cs="Arial"/>
          <w:sz w:val="24"/>
          <w:szCs w:val="24"/>
        </w:rPr>
        <w:t xml:space="preserve"> the Respondent</w:t>
      </w:r>
      <w:r>
        <w:rPr>
          <w:rFonts w:ascii="Arial" w:hAnsi="Arial" w:cs="Arial"/>
          <w:sz w:val="24"/>
          <w:szCs w:val="24"/>
        </w:rPr>
        <w:t xml:space="preserve"> </w:t>
      </w:r>
      <w:r w:rsidR="00B03FBA">
        <w:rPr>
          <w:rFonts w:ascii="Arial" w:hAnsi="Arial" w:cs="Arial"/>
          <w:sz w:val="24"/>
          <w:szCs w:val="24"/>
        </w:rPr>
        <w:t>and the Co-Respondent</w:t>
      </w:r>
      <w:r w:rsidR="00E277EE">
        <w:rPr>
          <w:rFonts w:ascii="Arial" w:hAnsi="Arial" w:cs="Arial"/>
          <w:sz w:val="24"/>
          <w:szCs w:val="24"/>
        </w:rPr>
        <w:t>s</w:t>
      </w:r>
      <w:r w:rsidR="00B03FBA">
        <w:rPr>
          <w:rFonts w:ascii="Arial" w:hAnsi="Arial" w:cs="Arial"/>
          <w:sz w:val="24"/>
          <w:szCs w:val="24"/>
        </w:rPr>
        <w:t xml:space="preserve"> </w:t>
      </w:r>
      <w:r>
        <w:rPr>
          <w:rFonts w:ascii="Arial" w:hAnsi="Arial" w:cs="Arial"/>
          <w:sz w:val="24"/>
          <w:szCs w:val="24"/>
        </w:rPr>
        <w:t>were assisted by Counsel</w:t>
      </w:r>
      <w:r w:rsidR="00AF17A7">
        <w:rPr>
          <w:rFonts w:ascii="Arial" w:hAnsi="Arial" w:cs="Arial"/>
          <w:sz w:val="24"/>
          <w:szCs w:val="24"/>
        </w:rPr>
        <w:t>.</w:t>
      </w:r>
      <w:r>
        <w:rPr>
          <w:rFonts w:ascii="Arial" w:hAnsi="Arial" w:cs="Arial"/>
          <w:sz w:val="24"/>
          <w:szCs w:val="24"/>
        </w:rPr>
        <w:t xml:space="preserve">  The terms of reference are identical in all the cases</w:t>
      </w:r>
      <w:r w:rsidR="00E277EE">
        <w:rPr>
          <w:rFonts w:ascii="Arial" w:hAnsi="Arial" w:cs="Arial"/>
          <w:sz w:val="24"/>
          <w:szCs w:val="24"/>
        </w:rPr>
        <w:t xml:space="preserve"> </w:t>
      </w:r>
      <w:r>
        <w:rPr>
          <w:rFonts w:ascii="Arial" w:hAnsi="Arial" w:cs="Arial"/>
          <w:sz w:val="24"/>
          <w:szCs w:val="24"/>
        </w:rPr>
        <w:t xml:space="preserve">and read as follows: </w:t>
      </w:r>
    </w:p>
    <w:p w14:paraId="4957CFC7" w14:textId="77777777" w:rsidR="00207ED4" w:rsidRDefault="00AF17A7" w:rsidP="00D81ACB">
      <w:pPr>
        <w:jc w:val="both"/>
        <w:rPr>
          <w:rFonts w:ascii="Arial" w:hAnsi="Arial" w:cs="Arial"/>
          <w:i/>
          <w:sz w:val="24"/>
          <w:szCs w:val="24"/>
        </w:rPr>
      </w:pPr>
      <w:r w:rsidRPr="00071E28">
        <w:rPr>
          <w:rFonts w:ascii="Arial" w:hAnsi="Arial" w:cs="Arial"/>
          <w:i/>
          <w:sz w:val="24"/>
          <w:szCs w:val="24"/>
        </w:rPr>
        <w:lastRenderedPageBreak/>
        <w:t>“</w:t>
      </w:r>
      <w:r w:rsidR="00E277EE">
        <w:rPr>
          <w:rFonts w:ascii="Arial" w:hAnsi="Arial" w:cs="Arial"/>
          <w:i/>
          <w:sz w:val="24"/>
          <w:szCs w:val="24"/>
        </w:rPr>
        <w:t>To amend the Scheme of Service for the post of FO/SFO – Financial Officer/ Senior Financial Officer to enable the grade of AFO – Assistant Financial Officer to be eligible for appointment to the grade of FO</w:t>
      </w:r>
      <w:r w:rsidR="00207ED4">
        <w:rPr>
          <w:rFonts w:ascii="Arial" w:hAnsi="Arial" w:cs="Arial"/>
          <w:i/>
          <w:sz w:val="24"/>
          <w:szCs w:val="24"/>
        </w:rPr>
        <w:t>/SFO.”</w:t>
      </w:r>
    </w:p>
    <w:p w14:paraId="1BB5F415" w14:textId="6D776510" w:rsidR="00AF17A7" w:rsidRDefault="00AF17A7" w:rsidP="00D81ACB">
      <w:pPr>
        <w:jc w:val="both"/>
        <w:rPr>
          <w:rFonts w:ascii="Arial" w:hAnsi="Arial" w:cs="Arial"/>
          <w:sz w:val="24"/>
          <w:szCs w:val="24"/>
        </w:rPr>
      </w:pPr>
      <w:r>
        <w:rPr>
          <w:rFonts w:ascii="Arial" w:hAnsi="Arial" w:cs="Arial"/>
          <w:sz w:val="24"/>
          <w:szCs w:val="24"/>
        </w:rPr>
        <w:t xml:space="preserve">The </w:t>
      </w:r>
      <w:r w:rsidRPr="00207ED4">
        <w:rPr>
          <w:rFonts w:ascii="Arial" w:hAnsi="Arial" w:cs="Arial"/>
          <w:sz w:val="24"/>
          <w:szCs w:val="24"/>
        </w:rPr>
        <w:t>Respondent</w:t>
      </w:r>
      <w:r>
        <w:rPr>
          <w:rFonts w:ascii="Arial" w:hAnsi="Arial" w:cs="Arial"/>
          <w:sz w:val="24"/>
          <w:szCs w:val="24"/>
        </w:rPr>
        <w:t xml:space="preserve"> has </w:t>
      </w:r>
      <w:r w:rsidR="00207ED4">
        <w:rPr>
          <w:rFonts w:ascii="Arial" w:hAnsi="Arial" w:cs="Arial"/>
          <w:sz w:val="24"/>
          <w:szCs w:val="24"/>
        </w:rPr>
        <w:t xml:space="preserve">raised preliminary objections </w:t>
      </w:r>
      <w:r>
        <w:rPr>
          <w:rFonts w:ascii="Arial" w:hAnsi="Arial" w:cs="Arial"/>
          <w:sz w:val="24"/>
          <w:szCs w:val="24"/>
        </w:rPr>
        <w:t>which read as follows:</w:t>
      </w:r>
    </w:p>
    <w:p w14:paraId="5C6312FA" w14:textId="36009AFC" w:rsidR="003F42C3" w:rsidRDefault="003F42C3" w:rsidP="00D81ACB">
      <w:pPr>
        <w:jc w:val="both"/>
        <w:rPr>
          <w:rFonts w:ascii="Arial" w:hAnsi="Arial" w:cs="Arial"/>
          <w:i/>
          <w:sz w:val="24"/>
          <w:szCs w:val="24"/>
        </w:rPr>
      </w:pPr>
      <w:r>
        <w:rPr>
          <w:rFonts w:ascii="Arial" w:hAnsi="Arial" w:cs="Arial"/>
          <w:i/>
          <w:sz w:val="24"/>
          <w:szCs w:val="24"/>
        </w:rPr>
        <w:t>“</w:t>
      </w:r>
      <w:r w:rsidR="00207ED4">
        <w:rPr>
          <w:rFonts w:ascii="Arial" w:hAnsi="Arial" w:cs="Arial"/>
          <w:i/>
          <w:sz w:val="24"/>
          <w:szCs w:val="24"/>
        </w:rPr>
        <w:t>Respondent moves that the present dispute be set aside inasmuch as:-</w:t>
      </w:r>
    </w:p>
    <w:p w14:paraId="3B542678" w14:textId="77777777" w:rsidR="00207ED4" w:rsidRDefault="00207ED4" w:rsidP="00207ED4">
      <w:pPr>
        <w:pStyle w:val="ListParagraph"/>
        <w:numPr>
          <w:ilvl w:val="0"/>
          <w:numId w:val="10"/>
        </w:numPr>
        <w:jc w:val="both"/>
        <w:rPr>
          <w:rFonts w:ascii="Arial" w:hAnsi="Arial" w:cs="Arial"/>
          <w:i/>
          <w:sz w:val="24"/>
          <w:szCs w:val="24"/>
        </w:rPr>
      </w:pPr>
      <w:r>
        <w:rPr>
          <w:rFonts w:ascii="Arial" w:hAnsi="Arial" w:cs="Arial"/>
          <w:i/>
          <w:sz w:val="24"/>
          <w:szCs w:val="24"/>
        </w:rPr>
        <w:t>the point in dispute does not constitute a labour dispute as per the definition of labour dispute under section 2 of the Employment Relations Act;</w:t>
      </w:r>
    </w:p>
    <w:p w14:paraId="44F9F0DA" w14:textId="77777777" w:rsidR="00207ED4" w:rsidRDefault="00207ED4" w:rsidP="003A2743">
      <w:pPr>
        <w:pStyle w:val="ListParagraph"/>
        <w:numPr>
          <w:ilvl w:val="0"/>
          <w:numId w:val="10"/>
        </w:numPr>
        <w:jc w:val="both"/>
        <w:rPr>
          <w:rFonts w:ascii="Arial" w:hAnsi="Arial" w:cs="Arial"/>
          <w:i/>
          <w:sz w:val="24"/>
          <w:szCs w:val="24"/>
        </w:rPr>
      </w:pPr>
      <w:r w:rsidRPr="00207ED4">
        <w:rPr>
          <w:rFonts w:ascii="Arial" w:hAnsi="Arial" w:cs="Arial"/>
          <w:i/>
          <w:sz w:val="24"/>
          <w:szCs w:val="24"/>
        </w:rPr>
        <w:t>the granting of an award in terms of the terms of reference of the dispute before the Tribunal will be inconsistent with regulation 15 of the Public Service Commission Regulations and thus, be contrary to section 72(5) of the Employment Relations Act; and</w:t>
      </w:r>
    </w:p>
    <w:p w14:paraId="128DFDFB" w14:textId="2169A738" w:rsidR="003F42C3" w:rsidRPr="00207ED4" w:rsidRDefault="00207ED4" w:rsidP="003A2743">
      <w:pPr>
        <w:pStyle w:val="ListParagraph"/>
        <w:numPr>
          <w:ilvl w:val="0"/>
          <w:numId w:val="10"/>
        </w:numPr>
        <w:jc w:val="both"/>
        <w:rPr>
          <w:rFonts w:ascii="Arial" w:hAnsi="Arial" w:cs="Arial"/>
          <w:i/>
          <w:sz w:val="24"/>
          <w:szCs w:val="24"/>
        </w:rPr>
      </w:pPr>
      <w:r>
        <w:rPr>
          <w:rFonts w:ascii="Arial" w:hAnsi="Arial" w:cs="Arial"/>
          <w:i/>
          <w:sz w:val="24"/>
          <w:szCs w:val="24"/>
        </w:rPr>
        <w:t xml:space="preserve">the present dispute constitutes a disguised application for Judicial Review and/or constitutional redress and this is not the appropriate forum for such action.”  </w:t>
      </w:r>
      <w:r w:rsidRPr="00207ED4">
        <w:rPr>
          <w:rFonts w:ascii="Arial" w:hAnsi="Arial" w:cs="Arial"/>
          <w:i/>
          <w:sz w:val="24"/>
          <w:szCs w:val="24"/>
        </w:rPr>
        <w:t xml:space="preserve">   </w:t>
      </w:r>
    </w:p>
    <w:p w14:paraId="64B350B2" w14:textId="1AB926BE" w:rsidR="00DC6FFC" w:rsidRDefault="00207ED4" w:rsidP="00D81ACB">
      <w:pPr>
        <w:jc w:val="both"/>
        <w:rPr>
          <w:rFonts w:ascii="Arial" w:hAnsi="Arial" w:cs="Arial"/>
          <w:sz w:val="24"/>
          <w:szCs w:val="24"/>
        </w:rPr>
      </w:pPr>
      <w:r>
        <w:rPr>
          <w:rFonts w:ascii="Arial" w:hAnsi="Arial" w:cs="Arial"/>
          <w:sz w:val="24"/>
          <w:szCs w:val="24"/>
        </w:rPr>
        <w:t>Counsel for Disputants moved that the cases be proceeded with and t</w:t>
      </w:r>
      <w:r w:rsidR="00AF17A7">
        <w:rPr>
          <w:rFonts w:ascii="Arial" w:hAnsi="Arial" w:cs="Arial"/>
          <w:sz w:val="24"/>
          <w:szCs w:val="24"/>
        </w:rPr>
        <w:t xml:space="preserve">he Tribunal </w:t>
      </w:r>
      <w:r>
        <w:rPr>
          <w:rFonts w:ascii="Arial" w:hAnsi="Arial" w:cs="Arial"/>
          <w:sz w:val="24"/>
          <w:szCs w:val="24"/>
        </w:rPr>
        <w:t xml:space="preserve">thus </w:t>
      </w:r>
      <w:r w:rsidR="00AF17A7">
        <w:rPr>
          <w:rFonts w:ascii="Arial" w:hAnsi="Arial" w:cs="Arial"/>
          <w:sz w:val="24"/>
          <w:szCs w:val="24"/>
        </w:rPr>
        <w:t xml:space="preserve">proceeded to hear arguments </w:t>
      </w:r>
      <w:r w:rsidR="00B03FBA">
        <w:rPr>
          <w:rFonts w:ascii="Arial" w:hAnsi="Arial" w:cs="Arial"/>
          <w:sz w:val="24"/>
          <w:szCs w:val="24"/>
        </w:rPr>
        <w:t xml:space="preserve">on the </w:t>
      </w:r>
      <w:r w:rsidR="00571710">
        <w:rPr>
          <w:rFonts w:ascii="Arial" w:hAnsi="Arial" w:cs="Arial"/>
          <w:sz w:val="24"/>
          <w:szCs w:val="24"/>
        </w:rPr>
        <w:t xml:space="preserve">preliminary objections taken.  The Tribunal has examined carefully </w:t>
      </w:r>
      <w:r w:rsidR="007E14FC">
        <w:rPr>
          <w:rFonts w:ascii="Arial" w:hAnsi="Arial" w:cs="Arial"/>
          <w:sz w:val="24"/>
          <w:szCs w:val="24"/>
        </w:rPr>
        <w:t xml:space="preserve">all </w:t>
      </w:r>
      <w:r w:rsidR="00571710">
        <w:rPr>
          <w:rFonts w:ascii="Arial" w:hAnsi="Arial" w:cs="Arial"/>
          <w:sz w:val="24"/>
          <w:szCs w:val="24"/>
        </w:rPr>
        <w:t xml:space="preserve">the arguments submitted on behalf of </w:t>
      </w:r>
      <w:r w:rsidR="007E14FC">
        <w:rPr>
          <w:rFonts w:ascii="Arial" w:hAnsi="Arial" w:cs="Arial"/>
          <w:sz w:val="24"/>
          <w:szCs w:val="24"/>
        </w:rPr>
        <w:t xml:space="preserve">the </w:t>
      </w:r>
      <w:r w:rsidR="00571710">
        <w:rPr>
          <w:rFonts w:ascii="Arial" w:hAnsi="Arial" w:cs="Arial"/>
          <w:sz w:val="24"/>
          <w:szCs w:val="24"/>
        </w:rPr>
        <w:t xml:space="preserve">Disputants and the Respondent.  </w:t>
      </w:r>
    </w:p>
    <w:p w14:paraId="2B813C41" w14:textId="77777777" w:rsidR="00DC6FFC" w:rsidRDefault="00DC6FFC" w:rsidP="00D81ACB">
      <w:pPr>
        <w:jc w:val="both"/>
        <w:rPr>
          <w:rFonts w:ascii="Arial" w:hAnsi="Arial" w:cs="Arial"/>
          <w:sz w:val="24"/>
          <w:szCs w:val="24"/>
        </w:rPr>
      </w:pPr>
      <w:r>
        <w:rPr>
          <w:rFonts w:ascii="Arial" w:hAnsi="Arial" w:cs="Arial"/>
          <w:sz w:val="24"/>
          <w:szCs w:val="24"/>
        </w:rPr>
        <w:t>The relevant part of the definition of “labour dispute” under section 2 of the Act reads as follows:</w:t>
      </w:r>
    </w:p>
    <w:p w14:paraId="1713B0D6" w14:textId="77777777" w:rsidR="00C617FA" w:rsidRDefault="00C617FA" w:rsidP="00D81ACB">
      <w:pPr>
        <w:jc w:val="both"/>
        <w:rPr>
          <w:rFonts w:ascii="Arial" w:hAnsi="Arial" w:cs="Arial"/>
          <w:i/>
          <w:iCs/>
          <w:sz w:val="24"/>
          <w:szCs w:val="24"/>
        </w:rPr>
      </w:pPr>
      <w:r w:rsidRPr="00C617FA">
        <w:rPr>
          <w:rFonts w:ascii="Arial" w:hAnsi="Arial" w:cs="Arial"/>
          <w:i/>
          <w:iCs/>
          <w:sz w:val="24"/>
          <w:szCs w:val="24"/>
        </w:rPr>
        <w:t xml:space="preserve">“labour dispute” – </w:t>
      </w:r>
    </w:p>
    <w:p w14:paraId="04549810" w14:textId="77777777" w:rsidR="00E07BC4" w:rsidRDefault="00C617FA" w:rsidP="00D81ACB">
      <w:pPr>
        <w:jc w:val="both"/>
        <w:rPr>
          <w:rFonts w:ascii="Arial" w:hAnsi="Arial" w:cs="Arial"/>
          <w:i/>
          <w:iCs/>
          <w:sz w:val="24"/>
          <w:szCs w:val="24"/>
        </w:rPr>
      </w:pPr>
      <w:r w:rsidRPr="00C617FA">
        <w:rPr>
          <w:rFonts w:ascii="Arial" w:hAnsi="Arial" w:cs="Arial"/>
          <w:i/>
          <w:iCs/>
          <w:sz w:val="24"/>
          <w:szCs w:val="24"/>
        </w:rPr>
        <w:t xml:space="preserve">(a) means a dispute between a worker, a recognised trade union of workers or a joint negotiating panel, and an employer which relates wholly or mainly to – </w:t>
      </w:r>
    </w:p>
    <w:p w14:paraId="4D084697" w14:textId="77777777" w:rsidR="00E07BC4" w:rsidRDefault="00C617FA" w:rsidP="00D81ACB">
      <w:pPr>
        <w:jc w:val="both"/>
        <w:rPr>
          <w:rFonts w:ascii="Arial" w:hAnsi="Arial" w:cs="Arial"/>
          <w:i/>
          <w:iCs/>
          <w:sz w:val="24"/>
          <w:szCs w:val="24"/>
        </w:rPr>
      </w:pPr>
      <w:r w:rsidRPr="00C617FA">
        <w:rPr>
          <w:rFonts w:ascii="Arial" w:hAnsi="Arial" w:cs="Arial"/>
          <w:i/>
          <w:iCs/>
          <w:sz w:val="24"/>
          <w:szCs w:val="24"/>
        </w:rPr>
        <w:t>(i) the wages, terms and conditions of employment of, promotion of, or allocation of work to, a worker or group of workers;</w:t>
      </w:r>
    </w:p>
    <w:p w14:paraId="1E429BB3" w14:textId="01B020A2" w:rsidR="00DC6FFC" w:rsidRPr="00C617FA" w:rsidRDefault="00E07BC4" w:rsidP="00D81ACB">
      <w:pPr>
        <w:jc w:val="both"/>
        <w:rPr>
          <w:rFonts w:ascii="Arial" w:hAnsi="Arial" w:cs="Arial"/>
          <w:i/>
          <w:iCs/>
          <w:sz w:val="24"/>
          <w:szCs w:val="24"/>
        </w:rPr>
      </w:pPr>
      <w:r>
        <w:rPr>
          <w:rFonts w:ascii="Arial" w:hAnsi="Arial" w:cs="Arial"/>
          <w:i/>
          <w:iCs/>
          <w:sz w:val="24"/>
          <w:szCs w:val="24"/>
        </w:rPr>
        <w:t>(ii)…</w:t>
      </w:r>
      <w:r w:rsidR="00DC6FFC" w:rsidRPr="00C617FA">
        <w:rPr>
          <w:rFonts w:ascii="Arial" w:hAnsi="Arial" w:cs="Arial"/>
          <w:i/>
          <w:iCs/>
          <w:sz w:val="24"/>
          <w:szCs w:val="24"/>
        </w:rPr>
        <w:t>.</w:t>
      </w:r>
    </w:p>
    <w:p w14:paraId="6147FCFF" w14:textId="4FAE3378" w:rsidR="007402E9" w:rsidRDefault="00384F0F" w:rsidP="00D81ACB">
      <w:pPr>
        <w:jc w:val="both"/>
        <w:rPr>
          <w:rFonts w:ascii="Arial" w:hAnsi="Arial" w:cs="Arial"/>
          <w:sz w:val="24"/>
          <w:szCs w:val="24"/>
        </w:rPr>
      </w:pPr>
      <w:r>
        <w:rPr>
          <w:rFonts w:ascii="Arial" w:hAnsi="Arial" w:cs="Arial"/>
          <w:sz w:val="24"/>
          <w:szCs w:val="24"/>
        </w:rPr>
        <w:t xml:space="preserve">In the present case, </w:t>
      </w:r>
      <w:r w:rsidR="0067403B">
        <w:rPr>
          <w:rFonts w:ascii="Arial" w:hAnsi="Arial" w:cs="Arial"/>
          <w:sz w:val="24"/>
          <w:szCs w:val="24"/>
        </w:rPr>
        <w:t xml:space="preserve">it is not disputed that </w:t>
      </w:r>
      <w:r>
        <w:rPr>
          <w:rFonts w:ascii="Arial" w:hAnsi="Arial" w:cs="Arial"/>
          <w:sz w:val="24"/>
          <w:szCs w:val="24"/>
        </w:rPr>
        <w:t>there is a dispute between a worker or</w:t>
      </w:r>
      <w:r w:rsidR="00764CAC">
        <w:rPr>
          <w:rFonts w:ascii="Arial" w:hAnsi="Arial" w:cs="Arial"/>
          <w:sz w:val="24"/>
          <w:szCs w:val="24"/>
        </w:rPr>
        <w:t>,</w:t>
      </w:r>
      <w:r>
        <w:rPr>
          <w:rFonts w:ascii="Arial" w:hAnsi="Arial" w:cs="Arial"/>
          <w:sz w:val="24"/>
          <w:szCs w:val="24"/>
        </w:rPr>
        <w:t xml:space="preserve"> more exactly</w:t>
      </w:r>
      <w:r w:rsidR="00764CAC">
        <w:rPr>
          <w:rFonts w:ascii="Arial" w:hAnsi="Arial" w:cs="Arial"/>
          <w:sz w:val="24"/>
          <w:szCs w:val="24"/>
        </w:rPr>
        <w:t>,</w:t>
      </w:r>
      <w:r>
        <w:rPr>
          <w:rFonts w:ascii="Arial" w:hAnsi="Arial" w:cs="Arial"/>
          <w:sz w:val="24"/>
          <w:szCs w:val="24"/>
        </w:rPr>
        <w:t xml:space="preserve"> between several workers </w:t>
      </w:r>
      <w:r w:rsidR="001D2199">
        <w:rPr>
          <w:rFonts w:ascii="Arial" w:hAnsi="Arial" w:cs="Arial"/>
          <w:sz w:val="24"/>
          <w:szCs w:val="24"/>
        </w:rPr>
        <w:t xml:space="preserve">(Disputants) </w:t>
      </w:r>
      <w:r>
        <w:rPr>
          <w:rFonts w:ascii="Arial" w:hAnsi="Arial" w:cs="Arial"/>
          <w:sz w:val="24"/>
          <w:szCs w:val="24"/>
        </w:rPr>
        <w:t>and an employer, that is, the State of Mauritius as represented by the Ministry of Finance, Economic Planning and Development</w:t>
      </w:r>
      <w:r w:rsidR="001D2199">
        <w:rPr>
          <w:rFonts w:ascii="Arial" w:hAnsi="Arial" w:cs="Arial"/>
          <w:sz w:val="24"/>
          <w:szCs w:val="24"/>
        </w:rPr>
        <w:t xml:space="preserve"> (Respondent)</w:t>
      </w:r>
      <w:r>
        <w:rPr>
          <w:rFonts w:ascii="Arial" w:hAnsi="Arial" w:cs="Arial"/>
          <w:sz w:val="24"/>
          <w:szCs w:val="24"/>
        </w:rPr>
        <w:t>.  The dispute must relate wholly or mainly to one (or more) of the items</w:t>
      </w:r>
      <w:r w:rsidR="0067403B">
        <w:rPr>
          <w:rFonts w:ascii="Arial" w:hAnsi="Arial" w:cs="Arial"/>
          <w:sz w:val="24"/>
          <w:szCs w:val="24"/>
        </w:rPr>
        <w:t xml:space="preserve">/issues </w:t>
      </w:r>
      <w:r>
        <w:rPr>
          <w:rFonts w:ascii="Arial" w:hAnsi="Arial" w:cs="Arial"/>
          <w:sz w:val="24"/>
          <w:szCs w:val="24"/>
        </w:rPr>
        <w:t xml:space="preserve">mentioned in paragraph (a)(i) above of the definition of “labour dispute”.  </w:t>
      </w:r>
      <w:r w:rsidRPr="0067403B">
        <w:rPr>
          <w:rFonts w:ascii="Arial" w:hAnsi="Arial" w:cs="Arial"/>
          <w:i/>
          <w:iCs/>
          <w:sz w:val="24"/>
          <w:szCs w:val="24"/>
        </w:rPr>
        <w:t>Ex facie</w:t>
      </w:r>
      <w:r>
        <w:rPr>
          <w:rFonts w:ascii="Arial" w:hAnsi="Arial" w:cs="Arial"/>
          <w:sz w:val="24"/>
          <w:szCs w:val="24"/>
        </w:rPr>
        <w:t xml:space="preserve"> the terms of reference before us, the dispute would relate to the amendment of </w:t>
      </w:r>
      <w:r w:rsidR="00C12093">
        <w:rPr>
          <w:rFonts w:ascii="Arial" w:hAnsi="Arial" w:cs="Arial"/>
          <w:sz w:val="24"/>
          <w:szCs w:val="24"/>
        </w:rPr>
        <w:t>the</w:t>
      </w:r>
      <w:r>
        <w:rPr>
          <w:rFonts w:ascii="Arial" w:hAnsi="Arial" w:cs="Arial"/>
          <w:sz w:val="24"/>
          <w:szCs w:val="24"/>
        </w:rPr>
        <w:t xml:space="preserve"> scheme of service </w:t>
      </w:r>
      <w:r w:rsidR="00C12093">
        <w:rPr>
          <w:rFonts w:ascii="Arial" w:hAnsi="Arial" w:cs="Arial"/>
          <w:sz w:val="24"/>
          <w:szCs w:val="24"/>
        </w:rPr>
        <w:t xml:space="preserve">for FO/SFO </w:t>
      </w:r>
      <w:r>
        <w:rPr>
          <w:rFonts w:ascii="Arial" w:hAnsi="Arial" w:cs="Arial"/>
          <w:sz w:val="24"/>
          <w:szCs w:val="24"/>
        </w:rPr>
        <w:t xml:space="preserve">“to enable the grade of AFO -Assistant Financial Officer to be eligible for appointment to the grade of FO/SFO”.  The disputants in their latest amended Statement of Case </w:t>
      </w:r>
      <w:r w:rsidR="00692F45">
        <w:rPr>
          <w:rFonts w:ascii="Arial" w:hAnsi="Arial" w:cs="Arial"/>
          <w:sz w:val="24"/>
          <w:szCs w:val="24"/>
        </w:rPr>
        <w:t xml:space="preserve">refer to the role of the AFO having been </w:t>
      </w:r>
      <w:r w:rsidR="00692F45">
        <w:rPr>
          <w:rFonts w:ascii="Arial" w:hAnsi="Arial" w:cs="Arial"/>
          <w:sz w:val="24"/>
          <w:szCs w:val="24"/>
        </w:rPr>
        <w:lastRenderedPageBreak/>
        <w:t xml:space="preserve">“reintroduced but with no promotional prospect” </w:t>
      </w:r>
      <w:r w:rsidR="00C12093">
        <w:rPr>
          <w:rFonts w:ascii="Arial" w:hAnsi="Arial" w:cs="Arial"/>
          <w:sz w:val="24"/>
          <w:szCs w:val="24"/>
        </w:rPr>
        <w:t xml:space="preserve">and </w:t>
      </w:r>
      <w:r w:rsidR="00C451D7">
        <w:rPr>
          <w:rFonts w:ascii="Arial" w:hAnsi="Arial" w:cs="Arial"/>
          <w:sz w:val="24"/>
          <w:szCs w:val="24"/>
        </w:rPr>
        <w:t>c</w:t>
      </w:r>
      <w:r w:rsidR="001D2199">
        <w:rPr>
          <w:rFonts w:ascii="Arial" w:hAnsi="Arial" w:cs="Arial"/>
          <w:sz w:val="24"/>
          <w:szCs w:val="24"/>
        </w:rPr>
        <w:t>onclude and p</w:t>
      </w:r>
      <w:r w:rsidR="00692F45">
        <w:rPr>
          <w:rFonts w:ascii="Arial" w:hAnsi="Arial" w:cs="Arial"/>
          <w:sz w:val="24"/>
          <w:szCs w:val="24"/>
        </w:rPr>
        <w:t xml:space="preserve">ray </w:t>
      </w:r>
      <w:r w:rsidR="001D2199">
        <w:rPr>
          <w:rFonts w:ascii="Arial" w:hAnsi="Arial" w:cs="Arial"/>
          <w:sz w:val="24"/>
          <w:szCs w:val="24"/>
        </w:rPr>
        <w:t xml:space="preserve">that the scheme of service of FO/SFO </w:t>
      </w:r>
      <w:r w:rsidR="00FA74C0">
        <w:rPr>
          <w:rFonts w:ascii="Arial" w:hAnsi="Arial" w:cs="Arial"/>
          <w:sz w:val="24"/>
          <w:szCs w:val="24"/>
        </w:rPr>
        <w:t>be amended to enable AFO to be eligible for appointment as FO/SFO</w:t>
      </w:r>
      <w:r w:rsidR="00764CAC">
        <w:rPr>
          <w:rFonts w:ascii="Arial" w:hAnsi="Arial" w:cs="Arial"/>
          <w:sz w:val="24"/>
          <w:szCs w:val="24"/>
        </w:rPr>
        <w:t xml:space="preserve">. </w:t>
      </w:r>
      <w:r w:rsidR="00692F45">
        <w:rPr>
          <w:rFonts w:ascii="Arial" w:hAnsi="Arial" w:cs="Arial"/>
          <w:sz w:val="24"/>
          <w:szCs w:val="24"/>
        </w:rPr>
        <w:t xml:space="preserve">  </w:t>
      </w:r>
    </w:p>
    <w:p w14:paraId="3F9100DA" w14:textId="0D231BF2" w:rsidR="00F22420" w:rsidRDefault="00C12093" w:rsidP="00BF0DAE">
      <w:pPr>
        <w:jc w:val="both"/>
        <w:rPr>
          <w:rFonts w:ascii="Arial" w:hAnsi="Arial" w:cs="Arial"/>
          <w:sz w:val="24"/>
          <w:szCs w:val="24"/>
        </w:rPr>
      </w:pPr>
      <w:r>
        <w:rPr>
          <w:rFonts w:ascii="Arial" w:hAnsi="Arial" w:cs="Arial"/>
          <w:sz w:val="24"/>
          <w:szCs w:val="24"/>
        </w:rPr>
        <w:t>Th</w:t>
      </w:r>
      <w:r w:rsidR="00CC06A2">
        <w:rPr>
          <w:rFonts w:ascii="Arial" w:hAnsi="Arial" w:cs="Arial"/>
          <w:sz w:val="24"/>
          <w:szCs w:val="24"/>
        </w:rPr>
        <w:t xml:space="preserve">e legislator has not deemed it fit to include a specific definition of “promotion” in the Act.  </w:t>
      </w:r>
      <w:r>
        <w:rPr>
          <w:rFonts w:ascii="Arial" w:hAnsi="Arial" w:cs="Arial"/>
          <w:sz w:val="24"/>
          <w:szCs w:val="24"/>
        </w:rPr>
        <w:t xml:space="preserve">Bearing in mind that the definition of “labour dispute” in the Act has a lot to do with the jurisdiction of the Tribunal, </w:t>
      </w:r>
      <w:r w:rsidR="004A5288">
        <w:rPr>
          <w:rFonts w:ascii="Arial" w:hAnsi="Arial" w:cs="Arial"/>
          <w:sz w:val="24"/>
          <w:szCs w:val="24"/>
        </w:rPr>
        <w:t xml:space="preserve">the Tribunal finds that unless there is an indication to the contrary, “labour dispute” as defined should not be interpreted in a restrictive manner to limit the jurisdiction of the Tribunal.  “Promotion” </w:t>
      </w:r>
      <w:r w:rsidR="00347D55">
        <w:rPr>
          <w:rFonts w:ascii="Arial" w:hAnsi="Arial" w:cs="Arial"/>
          <w:sz w:val="24"/>
          <w:szCs w:val="24"/>
        </w:rPr>
        <w:t xml:space="preserve">as used in the definition </w:t>
      </w:r>
      <w:r w:rsidR="004A5288">
        <w:rPr>
          <w:rFonts w:ascii="Arial" w:hAnsi="Arial" w:cs="Arial"/>
          <w:sz w:val="24"/>
          <w:szCs w:val="24"/>
        </w:rPr>
        <w:t xml:space="preserve">should thus not be restricted </w:t>
      </w:r>
      <w:r w:rsidR="004A5288" w:rsidRPr="004A5288">
        <w:rPr>
          <w:rFonts w:ascii="Arial" w:hAnsi="Arial" w:cs="Arial"/>
          <w:i/>
          <w:iCs/>
          <w:sz w:val="24"/>
          <w:szCs w:val="24"/>
        </w:rPr>
        <w:t>stricto sensu</w:t>
      </w:r>
      <w:r w:rsidR="004A5288">
        <w:rPr>
          <w:rFonts w:ascii="Arial" w:hAnsi="Arial" w:cs="Arial"/>
          <w:sz w:val="24"/>
          <w:szCs w:val="24"/>
        </w:rPr>
        <w:t xml:space="preserve"> to an actual promotion </w:t>
      </w:r>
      <w:r w:rsidR="00282CC1">
        <w:rPr>
          <w:rFonts w:ascii="Arial" w:hAnsi="Arial" w:cs="Arial"/>
          <w:sz w:val="24"/>
          <w:szCs w:val="24"/>
        </w:rPr>
        <w:t xml:space="preserve">exercise whether </w:t>
      </w:r>
      <w:r w:rsidR="004A5288">
        <w:rPr>
          <w:rFonts w:ascii="Arial" w:hAnsi="Arial" w:cs="Arial"/>
          <w:sz w:val="24"/>
          <w:szCs w:val="24"/>
        </w:rPr>
        <w:t xml:space="preserve">by way of selection or </w:t>
      </w:r>
      <w:r w:rsidR="00282CC1">
        <w:rPr>
          <w:rFonts w:ascii="Arial" w:hAnsi="Arial" w:cs="Arial"/>
          <w:sz w:val="24"/>
          <w:szCs w:val="24"/>
        </w:rPr>
        <w:t xml:space="preserve">otherwise.  A dispute which </w:t>
      </w:r>
      <w:r w:rsidR="00282CC1" w:rsidRPr="00347D55">
        <w:rPr>
          <w:rFonts w:ascii="Arial" w:hAnsi="Arial" w:cs="Arial"/>
          <w:sz w:val="24"/>
          <w:szCs w:val="24"/>
          <w:u w:val="single"/>
        </w:rPr>
        <w:t>relates</w:t>
      </w:r>
      <w:r w:rsidR="00282CC1">
        <w:rPr>
          <w:rFonts w:ascii="Arial" w:hAnsi="Arial" w:cs="Arial"/>
          <w:sz w:val="24"/>
          <w:szCs w:val="24"/>
        </w:rPr>
        <w:t xml:space="preserve"> </w:t>
      </w:r>
      <w:r w:rsidR="00347D55">
        <w:rPr>
          <w:rFonts w:ascii="Arial" w:hAnsi="Arial" w:cs="Arial"/>
          <w:sz w:val="24"/>
          <w:szCs w:val="24"/>
        </w:rPr>
        <w:t xml:space="preserve">(underlining is ours) </w:t>
      </w:r>
      <w:r w:rsidR="00282CC1">
        <w:rPr>
          <w:rFonts w:ascii="Arial" w:hAnsi="Arial" w:cs="Arial"/>
          <w:sz w:val="24"/>
          <w:szCs w:val="24"/>
        </w:rPr>
        <w:t xml:space="preserve">mainly to promotion of a worker </w:t>
      </w:r>
      <w:r w:rsidR="00347D55">
        <w:rPr>
          <w:rFonts w:ascii="Arial" w:hAnsi="Arial" w:cs="Arial"/>
          <w:sz w:val="24"/>
          <w:szCs w:val="24"/>
        </w:rPr>
        <w:t>may</w:t>
      </w:r>
      <w:r w:rsidR="00282CC1">
        <w:rPr>
          <w:rFonts w:ascii="Arial" w:hAnsi="Arial" w:cs="Arial"/>
          <w:sz w:val="24"/>
          <w:szCs w:val="24"/>
        </w:rPr>
        <w:t xml:space="preserve"> thus include a dispute which relates to </w:t>
      </w:r>
      <w:r w:rsidR="00347D55">
        <w:rPr>
          <w:rFonts w:ascii="Arial" w:hAnsi="Arial" w:cs="Arial"/>
          <w:sz w:val="24"/>
          <w:szCs w:val="24"/>
        </w:rPr>
        <w:t xml:space="preserve">the absence of </w:t>
      </w:r>
      <w:r w:rsidR="00282CC1">
        <w:rPr>
          <w:rFonts w:ascii="Arial" w:hAnsi="Arial" w:cs="Arial"/>
          <w:sz w:val="24"/>
          <w:szCs w:val="24"/>
        </w:rPr>
        <w:t xml:space="preserve">promotion </w:t>
      </w:r>
      <w:r w:rsidR="00347D55">
        <w:rPr>
          <w:rFonts w:ascii="Arial" w:hAnsi="Arial" w:cs="Arial"/>
          <w:sz w:val="24"/>
          <w:szCs w:val="24"/>
        </w:rPr>
        <w:t xml:space="preserve">of a worker </w:t>
      </w:r>
      <w:r w:rsidR="00282CC1">
        <w:rPr>
          <w:rFonts w:ascii="Arial" w:hAnsi="Arial" w:cs="Arial"/>
          <w:sz w:val="24"/>
          <w:szCs w:val="24"/>
        </w:rPr>
        <w:t xml:space="preserve">or absence of opportunity of promotion of a worker.  </w:t>
      </w:r>
    </w:p>
    <w:p w14:paraId="2FDB76B7" w14:textId="2D059252" w:rsidR="00F22420" w:rsidRDefault="00BF0DAE" w:rsidP="00D81ACB">
      <w:pPr>
        <w:jc w:val="both"/>
        <w:rPr>
          <w:rFonts w:ascii="Arial" w:hAnsi="Arial" w:cs="Arial"/>
          <w:sz w:val="24"/>
          <w:szCs w:val="24"/>
        </w:rPr>
      </w:pPr>
      <w:r>
        <w:rPr>
          <w:rFonts w:ascii="Arial" w:hAnsi="Arial" w:cs="Arial"/>
          <w:sz w:val="24"/>
          <w:szCs w:val="24"/>
        </w:rPr>
        <w:t>Also, the terms of reference of the dispute refer to a scheme of service.  It is appropriate to refer to paragraphs 10.2 and 10.3 of the Pay Research Bureau Report 2016 (Volume 1) which read as follows:</w:t>
      </w:r>
    </w:p>
    <w:p w14:paraId="0116CC96" w14:textId="77777777" w:rsidR="00990691" w:rsidRPr="00990691" w:rsidRDefault="00990691" w:rsidP="00D81ACB">
      <w:pPr>
        <w:jc w:val="both"/>
        <w:rPr>
          <w:rFonts w:ascii="Arial" w:hAnsi="Arial" w:cs="Arial"/>
          <w:b/>
          <w:bCs/>
          <w:i/>
          <w:iCs/>
          <w:sz w:val="24"/>
          <w:szCs w:val="24"/>
        </w:rPr>
      </w:pPr>
      <w:r w:rsidRPr="00990691">
        <w:rPr>
          <w:rFonts w:ascii="Arial" w:hAnsi="Arial" w:cs="Arial"/>
          <w:b/>
          <w:bCs/>
          <w:i/>
          <w:iCs/>
          <w:sz w:val="24"/>
          <w:szCs w:val="24"/>
        </w:rPr>
        <w:t xml:space="preserve">Scheme of Service </w:t>
      </w:r>
    </w:p>
    <w:p w14:paraId="13EFD7D9" w14:textId="77777777" w:rsidR="00990691" w:rsidRDefault="00990691" w:rsidP="00D81ACB">
      <w:pPr>
        <w:jc w:val="both"/>
        <w:rPr>
          <w:rFonts w:ascii="Arial" w:hAnsi="Arial" w:cs="Arial"/>
          <w:i/>
          <w:iCs/>
          <w:sz w:val="24"/>
          <w:szCs w:val="24"/>
        </w:rPr>
      </w:pPr>
      <w:r w:rsidRPr="00990691">
        <w:rPr>
          <w:rFonts w:ascii="Arial" w:hAnsi="Arial" w:cs="Arial"/>
          <w:i/>
          <w:iCs/>
          <w:sz w:val="24"/>
          <w:szCs w:val="24"/>
        </w:rPr>
        <w:t xml:space="preserve">10.2 A scheme of service is a legal document prescribed in accordance with regulations of the Service Commissions. It specifies the qualifications, duties, competencies, skills and experience required of the prospective job holder as well as the duties and responsibilities of a job. It also specifies the mode of recruitment/appointment and the salary attached to the grade. </w:t>
      </w:r>
    </w:p>
    <w:p w14:paraId="17748970" w14:textId="08D6EC99" w:rsidR="00BF0DAE" w:rsidRDefault="00990691" w:rsidP="00D81ACB">
      <w:pPr>
        <w:jc w:val="both"/>
        <w:rPr>
          <w:rFonts w:ascii="Arial" w:hAnsi="Arial" w:cs="Arial"/>
          <w:i/>
          <w:iCs/>
          <w:sz w:val="24"/>
          <w:szCs w:val="24"/>
        </w:rPr>
      </w:pPr>
      <w:r w:rsidRPr="00990691">
        <w:rPr>
          <w:rFonts w:ascii="Arial" w:hAnsi="Arial" w:cs="Arial"/>
          <w:i/>
          <w:iCs/>
          <w:sz w:val="24"/>
          <w:szCs w:val="24"/>
        </w:rPr>
        <w:t xml:space="preserve">10.3 The scheme of service is of vital importance in the management of human resource functions such as recruitment, promotion, performance management, training and development, job evaluation, design of pay structures, organisation design; and therefore the design or amendment to a scheme of service needs to be done with utmost care and in a timely manner. Delays in the prescription of schemes of service inevitably cause prejudice to the organisation, the employees concerned and disrupt the service delivery. </w:t>
      </w:r>
    </w:p>
    <w:p w14:paraId="6D5597C6" w14:textId="16F3CAD1" w:rsidR="00E5267A" w:rsidRDefault="00BF0DAE" w:rsidP="00D81ACB">
      <w:pPr>
        <w:jc w:val="both"/>
        <w:rPr>
          <w:rFonts w:ascii="Arial" w:hAnsi="Arial" w:cs="Arial"/>
          <w:sz w:val="24"/>
          <w:szCs w:val="24"/>
        </w:rPr>
      </w:pPr>
      <w:r>
        <w:rPr>
          <w:rFonts w:ascii="Arial" w:hAnsi="Arial" w:cs="Arial"/>
          <w:sz w:val="24"/>
          <w:szCs w:val="24"/>
        </w:rPr>
        <w:t xml:space="preserve">The </w:t>
      </w:r>
      <w:r w:rsidR="00E326A8">
        <w:rPr>
          <w:rFonts w:ascii="Arial" w:hAnsi="Arial" w:cs="Arial"/>
          <w:sz w:val="24"/>
          <w:szCs w:val="24"/>
        </w:rPr>
        <w:t xml:space="preserve">scheme of service </w:t>
      </w:r>
      <w:r w:rsidR="008B60DF">
        <w:rPr>
          <w:rFonts w:ascii="Arial" w:hAnsi="Arial" w:cs="Arial"/>
          <w:sz w:val="24"/>
          <w:szCs w:val="24"/>
        </w:rPr>
        <w:t>of a grade is closely related t</w:t>
      </w:r>
      <w:r w:rsidR="00E326A8">
        <w:rPr>
          <w:rFonts w:ascii="Arial" w:hAnsi="Arial" w:cs="Arial"/>
          <w:sz w:val="24"/>
          <w:szCs w:val="24"/>
        </w:rPr>
        <w:t>o</w:t>
      </w:r>
      <w:r w:rsidR="008B60DF">
        <w:rPr>
          <w:rFonts w:ascii="Arial" w:hAnsi="Arial" w:cs="Arial"/>
          <w:sz w:val="24"/>
          <w:szCs w:val="24"/>
        </w:rPr>
        <w:t xml:space="preserve"> </w:t>
      </w:r>
      <w:r w:rsidR="00C566B7">
        <w:rPr>
          <w:rFonts w:ascii="Arial" w:hAnsi="Arial" w:cs="Arial"/>
          <w:sz w:val="24"/>
          <w:szCs w:val="24"/>
        </w:rPr>
        <w:t xml:space="preserve">the mode of recruitment/appointment or </w:t>
      </w:r>
      <w:r w:rsidR="008B60DF">
        <w:rPr>
          <w:rFonts w:ascii="Arial" w:hAnsi="Arial" w:cs="Arial"/>
          <w:sz w:val="24"/>
          <w:szCs w:val="24"/>
        </w:rPr>
        <w:t>promotion to that grade and the Tribunal is of the view that, a</w:t>
      </w:r>
      <w:r w:rsidR="007402E9">
        <w:rPr>
          <w:rFonts w:ascii="Arial" w:hAnsi="Arial" w:cs="Arial"/>
          <w:sz w:val="24"/>
          <w:szCs w:val="24"/>
        </w:rPr>
        <w:t>t this stage</w:t>
      </w:r>
      <w:r w:rsidR="008B60DF">
        <w:rPr>
          <w:rFonts w:ascii="Arial" w:hAnsi="Arial" w:cs="Arial"/>
          <w:sz w:val="24"/>
          <w:szCs w:val="24"/>
        </w:rPr>
        <w:t xml:space="preserve"> of the proceedings</w:t>
      </w:r>
      <w:r w:rsidR="007402E9">
        <w:rPr>
          <w:rFonts w:ascii="Arial" w:hAnsi="Arial" w:cs="Arial"/>
          <w:sz w:val="24"/>
          <w:szCs w:val="24"/>
        </w:rPr>
        <w:t>, and without hearing evidence, it is not possible for the Tribunal to find that the present dispute</w:t>
      </w:r>
      <w:r w:rsidR="00FA74C0">
        <w:rPr>
          <w:rFonts w:ascii="Arial" w:hAnsi="Arial" w:cs="Arial"/>
          <w:sz w:val="24"/>
          <w:szCs w:val="24"/>
        </w:rPr>
        <w:t>s</w:t>
      </w:r>
      <w:r w:rsidR="007402E9">
        <w:rPr>
          <w:rFonts w:ascii="Arial" w:hAnsi="Arial" w:cs="Arial"/>
          <w:sz w:val="24"/>
          <w:szCs w:val="24"/>
        </w:rPr>
        <w:t xml:space="preserve"> do not relate mainly to </w:t>
      </w:r>
      <w:r w:rsidR="00330C36">
        <w:rPr>
          <w:rFonts w:ascii="Arial" w:hAnsi="Arial" w:cs="Arial"/>
          <w:sz w:val="24"/>
          <w:szCs w:val="24"/>
        </w:rPr>
        <w:t xml:space="preserve">the </w:t>
      </w:r>
      <w:r w:rsidR="007402E9">
        <w:rPr>
          <w:rFonts w:ascii="Arial" w:hAnsi="Arial" w:cs="Arial"/>
          <w:sz w:val="24"/>
          <w:szCs w:val="24"/>
        </w:rPr>
        <w:t>promotion of the disputants</w:t>
      </w:r>
      <w:r w:rsidR="00EC2DF4">
        <w:rPr>
          <w:rFonts w:ascii="Arial" w:hAnsi="Arial" w:cs="Arial"/>
          <w:sz w:val="24"/>
          <w:szCs w:val="24"/>
        </w:rPr>
        <w:t>.</w:t>
      </w:r>
      <w:r w:rsidR="00592E1E">
        <w:rPr>
          <w:rFonts w:ascii="Arial" w:hAnsi="Arial" w:cs="Arial"/>
          <w:sz w:val="24"/>
          <w:szCs w:val="24"/>
        </w:rPr>
        <w:t xml:space="preserve"> </w:t>
      </w:r>
    </w:p>
    <w:p w14:paraId="57CE404A" w14:textId="21B85FE0" w:rsidR="0040060E" w:rsidRDefault="00E5267A" w:rsidP="0040060E">
      <w:pPr>
        <w:jc w:val="both"/>
        <w:rPr>
          <w:rFonts w:ascii="Arial" w:hAnsi="Arial" w:cs="Arial"/>
          <w:sz w:val="24"/>
          <w:szCs w:val="24"/>
        </w:rPr>
      </w:pPr>
      <w:r>
        <w:rPr>
          <w:rFonts w:ascii="Arial" w:hAnsi="Arial" w:cs="Arial"/>
          <w:sz w:val="24"/>
          <w:szCs w:val="24"/>
        </w:rPr>
        <w:t>It is apposite to note that the Tribunal (</w:t>
      </w:r>
      <w:r w:rsidR="00330C36">
        <w:rPr>
          <w:rFonts w:ascii="Arial" w:hAnsi="Arial" w:cs="Arial"/>
          <w:sz w:val="24"/>
          <w:szCs w:val="24"/>
        </w:rPr>
        <w:t xml:space="preserve">including </w:t>
      </w:r>
      <w:r>
        <w:rPr>
          <w:rFonts w:ascii="Arial" w:hAnsi="Arial" w:cs="Arial"/>
          <w:sz w:val="24"/>
          <w:szCs w:val="24"/>
        </w:rPr>
        <w:t xml:space="preserve">the Permanent Arbitration Tribunal </w:t>
      </w:r>
      <w:r w:rsidR="00330C36">
        <w:rPr>
          <w:rFonts w:ascii="Arial" w:hAnsi="Arial" w:cs="Arial"/>
          <w:sz w:val="24"/>
          <w:szCs w:val="24"/>
        </w:rPr>
        <w:t>as the Tribunal was formerly called and</w:t>
      </w:r>
      <w:r>
        <w:rPr>
          <w:rFonts w:ascii="Arial" w:hAnsi="Arial" w:cs="Arial"/>
          <w:sz w:val="24"/>
          <w:szCs w:val="24"/>
        </w:rPr>
        <w:t xml:space="preserve"> the </w:t>
      </w:r>
      <w:r w:rsidR="00C566B7">
        <w:rPr>
          <w:rFonts w:ascii="Arial" w:hAnsi="Arial" w:cs="Arial"/>
          <w:sz w:val="24"/>
          <w:szCs w:val="24"/>
        </w:rPr>
        <w:t xml:space="preserve">then </w:t>
      </w:r>
      <w:r>
        <w:rPr>
          <w:rFonts w:ascii="Arial" w:hAnsi="Arial" w:cs="Arial"/>
          <w:sz w:val="24"/>
          <w:szCs w:val="24"/>
        </w:rPr>
        <w:t xml:space="preserve">Civil Service Arbitration Tribunal) has always been dealing with disputes involving schemes of service </w:t>
      </w:r>
      <w:r w:rsidR="0040060E">
        <w:rPr>
          <w:rFonts w:ascii="Arial" w:hAnsi="Arial" w:cs="Arial"/>
          <w:sz w:val="24"/>
          <w:szCs w:val="24"/>
        </w:rPr>
        <w:t xml:space="preserve">even though we hasten to add that the definition of “industrial dispute”, as </w:t>
      </w:r>
      <w:r w:rsidR="00EC2DF4">
        <w:rPr>
          <w:rFonts w:ascii="Arial" w:hAnsi="Arial" w:cs="Arial"/>
          <w:sz w:val="24"/>
          <w:szCs w:val="24"/>
        </w:rPr>
        <w:t xml:space="preserve">it was </w:t>
      </w:r>
      <w:r w:rsidR="0040060E">
        <w:rPr>
          <w:rFonts w:ascii="Arial" w:hAnsi="Arial" w:cs="Arial"/>
          <w:sz w:val="24"/>
          <w:szCs w:val="24"/>
        </w:rPr>
        <w:t xml:space="preserve">amended in the now repealed Industrial </w:t>
      </w:r>
      <w:r w:rsidR="0040060E">
        <w:rPr>
          <w:rFonts w:ascii="Arial" w:hAnsi="Arial" w:cs="Arial"/>
          <w:sz w:val="24"/>
          <w:szCs w:val="24"/>
        </w:rPr>
        <w:lastRenderedPageBreak/>
        <w:t>Relations Act</w:t>
      </w:r>
      <w:r w:rsidR="00EC2DF4">
        <w:rPr>
          <w:rFonts w:ascii="Arial" w:hAnsi="Arial" w:cs="Arial"/>
          <w:sz w:val="24"/>
          <w:szCs w:val="24"/>
        </w:rPr>
        <w:t>,</w:t>
      </w:r>
      <w:r w:rsidR="0040060E">
        <w:rPr>
          <w:rFonts w:ascii="Arial" w:hAnsi="Arial" w:cs="Arial"/>
          <w:sz w:val="24"/>
          <w:szCs w:val="24"/>
        </w:rPr>
        <w:t xml:space="preserve"> was somewhat different from the current definition of “labour dispute” in the Act.    </w:t>
      </w:r>
    </w:p>
    <w:p w14:paraId="32BC7D76" w14:textId="66402174" w:rsidR="007402E9" w:rsidRDefault="007402E9" w:rsidP="00D81ACB">
      <w:pPr>
        <w:jc w:val="both"/>
        <w:rPr>
          <w:rFonts w:ascii="Arial" w:hAnsi="Arial" w:cs="Arial"/>
          <w:sz w:val="24"/>
          <w:szCs w:val="24"/>
        </w:rPr>
      </w:pPr>
      <w:r>
        <w:rPr>
          <w:rFonts w:ascii="Arial" w:hAnsi="Arial" w:cs="Arial"/>
          <w:sz w:val="24"/>
          <w:szCs w:val="24"/>
        </w:rPr>
        <w:t xml:space="preserve">The Tribunal is not satisfied, at this </w:t>
      </w:r>
      <w:r w:rsidR="006A51B3">
        <w:rPr>
          <w:rFonts w:ascii="Arial" w:hAnsi="Arial" w:cs="Arial"/>
          <w:sz w:val="24"/>
          <w:szCs w:val="24"/>
        </w:rPr>
        <w:t>stage that</w:t>
      </w:r>
      <w:r>
        <w:rPr>
          <w:rFonts w:ascii="Arial" w:hAnsi="Arial" w:cs="Arial"/>
          <w:sz w:val="24"/>
          <w:szCs w:val="24"/>
        </w:rPr>
        <w:t xml:space="preserve"> the dispute is not a labour dispute, and the objection taken under this limb is set aside.</w:t>
      </w:r>
    </w:p>
    <w:p w14:paraId="692B1E9A" w14:textId="6CB98F4C" w:rsidR="00CC4EF3" w:rsidRDefault="007402E9" w:rsidP="00D81ACB">
      <w:pPr>
        <w:jc w:val="both"/>
        <w:rPr>
          <w:rFonts w:ascii="Arial" w:hAnsi="Arial" w:cs="Arial"/>
          <w:sz w:val="24"/>
          <w:szCs w:val="24"/>
        </w:rPr>
      </w:pPr>
      <w:r>
        <w:rPr>
          <w:rFonts w:ascii="Arial" w:hAnsi="Arial" w:cs="Arial"/>
          <w:sz w:val="24"/>
          <w:szCs w:val="24"/>
        </w:rPr>
        <w:t>As regards the second limb</w:t>
      </w:r>
      <w:r w:rsidR="00392BB0">
        <w:rPr>
          <w:rFonts w:ascii="Arial" w:hAnsi="Arial" w:cs="Arial"/>
          <w:sz w:val="24"/>
          <w:szCs w:val="24"/>
        </w:rPr>
        <w:t xml:space="preserve"> of the preliminary objection</w:t>
      </w:r>
      <w:r>
        <w:rPr>
          <w:rFonts w:ascii="Arial" w:hAnsi="Arial" w:cs="Arial"/>
          <w:sz w:val="24"/>
          <w:szCs w:val="24"/>
        </w:rPr>
        <w:t xml:space="preserve">, </w:t>
      </w:r>
      <w:r w:rsidR="003542F7">
        <w:rPr>
          <w:rFonts w:ascii="Arial" w:hAnsi="Arial" w:cs="Arial"/>
          <w:sz w:val="24"/>
          <w:szCs w:val="24"/>
        </w:rPr>
        <w:t xml:space="preserve">the Tribunal finds that it is </w:t>
      </w:r>
      <w:r w:rsidR="00700DE9">
        <w:rPr>
          <w:rFonts w:ascii="Arial" w:hAnsi="Arial" w:cs="Arial"/>
          <w:sz w:val="24"/>
          <w:szCs w:val="24"/>
        </w:rPr>
        <w:t xml:space="preserve">clearly </w:t>
      </w:r>
      <w:r w:rsidR="003542F7">
        <w:rPr>
          <w:rFonts w:ascii="Arial" w:hAnsi="Arial" w:cs="Arial"/>
          <w:sz w:val="24"/>
          <w:szCs w:val="24"/>
        </w:rPr>
        <w:t>premature in that the Tribunal has yet to hear evidence.</w:t>
      </w:r>
      <w:r w:rsidR="0040060E">
        <w:rPr>
          <w:rFonts w:ascii="Arial" w:hAnsi="Arial" w:cs="Arial"/>
          <w:sz w:val="24"/>
          <w:szCs w:val="24"/>
        </w:rPr>
        <w:t xml:space="preserve">  </w:t>
      </w:r>
      <w:r w:rsidR="00CC4EF3">
        <w:rPr>
          <w:rFonts w:ascii="Arial" w:hAnsi="Arial" w:cs="Arial"/>
          <w:sz w:val="24"/>
          <w:szCs w:val="24"/>
        </w:rPr>
        <w:t>Regulation 15 of the</w:t>
      </w:r>
      <w:r w:rsidR="00646F21">
        <w:rPr>
          <w:rFonts w:ascii="Arial" w:hAnsi="Arial" w:cs="Arial"/>
          <w:sz w:val="24"/>
          <w:szCs w:val="24"/>
        </w:rPr>
        <w:t xml:space="preserve"> Public Service Commission Regulations provides as follows:</w:t>
      </w:r>
      <w:r w:rsidR="00CC4EF3">
        <w:rPr>
          <w:rFonts w:ascii="Arial" w:hAnsi="Arial" w:cs="Arial"/>
          <w:sz w:val="24"/>
          <w:szCs w:val="24"/>
        </w:rPr>
        <w:t xml:space="preserve"> </w:t>
      </w:r>
    </w:p>
    <w:p w14:paraId="15DD156C" w14:textId="77777777" w:rsidR="00646F21" w:rsidRPr="00646F21" w:rsidRDefault="00646F21" w:rsidP="00D81ACB">
      <w:pPr>
        <w:jc w:val="both"/>
        <w:rPr>
          <w:rFonts w:ascii="Arial" w:hAnsi="Arial" w:cs="Arial"/>
          <w:i/>
          <w:iCs/>
          <w:sz w:val="24"/>
          <w:szCs w:val="24"/>
        </w:rPr>
      </w:pPr>
      <w:r w:rsidRPr="00646F21">
        <w:rPr>
          <w:rFonts w:ascii="Arial" w:hAnsi="Arial" w:cs="Arial"/>
          <w:i/>
          <w:iCs/>
          <w:sz w:val="24"/>
          <w:szCs w:val="24"/>
        </w:rPr>
        <w:t xml:space="preserve">15 (1) The Commission shall, where a scheme of service is to be prescribed for a public office, consider and agree to the statement of qualifications and duties for, and, where appropriate, the mode of appointment to, the public office before the scheme of service is prescribed. </w:t>
      </w:r>
    </w:p>
    <w:p w14:paraId="4F9E6861" w14:textId="77777777" w:rsidR="00646F21" w:rsidRPr="00646F21" w:rsidRDefault="00646F21" w:rsidP="00D81ACB">
      <w:pPr>
        <w:jc w:val="both"/>
        <w:rPr>
          <w:rFonts w:ascii="Arial" w:hAnsi="Arial" w:cs="Arial"/>
          <w:i/>
          <w:iCs/>
          <w:sz w:val="24"/>
          <w:szCs w:val="24"/>
        </w:rPr>
      </w:pPr>
      <w:r w:rsidRPr="00646F21">
        <w:rPr>
          <w:rFonts w:ascii="Arial" w:hAnsi="Arial" w:cs="Arial"/>
          <w:i/>
          <w:iCs/>
          <w:sz w:val="24"/>
          <w:szCs w:val="24"/>
        </w:rPr>
        <w:t xml:space="preserve">(2) Any scheme of service under paragraph (1) shall be prescribed by the supervising officer of the Ministry responsible for the civil service. </w:t>
      </w:r>
    </w:p>
    <w:p w14:paraId="45A199B9" w14:textId="5D8B99F6" w:rsidR="00646F21" w:rsidRPr="00646F21" w:rsidRDefault="00646F21" w:rsidP="00D81ACB">
      <w:pPr>
        <w:jc w:val="both"/>
        <w:rPr>
          <w:rFonts w:ascii="Arial" w:hAnsi="Arial" w:cs="Arial"/>
          <w:i/>
          <w:iCs/>
          <w:sz w:val="24"/>
          <w:szCs w:val="24"/>
        </w:rPr>
      </w:pPr>
      <w:r w:rsidRPr="00646F21">
        <w:rPr>
          <w:rFonts w:ascii="Arial" w:hAnsi="Arial" w:cs="Arial"/>
          <w:i/>
          <w:iCs/>
          <w:sz w:val="24"/>
          <w:szCs w:val="24"/>
        </w:rPr>
        <w:t>(3) The scheme of service shall specify the salary attached to, the qualifications required for and duties of, and, where appropriate, the mode of appointment to, the office to which it relates.</w:t>
      </w:r>
    </w:p>
    <w:p w14:paraId="1DC7D94E" w14:textId="45504F3C" w:rsidR="00646F21" w:rsidRDefault="00646F21" w:rsidP="00D81ACB">
      <w:pPr>
        <w:jc w:val="both"/>
        <w:rPr>
          <w:rFonts w:ascii="Arial" w:hAnsi="Arial" w:cs="Arial"/>
          <w:sz w:val="24"/>
          <w:szCs w:val="24"/>
        </w:rPr>
      </w:pPr>
      <w:r>
        <w:rPr>
          <w:rFonts w:ascii="Arial" w:hAnsi="Arial" w:cs="Arial"/>
          <w:sz w:val="24"/>
          <w:szCs w:val="24"/>
        </w:rPr>
        <w:t xml:space="preserve">The Tribunal is fully aware of the role of Co-Respondent No 3 where a scheme of service is to be prescribed for a public office.  This is in fact one of the </w:t>
      </w:r>
      <w:r w:rsidR="006A51B3">
        <w:rPr>
          <w:rFonts w:ascii="Arial" w:hAnsi="Arial" w:cs="Arial"/>
          <w:sz w:val="24"/>
          <w:szCs w:val="24"/>
        </w:rPr>
        <w:t xml:space="preserve">main </w:t>
      </w:r>
      <w:r>
        <w:rPr>
          <w:rFonts w:ascii="Arial" w:hAnsi="Arial" w:cs="Arial"/>
          <w:sz w:val="24"/>
          <w:szCs w:val="24"/>
        </w:rPr>
        <w:t xml:space="preserve">reasons why Co-Respondent No 3 has been joined as a Co-Respondent in the present case.  The Tribunal when enquiring into the dispute, as required under section 70(1) of the Act, will be very cautious not to usurp the </w:t>
      </w:r>
      <w:r w:rsidR="00EA6D30">
        <w:rPr>
          <w:rFonts w:ascii="Arial" w:hAnsi="Arial" w:cs="Arial"/>
          <w:sz w:val="24"/>
          <w:szCs w:val="24"/>
        </w:rPr>
        <w:t>powers or jurisdiction of Co-Respondent No 3, or for that matter, of any other party.</w:t>
      </w:r>
      <w:r>
        <w:rPr>
          <w:rFonts w:ascii="Arial" w:hAnsi="Arial" w:cs="Arial"/>
          <w:sz w:val="24"/>
          <w:szCs w:val="24"/>
        </w:rPr>
        <w:t xml:space="preserve">  </w:t>
      </w:r>
      <w:r w:rsidR="00EA6D30">
        <w:rPr>
          <w:rFonts w:ascii="Arial" w:hAnsi="Arial" w:cs="Arial"/>
          <w:sz w:val="24"/>
          <w:szCs w:val="24"/>
        </w:rPr>
        <w:t xml:space="preserve">The Tribunal will refer to the case of </w:t>
      </w:r>
      <w:r w:rsidR="00F70917" w:rsidRPr="00F70917">
        <w:rPr>
          <w:rFonts w:ascii="Arial" w:hAnsi="Arial" w:cs="Arial"/>
          <w:b/>
          <w:bCs/>
          <w:sz w:val="24"/>
          <w:szCs w:val="24"/>
        </w:rPr>
        <w:t xml:space="preserve">Government Servants’ Association </w:t>
      </w:r>
      <w:r w:rsidR="008C50D8">
        <w:rPr>
          <w:rFonts w:ascii="Arial" w:hAnsi="Arial" w:cs="Arial"/>
          <w:b/>
          <w:bCs/>
          <w:sz w:val="24"/>
          <w:szCs w:val="24"/>
        </w:rPr>
        <w:t>A</w:t>
      </w:r>
      <w:r w:rsidR="00F70917" w:rsidRPr="00F70917">
        <w:rPr>
          <w:rFonts w:ascii="Arial" w:hAnsi="Arial" w:cs="Arial"/>
          <w:b/>
          <w:bCs/>
          <w:sz w:val="24"/>
          <w:szCs w:val="24"/>
        </w:rPr>
        <w:t>nd The Master &amp; Registrar &amp; Anor, RN 298</w:t>
      </w:r>
      <w:r w:rsidR="00F70917">
        <w:t xml:space="preserve"> </w:t>
      </w:r>
      <w:r w:rsidR="00EA6D30">
        <w:rPr>
          <w:rFonts w:ascii="Arial" w:hAnsi="Arial" w:cs="Arial"/>
          <w:sz w:val="24"/>
          <w:szCs w:val="24"/>
        </w:rPr>
        <w:t xml:space="preserve">where the </w:t>
      </w:r>
      <w:r w:rsidR="00F70917">
        <w:rPr>
          <w:rFonts w:ascii="Arial" w:hAnsi="Arial" w:cs="Arial"/>
          <w:sz w:val="24"/>
          <w:szCs w:val="24"/>
        </w:rPr>
        <w:t xml:space="preserve">Permanent Arbitration </w:t>
      </w:r>
      <w:r w:rsidR="00EA6D30">
        <w:rPr>
          <w:rFonts w:ascii="Arial" w:hAnsi="Arial" w:cs="Arial"/>
          <w:sz w:val="24"/>
          <w:szCs w:val="24"/>
        </w:rPr>
        <w:t>Tribunal stated the following:</w:t>
      </w:r>
    </w:p>
    <w:p w14:paraId="3496DB86" w14:textId="52E79B4B" w:rsidR="00F70917" w:rsidRPr="00F70917" w:rsidRDefault="00F70917" w:rsidP="00D81ACB">
      <w:pPr>
        <w:jc w:val="both"/>
        <w:rPr>
          <w:rFonts w:ascii="Arial" w:hAnsi="Arial" w:cs="Arial"/>
          <w:i/>
          <w:iCs/>
          <w:sz w:val="24"/>
          <w:szCs w:val="24"/>
        </w:rPr>
      </w:pPr>
      <w:r w:rsidRPr="00F70917">
        <w:rPr>
          <w:rFonts w:ascii="Arial" w:hAnsi="Arial" w:cs="Arial"/>
          <w:i/>
          <w:iCs/>
          <w:sz w:val="24"/>
          <w:szCs w:val="24"/>
        </w:rPr>
        <w:t>“These proceedings have involved a number of institutions, including the Public Service Commission and we are grateful to all those concerned for their utmost cooperation. The Tribunal is conscious that it should not be seen as seeking to usurp the exclusive rights of other authorities. Our sole aim is and can only be industrial peace and the promotion of Justice.”</w:t>
      </w:r>
    </w:p>
    <w:p w14:paraId="0AAEF24E" w14:textId="413CDB10" w:rsidR="00D46FEB" w:rsidRDefault="003542F7" w:rsidP="00D46FEB">
      <w:pPr>
        <w:jc w:val="both"/>
        <w:rPr>
          <w:rFonts w:ascii="Arial" w:hAnsi="Arial" w:cs="Arial"/>
          <w:sz w:val="24"/>
          <w:szCs w:val="24"/>
        </w:rPr>
      </w:pPr>
      <w:r>
        <w:rPr>
          <w:rFonts w:ascii="Arial" w:hAnsi="Arial" w:cs="Arial"/>
          <w:sz w:val="24"/>
          <w:szCs w:val="24"/>
        </w:rPr>
        <w:t>The Tribunal has wide powers and</w:t>
      </w:r>
      <w:r w:rsidR="00700DE9">
        <w:rPr>
          <w:rFonts w:ascii="Arial" w:hAnsi="Arial" w:cs="Arial"/>
          <w:sz w:val="24"/>
          <w:szCs w:val="24"/>
        </w:rPr>
        <w:t xml:space="preserve"> may</w:t>
      </w:r>
      <w:r w:rsidR="00CA7CF1">
        <w:rPr>
          <w:rFonts w:ascii="Arial" w:hAnsi="Arial" w:cs="Arial"/>
          <w:sz w:val="24"/>
          <w:szCs w:val="24"/>
        </w:rPr>
        <w:t>,</w:t>
      </w:r>
      <w:r>
        <w:rPr>
          <w:rFonts w:ascii="Arial" w:hAnsi="Arial" w:cs="Arial"/>
          <w:sz w:val="24"/>
          <w:szCs w:val="24"/>
        </w:rPr>
        <w:t xml:space="preserve"> for example</w:t>
      </w:r>
      <w:r w:rsidR="00CA7CF1">
        <w:rPr>
          <w:rFonts w:ascii="Arial" w:hAnsi="Arial" w:cs="Arial"/>
          <w:sz w:val="24"/>
          <w:szCs w:val="24"/>
        </w:rPr>
        <w:t xml:space="preserve">, </w:t>
      </w:r>
      <w:r w:rsidR="00CA7CF1" w:rsidRPr="00CA7CF1">
        <w:rPr>
          <w:rFonts w:ascii="Arial" w:hAnsi="Arial" w:cs="Arial"/>
          <w:sz w:val="24"/>
          <w:szCs w:val="24"/>
        </w:rPr>
        <w:t>in relation to any dispute or other matter before it</w:t>
      </w:r>
      <w:r w:rsidR="00CA7CF1">
        <w:rPr>
          <w:rFonts w:ascii="Arial" w:hAnsi="Arial" w:cs="Arial"/>
          <w:sz w:val="24"/>
          <w:szCs w:val="24"/>
        </w:rPr>
        <w:t>,</w:t>
      </w:r>
      <w:r w:rsidR="00CA7CF1" w:rsidRPr="00CA7CF1">
        <w:rPr>
          <w:rFonts w:ascii="Arial" w:hAnsi="Arial" w:cs="Arial"/>
          <w:sz w:val="24"/>
          <w:szCs w:val="24"/>
        </w:rPr>
        <w:t xml:space="preserve"> remit the matter, subject to such conditions as it may determine, to the parties for further consideration by them with a view to settling or limiting the several issues in dispute</w:t>
      </w:r>
      <w:r w:rsidR="00CA7CF1">
        <w:rPr>
          <w:rFonts w:ascii="Arial" w:hAnsi="Arial" w:cs="Arial"/>
          <w:sz w:val="24"/>
          <w:szCs w:val="24"/>
        </w:rPr>
        <w:t xml:space="preserve"> (section 6(2)(a) of the Second Schedule to the Act).  </w:t>
      </w:r>
      <w:r w:rsidR="00D46FEB">
        <w:rPr>
          <w:rFonts w:ascii="Arial" w:hAnsi="Arial" w:cs="Arial"/>
          <w:sz w:val="24"/>
          <w:szCs w:val="24"/>
        </w:rPr>
        <w:t>Sections 6(2)(b) of the Second Schedule to the Act even provides as follows:</w:t>
      </w:r>
    </w:p>
    <w:p w14:paraId="74925441" w14:textId="77777777" w:rsidR="00D46FEB" w:rsidRDefault="00D46FEB" w:rsidP="00D46FEB">
      <w:pPr>
        <w:jc w:val="both"/>
        <w:rPr>
          <w:rFonts w:ascii="Arial" w:hAnsi="Arial" w:cs="Arial"/>
          <w:i/>
          <w:iCs/>
          <w:sz w:val="24"/>
          <w:szCs w:val="24"/>
        </w:rPr>
      </w:pPr>
      <w:r w:rsidRPr="00E07BC4">
        <w:rPr>
          <w:rFonts w:ascii="Arial" w:hAnsi="Arial" w:cs="Arial"/>
          <w:i/>
          <w:iCs/>
          <w:sz w:val="24"/>
          <w:szCs w:val="24"/>
        </w:rPr>
        <w:t xml:space="preserve">6. (1) </w:t>
      </w:r>
      <w:r>
        <w:rPr>
          <w:rFonts w:ascii="Arial" w:hAnsi="Arial" w:cs="Arial"/>
          <w:i/>
          <w:iCs/>
          <w:sz w:val="24"/>
          <w:szCs w:val="24"/>
        </w:rPr>
        <w:t xml:space="preserve">… </w:t>
      </w:r>
    </w:p>
    <w:p w14:paraId="2CB72B1D" w14:textId="77777777" w:rsidR="00D46FEB" w:rsidRDefault="00D46FEB" w:rsidP="00D46FEB">
      <w:pPr>
        <w:jc w:val="both"/>
        <w:rPr>
          <w:rFonts w:ascii="Arial" w:hAnsi="Arial" w:cs="Arial"/>
          <w:i/>
          <w:iCs/>
          <w:sz w:val="24"/>
          <w:szCs w:val="24"/>
        </w:rPr>
      </w:pPr>
      <w:r w:rsidRPr="00E07BC4">
        <w:rPr>
          <w:rFonts w:ascii="Arial" w:hAnsi="Arial" w:cs="Arial"/>
          <w:i/>
          <w:iCs/>
          <w:sz w:val="24"/>
          <w:szCs w:val="24"/>
        </w:rPr>
        <w:lastRenderedPageBreak/>
        <w:t xml:space="preserve">(2) The Tribunal may in relation to any dispute or other matter before it – </w:t>
      </w:r>
    </w:p>
    <w:p w14:paraId="09FDC7C9" w14:textId="77777777" w:rsidR="00D46FEB" w:rsidRDefault="00D46FEB" w:rsidP="00D46FEB">
      <w:pPr>
        <w:ind w:firstLine="426"/>
        <w:jc w:val="both"/>
        <w:rPr>
          <w:rFonts w:ascii="Arial" w:hAnsi="Arial" w:cs="Arial"/>
          <w:i/>
          <w:iCs/>
          <w:sz w:val="24"/>
          <w:szCs w:val="24"/>
        </w:rPr>
      </w:pPr>
      <w:r w:rsidRPr="00E07BC4">
        <w:rPr>
          <w:rFonts w:ascii="Arial" w:hAnsi="Arial" w:cs="Arial"/>
          <w:i/>
          <w:iCs/>
          <w:sz w:val="24"/>
          <w:szCs w:val="24"/>
        </w:rPr>
        <w:t xml:space="preserve">(a) </w:t>
      </w:r>
      <w:r>
        <w:rPr>
          <w:rFonts w:ascii="Arial" w:hAnsi="Arial" w:cs="Arial"/>
          <w:i/>
          <w:iCs/>
          <w:sz w:val="24"/>
          <w:szCs w:val="24"/>
        </w:rPr>
        <w:t>…</w:t>
      </w:r>
      <w:r w:rsidRPr="00E07BC4">
        <w:rPr>
          <w:rFonts w:ascii="Arial" w:hAnsi="Arial" w:cs="Arial"/>
          <w:i/>
          <w:iCs/>
          <w:sz w:val="24"/>
          <w:szCs w:val="24"/>
        </w:rPr>
        <w:t xml:space="preserve">; </w:t>
      </w:r>
    </w:p>
    <w:p w14:paraId="67E63219" w14:textId="77777777" w:rsidR="00D46FEB" w:rsidRDefault="00D46FEB" w:rsidP="00D46FEB">
      <w:pPr>
        <w:ind w:firstLine="426"/>
        <w:jc w:val="both"/>
        <w:rPr>
          <w:rFonts w:ascii="Arial" w:hAnsi="Arial" w:cs="Arial"/>
          <w:i/>
          <w:iCs/>
          <w:sz w:val="24"/>
          <w:szCs w:val="24"/>
        </w:rPr>
      </w:pPr>
      <w:r w:rsidRPr="00E07BC4">
        <w:rPr>
          <w:rFonts w:ascii="Arial" w:hAnsi="Arial" w:cs="Arial"/>
          <w:i/>
          <w:iCs/>
          <w:sz w:val="24"/>
          <w:szCs w:val="24"/>
        </w:rPr>
        <w:t xml:space="preserve">(b) dismiss any matter or refrain from further hearing or from determining the matter, if it appears to the Tribunal that the matter is trivial, or that further proceedings are unnecessary, or undesirable in the public interest; </w:t>
      </w:r>
    </w:p>
    <w:p w14:paraId="6A272915" w14:textId="14ABF890" w:rsidR="003542F7" w:rsidRDefault="00700DE9" w:rsidP="00D81ACB">
      <w:pPr>
        <w:jc w:val="both"/>
        <w:rPr>
          <w:rFonts w:ascii="Arial" w:hAnsi="Arial" w:cs="Arial"/>
          <w:sz w:val="24"/>
          <w:szCs w:val="24"/>
        </w:rPr>
      </w:pPr>
      <w:r>
        <w:rPr>
          <w:rFonts w:ascii="Arial" w:hAnsi="Arial" w:cs="Arial"/>
          <w:sz w:val="24"/>
          <w:szCs w:val="24"/>
        </w:rPr>
        <w:t>T</w:t>
      </w:r>
      <w:r w:rsidR="003542F7">
        <w:rPr>
          <w:rFonts w:ascii="Arial" w:hAnsi="Arial" w:cs="Arial"/>
          <w:sz w:val="24"/>
          <w:szCs w:val="24"/>
        </w:rPr>
        <w:t xml:space="preserve">he Tribunal </w:t>
      </w:r>
      <w:r w:rsidR="009047C7">
        <w:rPr>
          <w:rFonts w:ascii="Arial" w:hAnsi="Arial" w:cs="Arial"/>
          <w:sz w:val="24"/>
          <w:szCs w:val="24"/>
        </w:rPr>
        <w:t xml:space="preserve">will have to ensure, </w:t>
      </w:r>
      <w:r w:rsidR="003542F7">
        <w:rPr>
          <w:rFonts w:ascii="Arial" w:hAnsi="Arial" w:cs="Arial"/>
          <w:sz w:val="24"/>
          <w:szCs w:val="24"/>
        </w:rPr>
        <w:t>when</w:t>
      </w:r>
      <w:r w:rsidR="00CA7CF1">
        <w:rPr>
          <w:rFonts w:ascii="Arial" w:hAnsi="Arial" w:cs="Arial"/>
          <w:sz w:val="24"/>
          <w:szCs w:val="24"/>
        </w:rPr>
        <w:t>, and only if,</w:t>
      </w:r>
      <w:r w:rsidR="003542F7">
        <w:rPr>
          <w:rFonts w:ascii="Arial" w:hAnsi="Arial" w:cs="Arial"/>
          <w:sz w:val="24"/>
          <w:szCs w:val="24"/>
        </w:rPr>
        <w:t xml:space="preserve"> it will have to deliver </w:t>
      </w:r>
      <w:r w:rsidR="00CA7CF1">
        <w:rPr>
          <w:rFonts w:ascii="Arial" w:hAnsi="Arial" w:cs="Arial"/>
          <w:sz w:val="24"/>
          <w:szCs w:val="24"/>
        </w:rPr>
        <w:t>an</w:t>
      </w:r>
      <w:r w:rsidR="003542F7">
        <w:rPr>
          <w:rFonts w:ascii="Arial" w:hAnsi="Arial" w:cs="Arial"/>
          <w:sz w:val="24"/>
          <w:szCs w:val="24"/>
        </w:rPr>
        <w:t xml:space="preserve"> award</w:t>
      </w:r>
      <w:r w:rsidR="00F70917">
        <w:rPr>
          <w:rFonts w:ascii="Arial" w:hAnsi="Arial" w:cs="Arial"/>
          <w:sz w:val="24"/>
          <w:szCs w:val="24"/>
        </w:rPr>
        <w:t xml:space="preserve"> after hearing all the parties</w:t>
      </w:r>
      <w:r w:rsidR="009047C7">
        <w:rPr>
          <w:rFonts w:ascii="Arial" w:hAnsi="Arial" w:cs="Arial"/>
          <w:sz w:val="24"/>
          <w:szCs w:val="24"/>
        </w:rPr>
        <w:t>,</w:t>
      </w:r>
      <w:r w:rsidR="003542F7">
        <w:rPr>
          <w:rFonts w:ascii="Arial" w:hAnsi="Arial" w:cs="Arial"/>
          <w:sz w:val="24"/>
          <w:szCs w:val="24"/>
        </w:rPr>
        <w:t xml:space="preserve"> that its award does not </w:t>
      </w:r>
      <w:r w:rsidR="00CB55BE">
        <w:rPr>
          <w:rFonts w:ascii="Arial" w:hAnsi="Arial" w:cs="Arial"/>
          <w:sz w:val="24"/>
          <w:szCs w:val="24"/>
        </w:rPr>
        <w:t xml:space="preserve">contain any provision </w:t>
      </w:r>
      <w:r w:rsidR="00CC7FF8">
        <w:rPr>
          <w:rFonts w:ascii="Arial" w:hAnsi="Arial" w:cs="Arial"/>
          <w:sz w:val="24"/>
          <w:szCs w:val="24"/>
        </w:rPr>
        <w:t xml:space="preserve">inconsistent with any enactment </w:t>
      </w:r>
      <w:r w:rsidR="00F70917">
        <w:rPr>
          <w:rFonts w:ascii="Arial" w:hAnsi="Arial" w:cs="Arial"/>
          <w:sz w:val="24"/>
          <w:szCs w:val="24"/>
        </w:rPr>
        <w:t xml:space="preserve">in line with </w:t>
      </w:r>
      <w:r w:rsidR="00CC7FF8">
        <w:rPr>
          <w:rFonts w:ascii="Arial" w:hAnsi="Arial" w:cs="Arial"/>
          <w:sz w:val="24"/>
          <w:szCs w:val="24"/>
        </w:rPr>
        <w:t>s</w:t>
      </w:r>
      <w:r w:rsidR="00CB55BE">
        <w:rPr>
          <w:rFonts w:ascii="Arial" w:hAnsi="Arial" w:cs="Arial"/>
          <w:sz w:val="24"/>
          <w:szCs w:val="24"/>
        </w:rPr>
        <w:t xml:space="preserve">ection 72(5) of </w:t>
      </w:r>
      <w:r w:rsidR="003542F7">
        <w:rPr>
          <w:rFonts w:ascii="Arial" w:hAnsi="Arial" w:cs="Arial"/>
          <w:sz w:val="24"/>
          <w:szCs w:val="24"/>
        </w:rPr>
        <w:t>the Act.  This objection is</w:t>
      </w:r>
      <w:r>
        <w:rPr>
          <w:rFonts w:ascii="Arial" w:hAnsi="Arial" w:cs="Arial"/>
          <w:sz w:val="24"/>
          <w:szCs w:val="24"/>
        </w:rPr>
        <w:t>,</w:t>
      </w:r>
      <w:r w:rsidR="003542F7">
        <w:rPr>
          <w:rFonts w:ascii="Arial" w:hAnsi="Arial" w:cs="Arial"/>
          <w:sz w:val="24"/>
          <w:szCs w:val="24"/>
        </w:rPr>
        <w:t xml:space="preserve"> at </w:t>
      </w:r>
      <w:r w:rsidR="0044270F">
        <w:rPr>
          <w:rFonts w:ascii="Arial" w:hAnsi="Arial" w:cs="Arial"/>
          <w:sz w:val="24"/>
          <w:szCs w:val="24"/>
        </w:rPr>
        <w:t>best</w:t>
      </w:r>
      <w:r>
        <w:rPr>
          <w:rFonts w:ascii="Arial" w:hAnsi="Arial" w:cs="Arial"/>
          <w:sz w:val="24"/>
          <w:szCs w:val="24"/>
        </w:rPr>
        <w:t>,</w:t>
      </w:r>
      <w:r w:rsidR="003542F7">
        <w:rPr>
          <w:rFonts w:ascii="Arial" w:hAnsi="Arial" w:cs="Arial"/>
          <w:sz w:val="24"/>
          <w:szCs w:val="24"/>
        </w:rPr>
        <w:t xml:space="preserve"> premature and is set aside.</w:t>
      </w:r>
    </w:p>
    <w:p w14:paraId="5D06AE05" w14:textId="251B8D47" w:rsidR="00E07BC4" w:rsidRDefault="00886CC4" w:rsidP="00D46FEB">
      <w:pPr>
        <w:jc w:val="both"/>
        <w:rPr>
          <w:rFonts w:ascii="Arial" w:hAnsi="Arial" w:cs="Arial"/>
          <w:i/>
          <w:iCs/>
          <w:sz w:val="24"/>
          <w:szCs w:val="24"/>
        </w:rPr>
      </w:pPr>
      <w:r>
        <w:rPr>
          <w:rFonts w:ascii="Arial" w:hAnsi="Arial" w:cs="Arial"/>
          <w:sz w:val="24"/>
          <w:szCs w:val="24"/>
        </w:rPr>
        <w:t>Th</w:t>
      </w:r>
      <w:r w:rsidR="00392BB0">
        <w:rPr>
          <w:rFonts w:ascii="Arial" w:hAnsi="Arial" w:cs="Arial"/>
          <w:sz w:val="24"/>
          <w:szCs w:val="24"/>
        </w:rPr>
        <w:t xml:space="preserve">e third limb of the </w:t>
      </w:r>
      <w:r>
        <w:rPr>
          <w:rFonts w:ascii="Arial" w:hAnsi="Arial" w:cs="Arial"/>
          <w:sz w:val="24"/>
          <w:szCs w:val="24"/>
        </w:rPr>
        <w:t xml:space="preserve">preliminary </w:t>
      </w:r>
      <w:r w:rsidR="00392BB0">
        <w:rPr>
          <w:rFonts w:ascii="Arial" w:hAnsi="Arial" w:cs="Arial"/>
          <w:sz w:val="24"/>
          <w:szCs w:val="24"/>
        </w:rPr>
        <w:t>objection</w:t>
      </w:r>
      <w:r>
        <w:rPr>
          <w:rFonts w:ascii="Arial" w:hAnsi="Arial" w:cs="Arial"/>
          <w:sz w:val="24"/>
          <w:szCs w:val="24"/>
        </w:rPr>
        <w:t>s s</w:t>
      </w:r>
      <w:r w:rsidR="00344D33">
        <w:rPr>
          <w:rFonts w:ascii="Arial" w:hAnsi="Arial" w:cs="Arial"/>
          <w:sz w:val="24"/>
          <w:szCs w:val="24"/>
        </w:rPr>
        <w:t xml:space="preserve">eems to </w:t>
      </w:r>
      <w:r>
        <w:rPr>
          <w:rFonts w:ascii="Arial" w:hAnsi="Arial" w:cs="Arial"/>
          <w:sz w:val="24"/>
          <w:szCs w:val="24"/>
        </w:rPr>
        <w:t xml:space="preserve">have </w:t>
      </w:r>
      <w:r w:rsidR="00344D33">
        <w:rPr>
          <w:rFonts w:ascii="Arial" w:hAnsi="Arial" w:cs="Arial"/>
          <w:sz w:val="24"/>
          <w:szCs w:val="24"/>
        </w:rPr>
        <w:t xml:space="preserve">more </w:t>
      </w:r>
      <w:r>
        <w:rPr>
          <w:rFonts w:ascii="Arial" w:hAnsi="Arial" w:cs="Arial"/>
          <w:sz w:val="24"/>
          <w:szCs w:val="24"/>
        </w:rPr>
        <w:t xml:space="preserve">to do with </w:t>
      </w:r>
      <w:r w:rsidR="00344D33">
        <w:rPr>
          <w:rFonts w:ascii="Arial" w:hAnsi="Arial" w:cs="Arial"/>
          <w:sz w:val="24"/>
          <w:szCs w:val="24"/>
        </w:rPr>
        <w:t xml:space="preserve">the merits of the case than </w:t>
      </w:r>
      <w:r w:rsidR="00F70917">
        <w:rPr>
          <w:rFonts w:ascii="Arial" w:hAnsi="Arial" w:cs="Arial"/>
          <w:sz w:val="24"/>
          <w:szCs w:val="24"/>
        </w:rPr>
        <w:t xml:space="preserve">with </w:t>
      </w:r>
      <w:r>
        <w:rPr>
          <w:rFonts w:ascii="Arial" w:hAnsi="Arial" w:cs="Arial"/>
          <w:sz w:val="24"/>
          <w:szCs w:val="24"/>
        </w:rPr>
        <w:t xml:space="preserve">the </w:t>
      </w:r>
      <w:r w:rsidR="00344D33">
        <w:rPr>
          <w:rFonts w:ascii="Arial" w:hAnsi="Arial" w:cs="Arial"/>
          <w:sz w:val="24"/>
          <w:szCs w:val="24"/>
        </w:rPr>
        <w:t xml:space="preserve">jurisdiction of the Tribunal to </w:t>
      </w:r>
      <w:r w:rsidR="007C40C4">
        <w:rPr>
          <w:rFonts w:ascii="Arial" w:hAnsi="Arial" w:cs="Arial"/>
          <w:sz w:val="24"/>
          <w:szCs w:val="24"/>
        </w:rPr>
        <w:t>even enquire into the dispute</w:t>
      </w:r>
      <w:r w:rsidR="00344D33">
        <w:rPr>
          <w:rFonts w:ascii="Arial" w:hAnsi="Arial" w:cs="Arial"/>
          <w:sz w:val="24"/>
          <w:szCs w:val="24"/>
        </w:rPr>
        <w:t xml:space="preserve">.  Once the Tribunal is satisfied that </w:t>
      </w:r>
      <w:r>
        <w:rPr>
          <w:rFonts w:ascii="Arial" w:hAnsi="Arial" w:cs="Arial"/>
          <w:sz w:val="24"/>
          <w:szCs w:val="24"/>
        </w:rPr>
        <w:t xml:space="preserve">a </w:t>
      </w:r>
      <w:r w:rsidR="00344D33">
        <w:rPr>
          <w:rFonts w:ascii="Arial" w:hAnsi="Arial" w:cs="Arial"/>
          <w:sz w:val="24"/>
          <w:szCs w:val="24"/>
        </w:rPr>
        <w:t xml:space="preserve">dispute falls within the definition of a labour dispute and is not expressly excluded from the jurisdiction of the Tribunal (under say section 71 of the Act), the Tribunal shall proceed with the matter.  </w:t>
      </w:r>
      <w:r w:rsidR="00C44B3C">
        <w:rPr>
          <w:rFonts w:ascii="Arial" w:hAnsi="Arial" w:cs="Arial"/>
          <w:sz w:val="24"/>
          <w:szCs w:val="24"/>
        </w:rPr>
        <w:t>It is apposite to note that sec</w:t>
      </w:r>
      <w:r>
        <w:rPr>
          <w:rFonts w:ascii="Arial" w:hAnsi="Arial" w:cs="Arial"/>
          <w:sz w:val="24"/>
          <w:szCs w:val="24"/>
        </w:rPr>
        <w:t>tion 85</w:t>
      </w:r>
      <w:r w:rsidR="00C44B3C">
        <w:rPr>
          <w:rFonts w:ascii="Arial" w:hAnsi="Arial" w:cs="Arial"/>
          <w:sz w:val="24"/>
          <w:szCs w:val="24"/>
        </w:rPr>
        <w:t>(1)</w:t>
      </w:r>
      <w:r>
        <w:rPr>
          <w:rFonts w:ascii="Arial" w:hAnsi="Arial" w:cs="Arial"/>
          <w:sz w:val="24"/>
          <w:szCs w:val="24"/>
        </w:rPr>
        <w:t xml:space="preserve"> of the Act </w:t>
      </w:r>
      <w:r w:rsidR="00C44B3C">
        <w:rPr>
          <w:rFonts w:ascii="Arial" w:hAnsi="Arial" w:cs="Arial"/>
          <w:sz w:val="24"/>
          <w:szCs w:val="24"/>
        </w:rPr>
        <w:t xml:space="preserve">provides that “The Permanent Arbitration Tribunal established under section 39 of the repealed Industrial Relations Act is deemed to have been established under this Act and is renamed as the Employment Relations Tribunal.”  The functions of the Tribunal as per the Act include making awards (section 86 of the Act) and the Tribunal has been given wide powers to deal with labour disputes and other matters before it.  </w:t>
      </w:r>
      <w:r w:rsidR="0081475F">
        <w:rPr>
          <w:rFonts w:ascii="Arial" w:hAnsi="Arial" w:cs="Arial"/>
          <w:sz w:val="24"/>
          <w:szCs w:val="24"/>
        </w:rPr>
        <w:t>Thus,</w:t>
      </w:r>
      <w:r w:rsidR="00E47C8A">
        <w:rPr>
          <w:rFonts w:ascii="Arial" w:hAnsi="Arial" w:cs="Arial"/>
          <w:sz w:val="24"/>
          <w:szCs w:val="24"/>
        </w:rPr>
        <w:t xml:space="preserve"> under section 15 </w:t>
      </w:r>
      <w:r w:rsidR="007C40C4">
        <w:rPr>
          <w:rFonts w:ascii="Arial" w:hAnsi="Arial" w:cs="Arial"/>
          <w:sz w:val="24"/>
          <w:szCs w:val="24"/>
        </w:rPr>
        <w:t>(</w:t>
      </w:r>
      <w:r w:rsidR="00E47C8A">
        <w:rPr>
          <w:rFonts w:ascii="Arial" w:hAnsi="Arial" w:cs="Arial"/>
          <w:sz w:val="24"/>
          <w:szCs w:val="24"/>
        </w:rPr>
        <w:t>of Part IV</w:t>
      </w:r>
      <w:r w:rsidR="007C40C4">
        <w:rPr>
          <w:rFonts w:ascii="Arial" w:hAnsi="Arial" w:cs="Arial"/>
          <w:sz w:val="24"/>
          <w:szCs w:val="24"/>
        </w:rPr>
        <w:t>)</w:t>
      </w:r>
      <w:r w:rsidR="00E47C8A">
        <w:rPr>
          <w:rFonts w:ascii="Arial" w:hAnsi="Arial" w:cs="Arial"/>
          <w:sz w:val="24"/>
          <w:szCs w:val="24"/>
        </w:rPr>
        <w:t xml:space="preserve"> of the Second Schedule to the </w:t>
      </w:r>
      <w:r w:rsidR="00C44B3C">
        <w:rPr>
          <w:rFonts w:ascii="Arial" w:hAnsi="Arial" w:cs="Arial"/>
          <w:sz w:val="24"/>
          <w:szCs w:val="24"/>
        </w:rPr>
        <w:t>Act</w:t>
      </w:r>
      <w:r w:rsidR="00E47C8A">
        <w:rPr>
          <w:rFonts w:ascii="Arial" w:hAnsi="Arial" w:cs="Arial"/>
          <w:sz w:val="24"/>
          <w:szCs w:val="24"/>
        </w:rPr>
        <w:t>, the Tribunal “</w:t>
      </w:r>
      <w:r w:rsidR="00E47C8A" w:rsidRPr="00C538CA">
        <w:rPr>
          <w:rFonts w:ascii="Arial" w:hAnsi="Arial" w:cs="Arial"/>
          <w:i/>
          <w:sz w:val="24"/>
          <w:szCs w:val="24"/>
        </w:rPr>
        <w:t>may conduct its proceedings in a</w:t>
      </w:r>
      <w:r w:rsidRPr="00C538CA">
        <w:rPr>
          <w:rFonts w:ascii="Arial" w:hAnsi="Arial" w:cs="Arial"/>
          <w:i/>
          <w:sz w:val="24"/>
          <w:szCs w:val="24"/>
        </w:rPr>
        <w:t xml:space="preserve"> </w:t>
      </w:r>
      <w:r w:rsidR="00E47C8A" w:rsidRPr="00C538CA">
        <w:rPr>
          <w:rFonts w:ascii="Arial" w:hAnsi="Arial" w:cs="Arial"/>
          <w:i/>
          <w:sz w:val="24"/>
          <w:szCs w:val="24"/>
        </w:rPr>
        <w:t xml:space="preserve">manner it deems appropriate in order to determine any matter before it fairly and promptly and may deal </w:t>
      </w:r>
      <w:r w:rsidR="00C538CA" w:rsidRPr="00C538CA">
        <w:rPr>
          <w:rFonts w:ascii="Arial" w:hAnsi="Arial" w:cs="Arial"/>
          <w:i/>
          <w:sz w:val="24"/>
          <w:szCs w:val="24"/>
        </w:rPr>
        <w:t>with the substantial merits of such matter with a minimum of legal formalities</w:t>
      </w:r>
      <w:r w:rsidR="00C538CA">
        <w:rPr>
          <w:rFonts w:ascii="Arial" w:hAnsi="Arial" w:cs="Arial"/>
          <w:sz w:val="24"/>
          <w:szCs w:val="24"/>
        </w:rPr>
        <w:t xml:space="preserve">.”  </w:t>
      </w:r>
    </w:p>
    <w:p w14:paraId="785C0E93" w14:textId="64C8B5CD" w:rsidR="00815C99" w:rsidRDefault="00815C99" w:rsidP="00E07BC4">
      <w:pPr>
        <w:ind w:firstLine="426"/>
        <w:jc w:val="both"/>
        <w:rPr>
          <w:rFonts w:ascii="Arial" w:hAnsi="Arial" w:cs="Arial"/>
          <w:i/>
          <w:iCs/>
          <w:sz w:val="24"/>
          <w:szCs w:val="24"/>
        </w:rPr>
      </w:pPr>
      <w:r>
        <w:rPr>
          <w:rFonts w:ascii="Arial" w:hAnsi="Arial" w:cs="Arial"/>
          <w:i/>
          <w:iCs/>
          <w:sz w:val="24"/>
          <w:szCs w:val="24"/>
        </w:rPr>
        <w:t>…</w:t>
      </w:r>
    </w:p>
    <w:p w14:paraId="4534E30C" w14:textId="71D59B65" w:rsidR="00CB55BE" w:rsidRDefault="00C538CA" w:rsidP="00CB55BE">
      <w:pPr>
        <w:jc w:val="both"/>
        <w:rPr>
          <w:rFonts w:ascii="Arial" w:hAnsi="Arial" w:cs="Arial"/>
          <w:sz w:val="24"/>
          <w:szCs w:val="24"/>
        </w:rPr>
      </w:pPr>
      <w:r>
        <w:rPr>
          <w:rFonts w:ascii="Arial" w:hAnsi="Arial" w:cs="Arial"/>
          <w:sz w:val="24"/>
          <w:szCs w:val="24"/>
        </w:rPr>
        <w:t xml:space="preserve">The Tribunal deals with </w:t>
      </w:r>
      <w:r w:rsidR="003A3FFB">
        <w:rPr>
          <w:rFonts w:ascii="Arial" w:hAnsi="Arial" w:cs="Arial"/>
          <w:sz w:val="24"/>
          <w:szCs w:val="24"/>
        </w:rPr>
        <w:t xml:space="preserve">employment relations matters and is given wide powers which are consonant with the settlement of labour disputes whilst </w:t>
      </w:r>
      <w:r w:rsidR="00E64911">
        <w:rPr>
          <w:rFonts w:ascii="Arial" w:hAnsi="Arial" w:cs="Arial"/>
          <w:sz w:val="24"/>
          <w:szCs w:val="24"/>
        </w:rPr>
        <w:t xml:space="preserve">it has also to </w:t>
      </w:r>
      <w:r w:rsidR="003A3FFB">
        <w:rPr>
          <w:rFonts w:ascii="Arial" w:hAnsi="Arial" w:cs="Arial"/>
          <w:sz w:val="24"/>
          <w:szCs w:val="24"/>
        </w:rPr>
        <w:t xml:space="preserve">uphold the principles and best practices of good employment relations.  The Tribunal, for </w:t>
      </w:r>
      <w:r w:rsidR="0044270F">
        <w:rPr>
          <w:rFonts w:ascii="Arial" w:hAnsi="Arial" w:cs="Arial"/>
          <w:sz w:val="24"/>
          <w:szCs w:val="24"/>
        </w:rPr>
        <w:t>instance,</w:t>
      </w:r>
      <w:r w:rsidR="003A3FFB">
        <w:rPr>
          <w:rFonts w:ascii="Arial" w:hAnsi="Arial" w:cs="Arial"/>
          <w:sz w:val="24"/>
          <w:szCs w:val="24"/>
        </w:rPr>
        <w:t xml:space="preserve"> is not bound by the law of evidence in force in Mauritius (section 20(1) </w:t>
      </w:r>
      <w:r w:rsidR="007C40C4">
        <w:rPr>
          <w:rFonts w:ascii="Arial" w:hAnsi="Arial" w:cs="Arial"/>
          <w:sz w:val="24"/>
          <w:szCs w:val="24"/>
        </w:rPr>
        <w:t>(</w:t>
      </w:r>
      <w:r w:rsidR="003A3FFB">
        <w:rPr>
          <w:rFonts w:ascii="Arial" w:hAnsi="Arial" w:cs="Arial"/>
          <w:sz w:val="24"/>
          <w:szCs w:val="24"/>
        </w:rPr>
        <w:t>of Part IV</w:t>
      </w:r>
      <w:r w:rsidR="007C40C4">
        <w:rPr>
          <w:rFonts w:ascii="Arial" w:hAnsi="Arial" w:cs="Arial"/>
          <w:sz w:val="24"/>
          <w:szCs w:val="24"/>
        </w:rPr>
        <w:t>)</w:t>
      </w:r>
      <w:r w:rsidR="003A3FFB">
        <w:rPr>
          <w:rFonts w:ascii="Arial" w:hAnsi="Arial" w:cs="Arial"/>
          <w:sz w:val="24"/>
          <w:szCs w:val="24"/>
        </w:rPr>
        <w:t xml:space="preserve"> of the Second Schedule to the Act) and may, in the exercise of its functions in relation to a matter before it under the Act have regard to </w:t>
      </w:r>
      <w:r w:rsidR="00CB55BE">
        <w:rPr>
          <w:rFonts w:ascii="Arial" w:hAnsi="Arial" w:cs="Arial"/>
          <w:sz w:val="24"/>
          <w:szCs w:val="24"/>
        </w:rPr>
        <w:t>the principles of natural justice, the interests of the persons immediately concerned and the community as a whole and other principles</w:t>
      </w:r>
      <w:r w:rsidR="00262AD1">
        <w:rPr>
          <w:rFonts w:ascii="Arial" w:hAnsi="Arial" w:cs="Arial"/>
          <w:sz w:val="24"/>
          <w:szCs w:val="24"/>
        </w:rPr>
        <w:t xml:space="preserve"> (section 97 of the Act)</w:t>
      </w:r>
      <w:r w:rsidR="00CB55BE">
        <w:rPr>
          <w:rFonts w:ascii="Arial" w:hAnsi="Arial" w:cs="Arial"/>
          <w:sz w:val="24"/>
          <w:szCs w:val="24"/>
        </w:rPr>
        <w:t xml:space="preserve">.  </w:t>
      </w:r>
    </w:p>
    <w:p w14:paraId="50834EB6" w14:textId="3C09D5DF" w:rsidR="0018459A" w:rsidRDefault="00CB55BE" w:rsidP="00CB55BE">
      <w:pPr>
        <w:jc w:val="both"/>
        <w:rPr>
          <w:rFonts w:ascii="Arial" w:hAnsi="Arial" w:cs="Arial"/>
          <w:sz w:val="24"/>
          <w:szCs w:val="24"/>
        </w:rPr>
      </w:pPr>
      <w:r>
        <w:rPr>
          <w:rFonts w:ascii="Arial" w:hAnsi="Arial" w:cs="Arial"/>
          <w:sz w:val="24"/>
          <w:szCs w:val="24"/>
        </w:rPr>
        <w:t xml:space="preserve">In the case of </w:t>
      </w:r>
      <w:r w:rsidR="0018459A" w:rsidRPr="0018459A">
        <w:rPr>
          <w:rFonts w:ascii="Arial" w:hAnsi="Arial" w:cs="Arial"/>
          <w:b/>
          <w:bCs/>
          <w:sz w:val="24"/>
          <w:szCs w:val="24"/>
        </w:rPr>
        <w:t>U.</w:t>
      </w:r>
      <w:r w:rsidR="004F3FF8">
        <w:rPr>
          <w:rFonts w:ascii="Arial" w:hAnsi="Arial" w:cs="Arial"/>
          <w:b/>
          <w:bCs/>
          <w:sz w:val="24"/>
          <w:szCs w:val="24"/>
        </w:rPr>
        <w:t xml:space="preserve"> Labourers of the Sugar and</w:t>
      </w:r>
      <w:r w:rsidR="0018459A" w:rsidRPr="0018459A">
        <w:rPr>
          <w:rFonts w:ascii="Arial" w:hAnsi="Arial" w:cs="Arial"/>
          <w:b/>
          <w:bCs/>
          <w:sz w:val="24"/>
          <w:szCs w:val="24"/>
        </w:rPr>
        <w:t xml:space="preserve"> others vs P.</w:t>
      </w:r>
      <w:r w:rsidR="004F3FF8">
        <w:rPr>
          <w:rFonts w:ascii="Arial" w:hAnsi="Arial" w:cs="Arial"/>
          <w:b/>
          <w:bCs/>
          <w:sz w:val="24"/>
          <w:szCs w:val="24"/>
        </w:rPr>
        <w:t xml:space="preserve"> </w:t>
      </w:r>
      <w:r w:rsidR="0018459A" w:rsidRPr="0018459A">
        <w:rPr>
          <w:rFonts w:ascii="Arial" w:hAnsi="Arial" w:cs="Arial"/>
          <w:b/>
          <w:bCs/>
          <w:sz w:val="24"/>
          <w:szCs w:val="24"/>
        </w:rPr>
        <w:t>A</w:t>
      </w:r>
      <w:r w:rsidR="004F3FF8">
        <w:rPr>
          <w:rFonts w:ascii="Arial" w:hAnsi="Arial" w:cs="Arial"/>
          <w:b/>
          <w:bCs/>
          <w:sz w:val="24"/>
          <w:szCs w:val="24"/>
        </w:rPr>
        <w:t>rbitration Tribunal and Ors</w:t>
      </w:r>
      <w:r w:rsidR="0018459A" w:rsidRPr="0018459A">
        <w:rPr>
          <w:rFonts w:ascii="Arial" w:hAnsi="Arial" w:cs="Arial"/>
          <w:b/>
          <w:bCs/>
          <w:sz w:val="24"/>
          <w:szCs w:val="24"/>
        </w:rPr>
        <w:t xml:space="preserve"> 1976 MR 85</w:t>
      </w:r>
      <w:r>
        <w:rPr>
          <w:rFonts w:ascii="Arial" w:hAnsi="Arial" w:cs="Arial"/>
          <w:sz w:val="24"/>
          <w:szCs w:val="24"/>
        </w:rPr>
        <w:t>, the Supreme Court stated the following in relation to the then Permanent Arbitration Tribunal</w:t>
      </w:r>
      <w:r w:rsidR="0018459A">
        <w:rPr>
          <w:rFonts w:ascii="Arial" w:hAnsi="Arial" w:cs="Arial"/>
          <w:sz w:val="24"/>
          <w:szCs w:val="24"/>
        </w:rPr>
        <w:t xml:space="preserve"> (now the Employment Relations Tribunal):</w:t>
      </w:r>
    </w:p>
    <w:p w14:paraId="410B1395" w14:textId="4C77BEBD" w:rsidR="00CB55BE" w:rsidRDefault="0018459A" w:rsidP="00CB55BE">
      <w:pPr>
        <w:jc w:val="both"/>
        <w:rPr>
          <w:rFonts w:ascii="Arial" w:hAnsi="Arial" w:cs="Arial"/>
          <w:sz w:val="24"/>
          <w:szCs w:val="24"/>
        </w:rPr>
      </w:pPr>
      <w:r w:rsidRPr="0018459A">
        <w:rPr>
          <w:rFonts w:ascii="Arial" w:hAnsi="Arial" w:cs="Arial"/>
          <w:i/>
          <w:iCs/>
          <w:sz w:val="24"/>
          <w:szCs w:val="24"/>
        </w:rPr>
        <w:lastRenderedPageBreak/>
        <w:t xml:space="preserve">In considering whether the Tribunal has succeeded in its task, the Court, especially in the exercise of its powers of supervision by way of a prerogative order, should be chary of intruding usurpingly on the Tribunal's province. </w:t>
      </w:r>
      <w:r w:rsidRPr="00262AD1">
        <w:rPr>
          <w:rFonts w:ascii="Arial" w:hAnsi="Arial" w:cs="Arial"/>
          <w:i/>
          <w:iCs/>
          <w:sz w:val="24"/>
          <w:szCs w:val="24"/>
          <w:u w:val="single"/>
        </w:rPr>
        <w:t>The Tribunal is by its constitution the main arbiter in the sphere of industrial relations.</w:t>
      </w:r>
      <w:r w:rsidRPr="0018459A">
        <w:rPr>
          <w:rFonts w:ascii="Arial" w:hAnsi="Arial" w:cs="Arial"/>
          <w:i/>
          <w:iCs/>
          <w:sz w:val="24"/>
          <w:szCs w:val="24"/>
        </w:rPr>
        <w:t xml:space="preserve"> </w:t>
      </w:r>
      <w:r w:rsidR="00262AD1">
        <w:rPr>
          <w:rFonts w:ascii="Arial" w:hAnsi="Arial" w:cs="Arial"/>
          <w:sz w:val="24"/>
          <w:szCs w:val="24"/>
        </w:rPr>
        <w:t xml:space="preserve">(underlining is ours) </w:t>
      </w:r>
      <w:r w:rsidRPr="0018459A">
        <w:rPr>
          <w:rFonts w:ascii="Arial" w:hAnsi="Arial" w:cs="Arial"/>
          <w:i/>
          <w:iCs/>
          <w:sz w:val="24"/>
          <w:szCs w:val="24"/>
        </w:rPr>
        <w:t>It is, or is expected to become, with time and experience, an expert body in that sphere and as such should be left, as far as possible, to determine what is required for the implementation of the purposes of the Act and the fulfilment of its objects. Except, therefore, where the Tribunal has clearly misconstrued or misapplied a provision of the Act, this Court should refrain from interfering.</w:t>
      </w:r>
    </w:p>
    <w:p w14:paraId="6B7B82E7" w14:textId="2AB76263" w:rsidR="00892F0E" w:rsidRDefault="00CC7FF8" w:rsidP="00CB55BE">
      <w:pPr>
        <w:jc w:val="both"/>
        <w:rPr>
          <w:rFonts w:ascii="Arial" w:hAnsi="Arial" w:cs="Arial"/>
          <w:sz w:val="24"/>
          <w:szCs w:val="24"/>
        </w:rPr>
      </w:pPr>
      <w:r>
        <w:rPr>
          <w:rFonts w:ascii="Arial" w:hAnsi="Arial" w:cs="Arial"/>
          <w:sz w:val="24"/>
          <w:szCs w:val="24"/>
        </w:rPr>
        <w:t xml:space="preserve">The Tribunal observes </w:t>
      </w:r>
      <w:r w:rsidR="00262AD1">
        <w:rPr>
          <w:rFonts w:ascii="Arial" w:hAnsi="Arial" w:cs="Arial"/>
          <w:sz w:val="24"/>
          <w:szCs w:val="24"/>
        </w:rPr>
        <w:t xml:space="preserve">that </w:t>
      </w:r>
      <w:r w:rsidRPr="003D685D">
        <w:rPr>
          <w:rFonts w:ascii="Arial" w:hAnsi="Arial" w:cs="Arial"/>
          <w:i/>
          <w:sz w:val="24"/>
          <w:szCs w:val="24"/>
        </w:rPr>
        <w:t>ex facie</w:t>
      </w:r>
      <w:r>
        <w:rPr>
          <w:rFonts w:ascii="Arial" w:hAnsi="Arial" w:cs="Arial"/>
          <w:sz w:val="24"/>
          <w:szCs w:val="24"/>
        </w:rPr>
        <w:t xml:space="preserve"> the </w:t>
      </w:r>
      <w:r w:rsidR="0044270F">
        <w:rPr>
          <w:rFonts w:ascii="Arial" w:hAnsi="Arial" w:cs="Arial"/>
          <w:sz w:val="24"/>
          <w:szCs w:val="24"/>
        </w:rPr>
        <w:t xml:space="preserve">latest </w:t>
      </w:r>
      <w:r>
        <w:rPr>
          <w:rFonts w:ascii="Arial" w:hAnsi="Arial" w:cs="Arial"/>
          <w:sz w:val="24"/>
          <w:szCs w:val="24"/>
        </w:rPr>
        <w:t xml:space="preserve">amended Statement of Case of </w:t>
      </w:r>
      <w:r w:rsidR="00E64911">
        <w:rPr>
          <w:rFonts w:ascii="Arial" w:hAnsi="Arial" w:cs="Arial"/>
          <w:sz w:val="24"/>
          <w:szCs w:val="24"/>
        </w:rPr>
        <w:t xml:space="preserve">the </w:t>
      </w:r>
      <w:r>
        <w:rPr>
          <w:rFonts w:ascii="Arial" w:hAnsi="Arial" w:cs="Arial"/>
          <w:sz w:val="24"/>
          <w:szCs w:val="24"/>
        </w:rPr>
        <w:t>disputants</w:t>
      </w:r>
      <w:r w:rsidR="00262AD1">
        <w:rPr>
          <w:rFonts w:ascii="Arial" w:hAnsi="Arial" w:cs="Arial"/>
          <w:sz w:val="24"/>
          <w:szCs w:val="24"/>
        </w:rPr>
        <w:t>,</w:t>
      </w:r>
      <w:r>
        <w:rPr>
          <w:rFonts w:ascii="Arial" w:hAnsi="Arial" w:cs="Arial"/>
          <w:sz w:val="24"/>
          <w:szCs w:val="24"/>
        </w:rPr>
        <w:t xml:space="preserve"> </w:t>
      </w:r>
      <w:r w:rsidR="003D685D">
        <w:rPr>
          <w:rFonts w:ascii="Arial" w:hAnsi="Arial" w:cs="Arial"/>
          <w:sz w:val="24"/>
          <w:szCs w:val="24"/>
        </w:rPr>
        <w:t>the latter are not relying solely on alleged discrimination but are advancing rightly or wrongly other points such as the purpose of a scheme of service which is allegedly to assist in the development of employees to assume higher responsibilities</w:t>
      </w:r>
      <w:r w:rsidR="00815C99">
        <w:rPr>
          <w:rFonts w:ascii="Arial" w:hAnsi="Arial" w:cs="Arial"/>
          <w:sz w:val="24"/>
          <w:szCs w:val="24"/>
        </w:rPr>
        <w:t xml:space="preserve"> or that the </w:t>
      </w:r>
      <w:r w:rsidR="00805299">
        <w:rPr>
          <w:rFonts w:ascii="Arial" w:hAnsi="Arial" w:cs="Arial"/>
          <w:sz w:val="24"/>
          <w:szCs w:val="24"/>
        </w:rPr>
        <w:t>AFOs are</w:t>
      </w:r>
      <w:r w:rsidR="003D685D">
        <w:rPr>
          <w:rFonts w:ascii="Arial" w:hAnsi="Arial" w:cs="Arial"/>
          <w:sz w:val="24"/>
          <w:szCs w:val="24"/>
        </w:rPr>
        <w:t xml:space="preserve"> </w:t>
      </w:r>
      <w:r w:rsidR="00805299">
        <w:rPr>
          <w:rFonts w:ascii="Arial" w:hAnsi="Arial" w:cs="Arial"/>
          <w:sz w:val="24"/>
          <w:szCs w:val="24"/>
        </w:rPr>
        <w:t xml:space="preserve">the officers with relevant skills, </w:t>
      </w:r>
      <w:r w:rsidR="00815C99">
        <w:rPr>
          <w:rFonts w:ascii="Arial" w:hAnsi="Arial" w:cs="Arial"/>
          <w:sz w:val="24"/>
          <w:szCs w:val="24"/>
        </w:rPr>
        <w:t>experience,</w:t>
      </w:r>
      <w:r w:rsidR="00805299">
        <w:rPr>
          <w:rFonts w:ascii="Arial" w:hAnsi="Arial" w:cs="Arial"/>
          <w:sz w:val="24"/>
          <w:szCs w:val="24"/>
        </w:rPr>
        <w:t xml:space="preserve"> and</w:t>
      </w:r>
      <w:r w:rsidR="003D685D">
        <w:rPr>
          <w:rFonts w:ascii="Arial" w:hAnsi="Arial" w:cs="Arial"/>
          <w:sz w:val="24"/>
          <w:szCs w:val="24"/>
        </w:rPr>
        <w:t xml:space="preserve"> </w:t>
      </w:r>
      <w:r w:rsidR="00805299">
        <w:rPr>
          <w:rFonts w:ascii="Arial" w:hAnsi="Arial" w:cs="Arial"/>
          <w:sz w:val="24"/>
          <w:szCs w:val="24"/>
        </w:rPr>
        <w:t>expertise to become FO/SFO.</w:t>
      </w:r>
    </w:p>
    <w:p w14:paraId="709A2612" w14:textId="24CA7861" w:rsidR="00CF6D6B" w:rsidRDefault="00DC524E" w:rsidP="00D81ACB">
      <w:pPr>
        <w:jc w:val="both"/>
        <w:rPr>
          <w:rFonts w:ascii="Arial" w:hAnsi="Arial" w:cs="Arial"/>
          <w:sz w:val="24"/>
          <w:szCs w:val="24"/>
        </w:rPr>
      </w:pPr>
      <w:r>
        <w:rPr>
          <w:rFonts w:ascii="Arial" w:hAnsi="Arial" w:cs="Arial"/>
          <w:sz w:val="24"/>
          <w:szCs w:val="24"/>
        </w:rPr>
        <w:t xml:space="preserve">Bearing in mind </w:t>
      </w:r>
      <w:r w:rsidR="007F0D50">
        <w:rPr>
          <w:rFonts w:ascii="Arial" w:hAnsi="Arial" w:cs="Arial"/>
          <w:sz w:val="24"/>
          <w:szCs w:val="24"/>
        </w:rPr>
        <w:t xml:space="preserve">our conclusion </w:t>
      </w:r>
      <w:r>
        <w:rPr>
          <w:rFonts w:ascii="Arial" w:hAnsi="Arial" w:cs="Arial"/>
          <w:sz w:val="24"/>
          <w:szCs w:val="24"/>
        </w:rPr>
        <w:t>that the disputes are labour disputes as defined</w:t>
      </w:r>
      <w:r w:rsidR="007F0D50">
        <w:rPr>
          <w:rFonts w:ascii="Arial" w:hAnsi="Arial" w:cs="Arial"/>
          <w:sz w:val="24"/>
          <w:szCs w:val="24"/>
        </w:rPr>
        <w:t xml:space="preserve">, </w:t>
      </w:r>
      <w:r w:rsidR="00C65A9C">
        <w:rPr>
          <w:rFonts w:ascii="Arial" w:hAnsi="Arial" w:cs="Arial"/>
          <w:sz w:val="24"/>
          <w:szCs w:val="24"/>
        </w:rPr>
        <w:t>and that the Tribunal is not prepared</w:t>
      </w:r>
      <w:r w:rsidR="0040060E">
        <w:rPr>
          <w:rFonts w:ascii="Arial" w:hAnsi="Arial" w:cs="Arial"/>
          <w:sz w:val="24"/>
          <w:szCs w:val="24"/>
        </w:rPr>
        <w:t>,</w:t>
      </w:r>
      <w:r w:rsidR="00C65A9C">
        <w:rPr>
          <w:rFonts w:ascii="Arial" w:hAnsi="Arial" w:cs="Arial"/>
          <w:sz w:val="24"/>
          <w:szCs w:val="24"/>
        </w:rPr>
        <w:t xml:space="preserve"> at this stage of the proceedings and without having heard </w:t>
      </w:r>
      <w:r w:rsidR="00815C99">
        <w:rPr>
          <w:rFonts w:ascii="Arial" w:hAnsi="Arial" w:cs="Arial"/>
          <w:sz w:val="24"/>
          <w:szCs w:val="24"/>
        </w:rPr>
        <w:t xml:space="preserve">any </w:t>
      </w:r>
      <w:r w:rsidR="00C65A9C">
        <w:rPr>
          <w:rFonts w:ascii="Arial" w:hAnsi="Arial" w:cs="Arial"/>
          <w:sz w:val="24"/>
          <w:szCs w:val="24"/>
        </w:rPr>
        <w:t xml:space="preserve">evidence </w:t>
      </w:r>
      <w:r w:rsidR="00815C99">
        <w:rPr>
          <w:rFonts w:ascii="Arial" w:hAnsi="Arial" w:cs="Arial"/>
          <w:sz w:val="24"/>
          <w:szCs w:val="24"/>
        </w:rPr>
        <w:t>at all</w:t>
      </w:r>
      <w:r w:rsidR="0040060E">
        <w:rPr>
          <w:rFonts w:ascii="Arial" w:hAnsi="Arial" w:cs="Arial"/>
          <w:sz w:val="24"/>
          <w:szCs w:val="24"/>
        </w:rPr>
        <w:t>,</w:t>
      </w:r>
      <w:r w:rsidR="00815C99">
        <w:rPr>
          <w:rFonts w:ascii="Arial" w:hAnsi="Arial" w:cs="Arial"/>
          <w:sz w:val="24"/>
          <w:szCs w:val="24"/>
        </w:rPr>
        <w:t xml:space="preserve"> </w:t>
      </w:r>
      <w:r w:rsidR="00C65A9C">
        <w:rPr>
          <w:rFonts w:ascii="Arial" w:hAnsi="Arial" w:cs="Arial"/>
          <w:sz w:val="24"/>
          <w:szCs w:val="24"/>
        </w:rPr>
        <w:t>to find that the dispute</w:t>
      </w:r>
      <w:r w:rsidR="00815C99">
        <w:rPr>
          <w:rFonts w:ascii="Arial" w:hAnsi="Arial" w:cs="Arial"/>
          <w:sz w:val="24"/>
          <w:szCs w:val="24"/>
        </w:rPr>
        <w:t>s</w:t>
      </w:r>
      <w:r w:rsidR="00C65A9C">
        <w:rPr>
          <w:rFonts w:ascii="Arial" w:hAnsi="Arial" w:cs="Arial"/>
          <w:sz w:val="24"/>
          <w:szCs w:val="24"/>
        </w:rPr>
        <w:t xml:space="preserve"> constitute disguised application</w:t>
      </w:r>
      <w:r w:rsidR="00815C99">
        <w:rPr>
          <w:rFonts w:ascii="Arial" w:hAnsi="Arial" w:cs="Arial"/>
          <w:sz w:val="24"/>
          <w:szCs w:val="24"/>
        </w:rPr>
        <w:t>s</w:t>
      </w:r>
      <w:r w:rsidR="00C65A9C">
        <w:rPr>
          <w:rFonts w:ascii="Arial" w:hAnsi="Arial" w:cs="Arial"/>
          <w:sz w:val="24"/>
          <w:szCs w:val="24"/>
        </w:rPr>
        <w:t xml:space="preserve"> for Judicial Review and/or </w:t>
      </w:r>
      <w:r w:rsidR="00F32D67">
        <w:rPr>
          <w:rFonts w:ascii="Arial" w:hAnsi="Arial" w:cs="Arial"/>
          <w:sz w:val="24"/>
          <w:szCs w:val="24"/>
        </w:rPr>
        <w:t xml:space="preserve">for </w:t>
      </w:r>
      <w:r w:rsidR="00C65A9C">
        <w:rPr>
          <w:rFonts w:ascii="Arial" w:hAnsi="Arial" w:cs="Arial"/>
          <w:sz w:val="24"/>
          <w:szCs w:val="24"/>
        </w:rPr>
        <w:t xml:space="preserve">constitutional redress, the Tribunal finds that the objection </w:t>
      </w:r>
      <w:r w:rsidR="00E64911">
        <w:rPr>
          <w:rFonts w:ascii="Arial" w:hAnsi="Arial" w:cs="Arial"/>
          <w:sz w:val="24"/>
          <w:szCs w:val="24"/>
        </w:rPr>
        <w:t xml:space="preserve">under this limb </w:t>
      </w:r>
      <w:r w:rsidR="00C65A9C">
        <w:rPr>
          <w:rFonts w:ascii="Arial" w:hAnsi="Arial" w:cs="Arial"/>
          <w:sz w:val="24"/>
          <w:szCs w:val="24"/>
        </w:rPr>
        <w:t>is at best premature.</w:t>
      </w:r>
      <w:r w:rsidR="00262AD1">
        <w:rPr>
          <w:rFonts w:ascii="Arial" w:hAnsi="Arial" w:cs="Arial"/>
          <w:sz w:val="24"/>
          <w:szCs w:val="24"/>
        </w:rPr>
        <w:t xml:space="preserve">  It is apposite to note that </w:t>
      </w:r>
      <w:r w:rsidR="005D5C67">
        <w:rPr>
          <w:rFonts w:ascii="Arial" w:hAnsi="Arial" w:cs="Arial"/>
          <w:sz w:val="24"/>
          <w:szCs w:val="24"/>
        </w:rPr>
        <w:t xml:space="preserve">there is no </w:t>
      </w:r>
      <w:r w:rsidR="00571F0A">
        <w:rPr>
          <w:rFonts w:ascii="Arial" w:hAnsi="Arial" w:cs="Arial"/>
          <w:sz w:val="24"/>
          <w:szCs w:val="24"/>
        </w:rPr>
        <w:t xml:space="preserve">direct </w:t>
      </w:r>
      <w:r w:rsidR="005D5C67">
        <w:rPr>
          <w:rFonts w:ascii="Arial" w:hAnsi="Arial" w:cs="Arial"/>
          <w:sz w:val="24"/>
          <w:szCs w:val="24"/>
        </w:rPr>
        <w:t xml:space="preserve">averment </w:t>
      </w:r>
      <w:r w:rsidR="00571F0A">
        <w:rPr>
          <w:rFonts w:ascii="Arial" w:hAnsi="Arial" w:cs="Arial"/>
          <w:sz w:val="24"/>
          <w:szCs w:val="24"/>
        </w:rPr>
        <w:t xml:space="preserve">either </w:t>
      </w:r>
      <w:r w:rsidR="005D5C67">
        <w:rPr>
          <w:rFonts w:ascii="Arial" w:hAnsi="Arial" w:cs="Arial"/>
          <w:sz w:val="24"/>
          <w:szCs w:val="24"/>
        </w:rPr>
        <w:t xml:space="preserve">that the current disputes </w:t>
      </w:r>
      <w:r w:rsidR="00571F0A">
        <w:rPr>
          <w:rFonts w:ascii="Arial" w:hAnsi="Arial" w:cs="Arial"/>
          <w:sz w:val="24"/>
          <w:szCs w:val="24"/>
        </w:rPr>
        <w:t>do not constitute other action</w:t>
      </w:r>
      <w:r w:rsidR="00E64911">
        <w:rPr>
          <w:rFonts w:ascii="Arial" w:hAnsi="Arial" w:cs="Arial"/>
          <w:sz w:val="24"/>
          <w:szCs w:val="24"/>
        </w:rPr>
        <w:t>s</w:t>
      </w:r>
      <w:r w:rsidR="00571F0A">
        <w:rPr>
          <w:rFonts w:ascii="Arial" w:hAnsi="Arial" w:cs="Arial"/>
          <w:sz w:val="24"/>
          <w:szCs w:val="24"/>
        </w:rPr>
        <w:t xml:space="preserve"> (</w:t>
      </w:r>
      <w:r w:rsidR="00F32D67">
        <w:rPr>
          <w:rFonts w:ascii="Arial" w:hAnsi="Arial" w:cs="Arial"/>
          <w:sz w:val="24"/>
          <w:szCs w:val="24"/>
        </w:rPr>
        <w:t>other than</w:t>
      </w:r>
      <w:r w:rsidR="00571F0A">
        <w:rPr>
          <w:rFonts w:ascii="Arial" w:hAnsi="Arial" w:cs="Arial"/>
          <w:sz w:val="24"/>
          <w:szCs w:val="24"/>
        </w:rPr>
        <w:t xml:space="preserve"> constitutional redress) w</w:t>
      </w:r>
      <w:r w:rsidR="00F32D67">
        <w:rPr>
          <w:rFonts w:ascii="Arial" w:hAnsi="Arial" w:cs="Arial"/>
          <w:sz w:val="24"/>
          <w:szCs w:val="24"/>
        </w:rPr>
        <w:t>hich w</w:t>
      </w:r>
      <w:r w:rsidR="00E64911">
        <w:rPr>
          <w:rFonts w:ascii="Arial" w:hAnsi="Arial" w:cs="Arial"/>
          <w:sz w:val="24"/>
          <w:szCs w:val="24"/>
        </w:rPr>
        <w:t>ere</w:t>
      </w:r>
      <w:r w:rsidR="00F32D67">
        <w:rPr>
          <w:rFonts w:ascii="Arial" w:hAnsi="Arial" w:cs="Arial"/>
          <w:sz w:val="24"/>
          <w:szCs w:val="24"/>
        </w:rPr>
        <w:t xml:space="preserve"> </w:t>
      </w:r>
      <w:r w:rsidR="00571F0A">
        <w:rPr>
          <w:rFonts w:ascii="Arial" w:hAnsi="Arial" w:cs="Arial"/>
          <w:sz w:val="24"/>
          <w:szCs w:val="24"/>
        </w:rPr>
        <w:t xml:space="preserve">lawfully available to the </w:t>
      </w:r>
      <w:r w:rsidR="005D5C67">
        <w:rPr>
          <w:rFonts w:ascii="Arial" w:hAnsi="Arial" w:cs="Arial"/>
          <w:sz w:val="24"/>
          <w:szCs w:val="24"/>
        </w:rPr>
        <w:t>disputants.</w:t>
      </w:r>
      <w:r w:rsidR="00262AD1">
        <w:rPr>
          <w:rFonts w:ascii="Arial" w:hAnsi="Arial" w:cs="Arial"/>
          <w:sz w:val="24"/>
          <w:szCs w:val="24"/>
        </w:rPr>
        <w:t xml:space="preserve"> </w:t>
      </w:r>
      <w:r w:rsidR="005D5C67">
        <w:rPr>
          <w:rFonts w:ascii="Arial" w:hAnsi="Arial" w:cs="Arial"/>
          <w:sz w:val="24"/>
          <w:szCs w:val="24"/>
        </w:rPr>
        <w:t xml:space="preserve"> </w:t>
      </w:r>
    </w:p>
    <w:p w14:paraId="0CE4B787" w14:textId="3B034435" w:rsidR="0060781E" w:rsidRDefault="00CF6D6B" w:rsidP="00F32D67">
      <w:pPr>
        <w:jc w:val="both"/>
        <w:rPr>
          <w:rFonts w:ascii="Arial" w:hAnsi="Arial" w:cs="Arial"/>
          <w:sz w:val="24"/>
          <w:szCs w:val="24"/>
        </w:rPr>
      </w:pPr>
      <w:r>
        <w:rPr>
          <w:rFonts w:ascii="Arial" w:hAnsi="Arial" w:cs="Arial"/>
          <w:sz w:val="24"/>
          <w:szCs w:val="24"/>
        </w:rPr>
        <w:t xml:space="preserve">It is apposite to refer to the recent judgment of the Supreme Court in the case of </w:t>
      </w:r>
      <w:r w:rsidR="00F32D67" w:rsidRPr="00F32D67">
        <w:rPr>
          <w:rFonts w:ascii="Arial" w:hAnsi="Arial" w:cs="Arial"/>
          <w:b/>
          <w:sz w:val="24"/>
          <w:szCs w:val="24"/>
        </w:rPr>
        <w:t>Mr</w:t>
      </w:r>
      <w:r w:rsidR="00F32D67">
        <w:rPr>
          <w:rFonts w:ascii="Arial" w:hAnsi="Arial" w:cs="Arial"/>
          <w:sz w:val="24"/>
          <w:szCs w:val="24"/>
        </w:rPr>
        <w:t xml:space="preserve"> </w:t>
      </w:r>
      <w:r w:rsidR="00F32D67" w:rsidRPr="00F32D67">
        <w:rPr>
          <w:rFonts w:ascii="Arial" w:hAnsi="Arial" w:cs="Arial"/>
          <w:b/>
          <w:sz w:val="24"/>
          <w:szCs w:val="24"/>
        </w:rPr>
        <w:t>Sebastien Teycheney v The Director of Private Secondary Education Authority</w:t>
      </w:r>
      <w:r w:rsidR="0060781E">
        <w:rPr>
          <w:rFonts w:ascii="Arial" w:hAnsi="Arial" w:cs="Arial"/>
          <w:b/>
          <w:sz w:val="24"/>
          <w:szCs w:val="24"/>
        </w:rPr>
        <w:t xml:space="preserve"> &amp; Anor</w:t>
      </w:r>
      <w:r w:rsidR="00F32D67" w:rsidRPr="00F32D67">
        <w:rPr>
          <w:rFonts w:ascii="Arial" w:hAnsi="Arial" w:cs="Arial"/>
          <w:b/>
          <w:sz w:val="24"/>
          <w:szCs w:val="24"/>
        </w:rPr>
        <w:t xml:space="preserve"> 2021 SCJ 110</w:t>
      </w:r>
      <w:r w:rsidR="00F32D67">
        <w:rPr>
          <w:rFonts w:ascii="Arial" w:hAnsi="Arial" w:cs="Arial"/>
          <w:sz w:val="24"/>
          <w:szCs w:val="24"/>
        </w:rPr>
        <w:t xml:space="preserve">, where Mr Teycheney had sought </w:t>
      </w:r>
      <w:r w:rsidR="00F32D67" w:rsidRPr="00F32D67">
        <w:rPr>
          <w:rFonts w:ascii="Arial" w:hAnsi="Arial" w:cs="Arial"/>
          <w:sz w:val="24"/>
          <w:szCs w:val="24"/>
        </w:rPr>
        <w:t xml:space="preserve">leave to apply for </w:t>
      </w:r>
      <w:r w:rsidR="00E64911">
        <w:rPr>
          <w:rFonts w:ascii="Arial" w:hAnsi="Arial" w:cs="Arial"/>
          <w:sz w:val="24"/>
          <w:szCs w:val="24"/>
        </w:rPr>
        <w:t>J</w:t>
      </w:r>
      <w:r w:rsidR="00F32D67" w:rsidRPr="00F32D67">
        <w:rPr>
          <w:rFonts w:ascii="Arial" w:hAnsi="Arial" w:cs="Arial"/>
          <w:sz w:val="24"/>
          <w:szCs w:val="24"/>
        </w:rPr>
        <w:t xml:space="preserve">udicial </w:t>
      </w:r>
      <w:r w:rsidR="00E64911">
        <w:rPr>
          <w:rFonts w:ascii="Arial" w:hAnsi="Arial" w:cs="Arial"/>
          <w:sz w:val="24"/>
          <w:szCs w:val="24"/>
        </w:rPr>
        <w:t>R</w:t>
      </w:r>
      <w:r w:rsidR="00F32D67" w:rsidRPr="00F32D67">
        <w:rPr>
          <w:rFonts w:ascii="Arial" w:hAnsi="Arial" w:cs="Arial"/>
          <w:sz w:val="24"/>
          <w:szCs w:val="24"/>
        </w:rPr>
        <w:t xml:space="preserve">eview of a decision of </w:t>
      </w:r>
      <w:r w:rsidR="00F32D67">
        <w:rPr>
          <w:rFonts w:ascii="Arial" w:hAnsi="Arial" w:cs="Arial"/>
          <w:sz w:val="24"/>
          <w:szCs w:val="24"/>
        </w:rPr>
        <w:t>T</w:t>
      </w:r>
      <w:r w:rsidR="00F32D67" w:rsidRPr="00F32D67">
        <w:rPr>
          <w:rFonts w:ascii="Arial" w:hAnsi="Arial" w:cs="Arial"/>
          <w:sz w:val="24"/>
          <w:szCs w:val="24"/>
        </w:rPr>
        <w:t xml:space="preserve">he </w:t>
      </w:r>
      <w:r w:rsidR="00F32D67">
        <w:rPr>
          <w:rFonts w:ascii="Arial" w:hAnsi="Arial" w:cs="Arial"/>
          <w:sz w:val="24"/>
          <w:szCs w:val="24"/>
        </w:rPr>
        <w:t xml:space="preserve">Director of </w:t>
      </w:r>
      <w:r w:rsidR="00E64911">
        <w:rPr>
          <w:rFonts w:ascii="Arial" w:hAnsi="Arial" w:cs="Arial"/>
          <w:sz w:val="24"/>
          <w:szCs w:val="24"/>
        </w:rPr>
        <w:t xml:space="preserve">the </w:t>
      </w:r>
      <w:r w:rsidR="00F32D67">
        <w:rPr>
          <w:rFonts w:ascii="Arial" w:hAnsi="Arial" w:cs="Arial"/>
          <w:sz w:val="24"/>
          <w:szCs w:val="24"/>
        </w:rPr>
        <w:t xml:space="preserve">Private Secondary Education </w:t>
      </w:r>
      <w:r w:rsidR="0060781E">
        <w:rPr>
          <w:rFonts w:ascii="Arial" w:hAnsi="Arial" w:cs="Arial"/>
          <w:sz w:val="24"/>
          <w:szCs w:val="24"/>
        </w:rPr>
        <w:t>Authority</w:t>
      </w:r>
      <w:r w:rsidR="00F32D67" w:rsidRPr="00F32D67">
        <w:rPr>
          <w:rFonts w:ascii="Arial" w:hAnsi="Arial" w:cs="Arial"/>
          <w:sz w:val="24"/>
          <w:szCs w:val="24"/>
        </w:rPr>
        <w:t xml:space="preserve"> rejecting </w:t>
      </w:r>
      <w:r w:rsidR="0060781E">
        <w:rPr>
          <w:rFonts w:ascii="Arial" w:hAnsi="Arial" w:cs="Arial"/>
          <w:sz w:val="24"/>
          <w:szCs w:val="24"/>
        </w:rPr>
        <w:t>Mr Teycheney’s</w:t>
      </w:r>
      <w:r w:rsidR="00F32D67" w:rsidRPr="00F32D67">
        <w:rPr>
          <w:rFonts w:ascii="Arial" w:hAnsi="Arial" w:cs="Arial"/>
          <w:sz w:val="24"/>
          <w:szCs w:val="24"/>
        </w:rPr>
        <w:t xml:space="preserve"> request to adjust his salary</w:t>
      </w:r>
      <w:r w:rsidR="00F32D67">
        <w:rPr>
          <w:rFonts w:ascii="Arial" w:hAnsi="Arial" w:cs="Arial"/>
          <w:sz w:val="24"/>
          <w:szCs w:val="24"/>
        </w:rPr>
        <w:t xml:space="preserve">.  </w:t>
      </w:r>
      <w:r w:rsidR="0060781E">
        <w:rPr>
          <w:rFonts w:ascii="Arial" w:hAnsi="Arial" w:cs="Arial"/>
          <w:sz w:val="24"/>
          <w:szCs w:val="24"/>
        </w:rPr>
        <w:t>The Supreme Court stated the following:</w:t>
      </w:r>
    </w:p>
    <w:p w14:paraId="6D228BA0" w14:textId="5EAFA8AD" w:rsidR="00F32D67" w:rsidRPr="0060781E" w:rsidRDefault="0060781E" w:rsidP="00F32D67">
      <w:pPr>
        <w:jc w:val="both"/>
        <w:rPr>
          <w:rFonts w:ascii="Arial" w:hAnsi="Arial" w:cs="Arial"/>
          <w:i/>
          <w:sz w:val="24"/>
          <w:szCs w:val="24"/>
        </w:rPr>
      </w:pPr>
      <w:r w:rsidRPr="0060781E">
        <w:rPr>
          <w:rFonts w:ascii="Arial" w:hAnsi="Arial" w:cs="Arial"/>
          <w:i/>
          <w:sz w:val="24"/>
          <w:szCs w:val="24"/>
        </w:rPr>
        <w:t xml:space="preserve">With regard to the second limb of the objection, we need only reiterate that it is well-settled that judicial review is a remedy of last resort and that alternative remedies should therefore be exhausted before an application is made for leave to apply for judicial review.  As rightly submitted by learned Counsel for the respondent and corespondent, the applicant, whose grievance is in substance that he has been discriminated against allegedly on the basis of creed in view of the treatment given to the six new Quality Assurance Officers, could therefore have lodged a complaint at the Equal Opportunities Commission or a case before the Employment Relations Tribunal.  </w:t>
      </w:r>
    </w:p>
    <w:p w14:paraId="7172C902" w14:textId="1E33EB5A" w:rsidR="0044270F" w:rsidRDefault="00262AD1" w:rsidP="00D81ACB">
      <w:pPr>
        <w:jc w:val="both"/>
        <w:rPr>
          <w:rFonts w:ascii="Arial" w:hAnsi="Arial" w:cs="Arial"/>
          <w:sz w:val="24"/>
          <w:szCs w:val="24"/>
        </w:rPr>
      </w:pPr>
      <w:r>
        <w:rPr>
          <w:rFonts w:ascii="Arial" w:hAnsi="Arial" w:cs="Arial"/>
          <w:sz w:val="24"/>
          <w:szCs w:val="24"/>
        </w:rPr>
        <w:t>The</w:t>
      </w:r>
      <w:r w:rsidR="005D5C67">
        <w:rPr>
          <w:rFonts w:ascii="Arial" w:hAnsi="Arial" w:cs="Arial"/>
          <w:sz w:val="24"/>
          <w:szCs w:val="24"/>
        </w:rPr>
        <w:t xml:space="preserve"> objections </w:t>
      </w:r>
      <w:r w:rsidR="0060781E">
        <w:rPr>
          <w:rFonts w:ascii="Arial" w:hAnsi="Arial" w:cs="Arial"/>
          <w:sz w:val="24"/>
          <w:szCs w:val="24"/>
        </w:rPr>
        <w:t xml:space="preserve">taken </w:t>
      </w:r>
      <w:r w:rsidR="005D5C67">
        <w:rPr>
          <w:rFonts w:ascii="Arial" w:hAnsi="Arial" w:cs="Arial"/>
          <w:sz w:val="24"/>
          <w:szCs w:val="24"/>
        </w:rPr>
        <w:t>under this limb</w:t>
      </w:r>
      <w:r w:rsidR="004F3FF8">
        <w:rPr>
          <w:rFonts w:ascii="Arial" w:hAnsi="Arial" w:cs="Arial"/>
          <w:sz w:val="24"/>
          <w:szCs w:val="24"/>
        </w:rPr>
        <w:t>,</w:t>
      </w:r>
      <w:r>
        <w:rPr>
          <w:rFonts w:ascii="Arial" w:hAnsi="Arial" w:cs="Arial"/>
          <w:sz w:val="24"/>
          <w:szCs w:val="24"/>
        </w:rPr>
        <w:t xml:space="preserve"> as well as</w:t>
      </w:r>
      <w:r w:rsidR="004F3FF8">
        <w:rPr>
          <w:rFonts w:ascii="Arial" w:hAnsi="Arial" w:cs="Arial"/>
          <w:sz w:val="24"/>
          <w:szCs w:val="24"/>
        </w:rPr>
        <w:t>,</w:t>
      </w:r>
      <w:r>
        <w:rPr>
          <w:rFonts w:ascii="Arial" w:hAnsi="Arial" w:cs="Arial"/>
          <w:sz w:val="24"/>
          <w:szCs w:val="24"/>
        </w:rPr>
        <w:t xml:space="preserve"> </w:t>
      </w:r>
      <w:r w:rsidR="00D666CA">
        <w:rPr>
          <w:rFonts w:ascii="Arial" w:hAnsi="Arial" w:cs="Arial"/>
          <w:sz w:val="24"/>
          <w:szCs w:val="24"/>
        </w:rPr>
        <w:t xml:space="preserve">the </w:t>
      </w:r>
      <w:r w:rsidR="00E64911">
        <w:rPr>
          <w:rFonts w:ascii="Arial" w:hAnsi="Arial" w:cs="Arial"/>
          <w:sz w:val="24"/>
          <w:szCs w:val="24"/>
        </w:rPr>
        <w:t xml:space="preserve">case law of the Supreme Court referred to us by Counsel for Respondent and which has been referred to in numerous </w:t>
      </w:r>
      <w:r w:rsidR="00E64911">
        <w:rPr>
          <w:rFonts w:ascii="Arial" w:hAnsi="Arial" w:cs="Arial"/>
          <w:sz w:val="24"/>
          <w:szCs w:val="24"/>
        </w:rPr>
        <w:lastRenderedPageBreak/>
        <w:t xml:space="preserve">awards of the </w:t>
      </w:r>
      <w:r>
        <w:rPr>
          <w:rFonts w:ascii="Arial" w:hAnsi="Arial" w:cs="Arial"/>
          <w:sz w:val="24"/>
          <w:szCs w:val="24"/>
        </w:rPr>
        <w:t>Tribunal (</w:t>
      </w:r>
      <w:r w:rsidR="00DA597D">
        <w:rPr>
          <w:rFonts w:ascii="Arial" w:hAnsi="Arial" w:cs="Arial"/>
          <w:sz w:val="24"/>
          <w:szCs w:val="24"/>
        </w:rPr>
        <w:t xml:space="preserve">for example, </w:t>
      </w:r>
      <w:r w:rsidRPr="00DA597D">
        <w:rPr>
          <w:rFonts w:ascii="Arial" w:hAnsi="Arial" w:cs="Arial"/>
          <w:b/>
          <w:bCs/>
          <w:sz w:val="24"/>
          <w:szCs w:val="24"/>
        </w:rPr>
        <w:t xml:space="preserve">vide </w:t>
      </w:r>
      <w:r w:rsidR="00D666CA">
        <w:rPr>
          <w:rFonts w:ascii="Arial" w:hAnsi="Arial" w:cs="Arial"/>
          <w:b/>
          <w:bCs/>
          <w:sz w:val="24"/>
          <w:szCs w:val="24"/>
        </w:rPr>
        <w:t>Central Statistical Office Staff Association And Government of Mauritius, RN 31/11</w:t>
      </w:r>
      <w:r>
        <w:rPr>
          <w:rFonts w:ascii="Arial" w:hAnsi="Arial" w:cs="Arial"/>
          <w:sz w:val="24"/>
          <w:szCs w:val="24"/>
        </w:rPr>
        <w:t xml:space="preserve">) </w:t>
      </w:r>
      <w:r w:rsidR="00E64911">
        <w:rPr>
          <w:rFonts w:ascii="Arial" w:hAnsi="Arial" w:cs="Arial"/>
          <w:sz w:val="24"/>
          <w:szCs w:val="24"/>
        </w:rPr>
        <w:t xml:space="preserve">that </w:t>
      </w:r>
      <w:r w:rsidR="00D666CA">
        <w:rPr>
          <w:rFonts w:ascii="Arial" w:hAnsi="Arial" w:cs="Arial"/>
          <w:sz w:val="24"/>
          <w:szCs w:val="24"/>
        </w:rPr>
        <w:t>unless there ha</w:t>
      </w:r>
      <w:r w:rsidR="00E642EC">
        <w:rPr>
          <w:rFonts w:ascii="Arial" w:hAnsi="Arial" w:cs="Arial"/>
          <w:sz w:val="24"/>
          <w:szCs w:val="24"/>
        </w:rPr>
        <w:t>d</w:t>
      </w:r>
      <w:r w:rsidR="00D666CA">
        <w:rPr>
          <w:rFonts w:ascii="Arial" w:hAnsi="Arial" w:cs="Arial"/>
          <w:sz w:val="24"/>
          <w:szCs w:val="24"/>
        </w:rPr>
        <w:t xml:space="preserve"> been a departure from established rules and procedures, it </w:t>
      </w:r>
      <w:r w:rsidR="00E642EC">
        <w:rPr>
          <w:rFonts w:ascii="Arial" w:hAnsi="Arial" w:cs="Arial"/>
          <w:sz w:val="24"/>
          <w:szCs w:val="24"/>
        </w:rPr>
        <w:t>wa</w:t>
      </w:r>
      <w:r w:rsidR="00D666CA">
        <w:rPr>
          <w:rFonts w:ascii="Arial" w:hAnsi="Arial" w:cs="Arial"/>
          <w:sz w:val="24"/>
          <w:szCs w:val="24"/>
        </w:rPr>
        <w:t xml:space="preserve">s not the function of the Court to direct Ministries or Government departments how schemes </w:t>
      </w:r>
      <w:r w:rsidR="00B82C67">
        <w:rPr>
          <w:rFonts w:ascii="Arial" w:hAnsi="Arial" w:cs="Arial"/>
          <w:sz w:val="24"/>
          <w:szCs w:val="24"/>
        </w:rPr>
        <w:t>of service should be prepared or amended to suit the changing needs of society, a</w:t>
      </w:r>
      <w:r>
        <w:rPr>
          <w:rFonts w:ascii="Arial" w:hAnsi="Arial" w:cs="Arial"/>
          <w:sz w:val="24"/>
          <w:szCs w:val="24"/>
        </w:rPr>
        <w:t xml:space="preserve">re matters to be addressed on the merits of the case. </w:t>
      </w:r>
      <w:r w:rsidR="00C65A9C">
        <w:rPr>
          <w:rFonts w:ascii="Arial" w:hAnsi="Arial" w:cs="Arial"/>
          <w:sz w:val="24"/>
          <w:szCs w:val="24"/>
        </w:rPr>
        <w:t xml:space="preserve">  </w:t>
      </w:r>
    </w:p>
    <w:p w14:paraId="1C8EBC1E" w14:textId="4E3C38B1" w:rsidR="00C538CA" w:rsidRDefault="00C65A9C" w:rsidP="00D81ACB">
      <w:pPr>
        <w:jc w:val="both"/>
        <w:rPr>
          <w:rFonts w:ascii="Arial" w:hAnsi="Arial" w:cs="Arial"/>
          <w:sz w:val="24"/>
          <w:szCs w:val="24"/>
        </w:rPr>
      </w:pPr>
      <w:r>
        <w:rPr>
          <w:rFonts w:ascii="Arial" w:hAnsi="Arial" w:cs="Arial"/>
          <w:sz w:val="24"/>
          <w:szCs w:val="24"/>
        </w:rPr>
        <w:t xml:space="preserve">The Tribunal will have to hear evidence and in the light of same </w:t>
      </w:r>
      <w:r w:rsidR="008E1523">
        <w:rPr>
          <w:rFonts w:ascii="Arial" w:hAnsi="Arial" w:cs="Arial"/>
          <w:sz w:val="24"/>
          <w:szCs w:val="24"/>
        </w:rPr>
        <w:t xml:space="preserve">and any prayer </w:t>
      </w:r>
      <w:r w:rsidR="0044270F">
        <w:rPr>
          <w:rFonts w:ascii="Arial" w:hAnsi="Arial" w:cs="Arial"/>
          <w:sz w:val="24"/>
          <w:szCs w:val="24"/>
        </w:rPr>
        <w:t>being pressed</w:t>
      </w:r>
      <w:r w:rsidR="008E1523">
        <w:rPr>
          <w:rFonts w:ascii="Arial" w:hAnsi="Arial" w:cs="Arial"/>
          <w:sz w:val="24"/>
          <w:szCs w:val="24"/>
        </w:rPr>
        <w:t xml:space="preserve"> can then decide on the </w:t>
      </w:r>
      <w:r w:rsidR="00337FFA">
        <w:rPr>
          <w:rFonts w:ascii="Arial" w:hAnsi="Arial" w:cs="Arial"/>
          <w:sz w:val="24"/>
          <w:szCs w:val="24"/>
        </w:rPr>
        <w:t xml:space="preserve">merits of the case and </w:t>
      </w:r>
      <w:r w:rsidR="00EB6C59">
        <w:rPr>
          <w:rFonts w:ascii="Arial" w:hAnsi="Arial" w:cs="Arial"/>
          <w:sz w:val="24"/>
          <w:szCs w:val="24"/>
        </w:rPr>
        <w:t xml:space="preserve">the </w:t>
      </w:r>
      <w:r w:rsidR="00337FFA">
        <w:rPr>
          <w:rFonts w:ascii="Arial" w:hAnsi="Arial" w:cs="Arial"/>
          <w:sz w:val="24"/>
          <w:szCs w:val="24"/>
        </w:rPr>
        <w:t>appropriateness of granting any award</w:t>
      </w:r>
      <w:r w:rsidR="00EB6C59">
        <w:rPr>
          <w:rFonts w:ascii="Arial" w:hAnsi="Arial" w:cs="Arial"/>
          <w:sz w:val="24"/>
          <w:szCs w:val="24"/>
        </w:rPr>
        <w:t>.  If the Tribunal proceeds to make an award, it will obviously ensure that its award complies with section 72(5) of the Act.  For the reasons given above, the Tribunal finds that the preliminary objection</w:t>
      </w:r>
      <w:r w:rsidR="004F3FF8">
        <w:rPr>
          <w:rFonts w:ascii="Arial" w:hAnsi="Arial" w:cs="Arial"/>
          <w:sz w:val="24"/>
          <w:szCs w:val="24"/>
        </w:rPr>
        <w:t>s</w:t>
      </w:r>
      <w:r w:rsidR="00EB6C59">
        <w:rPr>
          <w:rFonts w:ascii="Arial" w:hAnsi="Arial" w:cs="Arial"/>
          <w:sz w:val="24"/>
          <w:szCs w:val="24"/>
        </w:rPr>
        <w:t xml:space="preserve"> taken under this limb </w:t>
      </w:r>
      <w:r w:rsidR="004F3FF8">
        <w:rPr>
          <w:rFonts w:ascii="Arial" w:hAnsi="Arial" w:cs="Arial"/>
          <w:sz w:val="24"/>
          <w:szCs w:val="24"/>
        </w:rPr>
        <w:t>are</w:t>
      </w:r>
      <w:r w:rsidR="00EB6C59">
        <w:rPr>
          <w:rFonts w:ascii="Arial" w:hAnsi="Arial" w:cs="Arial"/>
          <w:sz w:val="24"/>
          <w:szCs w:val="24"/>
        </w:rPr>
        <w:t xml:space="preserve"> premature and </w:t>
      </w:r>
      <w:r w:rsidR="004F3FF8">
        <w:rPr>
          <w:rFonts w:ascii="Arial" w:hAnsi="Arial" w:cs="Arial"/>
          <w:sz w:val="24"/>
          <w:szCs w:val="24"/>
        </w:rPr>
        <w:t>are</w:t>
      </w:r>
      <w:r w:rsidR="00EB6C59">
        <w:rPr>
          <w:rFonts w:ascii="Arial" w:hAnsi="Arial" w:cs="Arial"/>
          <w:sz w:val="24"/>
          <w:szCs w:val="24"/>
        </w:rPr>
        <w:t xml:space="preserve"> set aside.  For all the reasons </w:t>
      </w:r>
      <w:r w:rsidR="003E53C0">
        <w:rPr>
          <w:rFonts w:ascii="Arial" w:hAnsi="Arial" w:cs="Arial"/>
          <w:sz w:val="24"/>
          <w:szCs w:val="24"/>
        </w:rPr>
        <w:t>given above, th</w:t>
      </w:r>
      <w:r w:rsidR="00EB6C59">
        <w:rPr>
          <w:rFonts w:ascii="Arial" w:hAnsi="Arial" w:cs="Arial"/>
          <w:sz w:val="24"/>
          <w:szCs w:val="24"/>
        </w:rPr>
        <w:t>e Tribunal</w:t>
      </w:r>
      <w:r w:rsidR="00E64911">
        <w:rPr>
          <w:rFonts w:ascii="Arial" w:hAnsi="Arial" w:cs="Arial"/>
          <w:sz w:val="24"/>
          <w:szCs w:val="24"/>
        </w:rPr>
        <w:t xml:space="preserve"> will proceed with the hearing of the cases on the merits</w:t>
      </w:r>
      <w:r w:rsidR="00EB6C59">
        <w:rPr>
          <w:rFonts w:ascii="Arial" w:hAnsi="Arial" w:cs="Arial"/>
          <w:sz w:val="24"/>
          <w:szCs w:val="24"/>
        </w:rPr>
        <w:t xml:space="preserve">.       </w:t>
      </w:r>
      <w:r w:rsidR="00337FFA">
        <w:rPr>
          <w:rFonts w:ascii="Arial" w:hAnsi="Arial" w:cs="Arial"/>
          <w:sz w:val="24"/>
          <w:szCs w:val="24"/>
        </w:rPr>
        <w:t xml:space="preserve"> </w:t>
      </w:r>
      <w:r>
        <w:rPr>
          <w:rFonts w:ascii="Arial" w:hAnsi="Arial" w:cs="Arial"/>
          <w:sz w:val="24"/>
          <w:szCs w:val="24"/>
        </w:rPr>
        <w:t xml:space="preserve"> </w:t>
      </w:r>
      <w:r w:rsidR="007F0D50">
        <w:rPr>
          <w:rFonts w:ascii="Arial" w:hAnsi="Arial" w:cs="Arial"/>
          <w:sz w:val="24"/>
          <w:szCs w:val="24"/>
        </w:rPr>
        <w:t xml:space="preserve"> </w:t>
      </w:r>
      <w:r w:rsidR="00DC524E">
        <w:rPr>
          <w:rFonts w:ascii="Arial" w:hAnsi="Arial" w:cs="Arial"/>
          <w:sz w:val="24"/>
          <w:szCs w:val="24"/>
        </w:rPr>
        <w:t xml:space="preserve">  </w:t>
      </w:r>
      <w:r w:rsidR="00CC7FF8">
        <w:rPr>
          <w:rFonts w:ascii="Arial" w:hAnsi="Arial" w:cs="Arial"/>
          <w:sz w:val="24"/>
          <w:szCs w:val="24"/>
        </w:rPr>
        <w:t xml:space="preserve">  </w:t>
      </w:r>
      <w:r w:rsidR="00CB55BE">
        <w:rPr>
          <w:rFonts w:ascii="Arial" w:hAnsi="Arial" w:cs="Arial"/>
          <w:sz w:val="24"/>
          <w:szCs w:val="24"/>
        </w:rPr>
        <w:t xml:space="preserve">   </w:t>
      </w:r>
      <w:r w:rsidR="003A3FFB">
        <w:rPr>
          <w:rFonts w:ascii="Arial" w:hAnsi="Arial" w:cs="Arial"/>
          <w:sz w:val="24"/>
          <w:szCs w:val="24"/>
        </w:rPr>
        <w:t xml:space="preserve">   </w:t>
      </w:r>
    </w:p>
    <w:p w14:paraId="7AF2C110" w14:textId="3FBA802F" w:rsidR="00DC6FFC" w:rsidRDefault="00CC06A2" w:rsidP="00D81ACB">
      <w:pPr>
        <w:jc w:val="both"/>
        <w:rPr>
          <w:rFonts w:ascii="Arial" w:hAnsi="Arial" w:cs="Arial"/>
          <w:sz w:val="24"/>
          <w:szCs w:val="24"/>
        </w:rPr>
      </w:pPr>
      <w:r>
        <w:rPr>
          <w:rFonts w:ascii="Arial" w:hAnsi="Arial" w:cs="Arial"/>
          <w:sz w:val="24"/>
          <w:szCs w:val="24"/>
        </w:rPr>
        <w:t xml:space="preserve">  </w:t>
      </w:r>
    </w:p>
    <w:p w14:paraId="0D9E2753" w14:textId="3A3C2F06" w:rsidR="00AB3DEA" w:rsidRPr="00C617FA" w:rsidRDefault="004E4363" w:rsidP="00AB3DEA">
      <w:pPr>
        <w:jc w:val="both"/>
        <w:rPr>
          <w:rFonts w:ascii="Arial" w:hAnsi="Arial" w:cs="Arial"/>
          <w:b/>
          <w:sz w:val="24"/>
          <w:szCs w:val="24"/>
          <w:lang w:val="fr-FR"/>
        </w:rPr>
      </w:pPr>
      <w:r>
        <w:rPr>
          <w:rFonts w:ascii="Arial" w:hAnsi="Arial" w:cs="Arial"/>
          <w:b/>
          <w:sz w:val="24"/>
          <w:szCs w:val="24"/>
          <w:lang w:val="fr-FR"/>
        </w:rPr>
        <w:t xml:space="preserve">SD </w:t>
      </w:r>
      <w:r w:rsidR="00006187" w:rsidRPr="00C617FA">
        <w:rPr>
          <w:rFonts w:ascii="Arial" w:hAnsi="Arial" w:cs="Arial"/>
          <w:b/>
          <w:sz w:val="24"/>
          <w:szCs w:val="24"/>
          <w:lang w:val="fr-FR"/>
        </w:rPr>
        <w:t>I</w:t>
      </w:r>
      <w:r w:rsidR="00AB3DEA" w:rsidRPr="00C617FA">
        <w:rPr>
          <w:rFonts w:ascii="Arial" w:hAnsi="Arial" w:cs="Arial"/>
          <w:b/>
          <w:sz w:val="24"/>
          <w:szCs w:val="24"/>
          <w:lang w:val="fr-FR"/>
        </w:rPr>
        <w:t xml:space="preserve">ndiren Sivaramen </w:t>
      </w:r>
      <w:r w:rsidR="00687882" w:rsidRPr="00C617FA">
        <w:rPr>
          <w:rFonts w:ascii="Arial" w:hAnsi="Arial" w:cs="Arial"/>
          <w:b/>
          <w:sz w:val="24"/>
          <w:szCs w:val="24"/>
          <w:lang w:val="fr-FR"/>
        </w:rPr>
        <w:tab/>
      </w:r>
      <w:r w:rsidR="00687882" w:rsidRPr="00C617FA">
        <w:rPr>
          <w:rFonts w:ascii="Arial" w:hAnsi="Arial" w:cs="Arial"/>
          <w:b/>
          <w:sz w:val="24"/>
          <w:szCs w:val="24"/>
          <w:lang w:val="fr-FR"/>
        </w:rPr>
        <w:tab/>
      </w:r>
      <w:r w:rsidR="00687882" w:rsidRPr="00C617FA">
        <w:rPr>
          <w:rFonts w:ascii="Arial" w:hAnsi="Arial" w:cs="Arial"/>
          <w:b/>
          <w:sz w:val="24"/>
          <w:szCs w:val="24"/>
          <w:lang w:val="fr-FR"/>
        </w:rPr>
        <w:tab/>
      </w:r>
      <w:r w:rsidR="00687882" w:rsidRPr="00C617FA">
        <w:rPr>
          <w:rFonts w:ascii="Arial" w:hAnsi="Arial" w:cs="Arial"/>
          <w:b/>
          <w:sz w:val="24"/>
          <w:szCs w:val="24"/>
          <w:lang w:val="fr-FR"/>
        </w:rPr>
        <w:tab/>
      </w:r>
      <w:r w:rsidR="00687882" w:rsidRPr="00C617FA">
        <w:rPr>
          <w:rFonts w:ascii="Arial" w:hAnsi="Arial" w:cs="Arial"/>
          <w:b/>
          <w:sz w:val="24"/>
          <w:szCs w:val="24"/>
          <w:lang w:val="fr-FR"/>
        </w:rPr>
        <w:tab/>
      </w:r>
      <w:r w:rsidR="00687882" w:rsidRPr="00C617FA">
        <w:rPr>
          <w:rFonts w:ascii="Arial" w:hAnsi="Arial" w:cs="Arial"/>
          <w:b/>
          <w:sz w:val="24"/>
          <w:szCs w:val="24"/>
          <w:lang w:val="fr-FR"/>
        </w:rPr>
        <w:tab/>
      </w:r>
      <w:r w:rsidR="00687882" w:rsidRPr="00C617FA">
        <w:rPr>
          <w:rFonts w:ascii="Arial" w:hAnsi="Arial" w:cs="Arial"/>
          <w:b/>
          <w:sz w:val="24"/>
          <w:szCs w:val="24"/>
          <w:lang w:val="fr-FR"/>
        </w:rPr>
        <w:tab/>
      </w:r>
      <w:r w:rsidR="00687882" w:rsidRPr="00C617FA">
        <w:rPr>
          <w:rFonts w:ascii="Arial" w:hAnsi="Arial" w:cs="Arial"/>
          <w:b/>
          <w:sz w:val="24"/>
          <w:szCs w:val="24"/>
          <w:lang w:val="fr-FR"/>
        </w:rPr>
        <w:tab/>
      </w:r>
    </w:p>
    <w:p w14:paraId="07575813" w14:textId="77777777" w:rsidR="00AB3DEA" w:rsidRPr="00C617FA" w:rsidRDefault="00AB3DEA" w:rsidP="00AB3DEA">
      <w:pPr>
        <w:jc w:val="both"/>
        <w:rPr>
          <w:rFonts w:ascii="Arial" w:hAnsi="Arial" w:cs="Arial"/>
          <w:b/>
          <w:sz w:val="24"/>
          <w:szCs w:val="24"/>
          <w:lang w:val="fr-FR"/>
        </w:rPr>
      </w:pPr>
      <w:r w:rsidRPr="00C617FA">
        <w:rPr>
          <w:rFonts w:ascii="Arial" w:hAnsi="Arial" w:cs="Arial"/>
          <w:b/>
          <w:sz w:val="24"/>
          <w:szCs w:val="24"/>
          <w:lang w:val="fr-FR"/>
        </w:rPr>
        <w:t>Vice-President</w:t>
      </w:r>
      <w:r w:rsidR="00687882" w:rsidRPr="00C617FA">
        <w:rPr>
          <w:rFonts w:ascii="Arial" w:hAnsi="Arial" w:cs="Arial"/>
          <w:b/>
          <w:sz w:val="24"/>
          <w:szCs w:val="24"/>
          <w:lang w:val="fr-FR"/>
        </w:rPr>
        <w:tab/>
      </w:r>
      <w:r w:rsidR="00687882" w:rsidRPr="00C617FA">
        <w:rPr>
          <w:rFonts w:ascii="Arial" w:hAnsi="Arial" w:cs="Arial"/>
          <w:b/>
          <w:sz w:val="24"/>
          <w:szCs w:val="24"/>
          <w:lang w:val="fr-FR"/>
        </w:rPr>
        <w:tab/>
      </w:r>
      <w:r w:rsidR="00687882" w:rsidRPr="00C617FA">
        <w:rPr>
          <w:rFonts w:ascii="Arial" w:hAnsi="Arial" w:cs="Arial"/>
          <w:b/>
          <w:sz w:val="24"/>
          <w:szCs w:val="24"/>
          <w:lang w:val="fr-FR"/>
        </w:rPr>
        <w:tab/>
      </w:r>
      <w:r w:rsidR="00687882" w:rsidRPr="00C617FA">
        <w:rPr>
          <w:rFonts w:ascii="Arial" w:hAnsi="Arial" w:cs="Arial"/>
          <w:b/>
          <w:sz w:val="24"/>
          <w:szCs w:val="24"/>
          <w:lang w:val="fr-FR"/>
        </w:rPr>
        <w:tab/>
      </w:r>
      <w:r w:rsidR="00687882" w:rsidRPr="00C617FA">
        <w:rPr>
          <w:rFonts w:ascii="Arial" w:hAnsi="Arial" w:cs="Arial"/>
          <w:b/>
          <w:sz w:val="24"/>
          <w:szCs w:val="24"/>
          <w:lang w:val="fr-FR"/>
        </w:rPr>
        <w:tab/>
      </w:r>
      <w:r w:rsidR="00687882" w:rsidRPr="00C617FA">
        <w:rPr>
          <w:rFonts w:ascii="Arial" w:hAnsi="Arial" w:cs="Arial"/>
          <w:b/>
          <w:sz w:val="24"/>
          <w:szCs w:val="24"/>
          <w:lang w:val="fr-FR"/>
        </w:rPr>
        <w:tab/>
      </w:r>
      <w:r w:rsidR="00687882" w:rsidRPr="00C617FA">
        <w:rPr>
          <w:rFonts w:ascii="Arial" w:hAnsi="Arial" w:cs="Arial"/>
          <w:b/>
          <w:sz w:val="24"/>
          <w:szCs w:val="24"/>
          <w:lang w:val="fr-FR"/>
        </w:rPr>
        <w:tab/>
      </w:r>
    </w:p>
    <w:p w14:paraId="64B734D4" w14:textId="77777777" w:rsidR="00DA6430" w:rsidRPr="00C617FA" w:rsidRDefault="00DA6430" w:rsidP="00AB3DEA">
      <w:pPr>
        <w:jc w:val="both"/>
        <w:rPr>
          <w:rFonts w:ascii="Arial" w:hAnsi="Arial" w:cs="Arial"/>
          <w:b/>
          <w:sz w:val="24"/>
          <w:szCs w:val="24"/>
          <w:lang w:val="fr-FR"/>
        </w:rPr>
      </w:pPr>
    </w:p>
    <w:p w14:paraId="36D80FE2" w14:textId="77777777" w:rsidR="00DA6430" w:rsidRPr="00C617FA" w:rsidRDefault="00DA6430" w:rsidP="00AB3DEA">
      <w:pPr>
        <w:jc w:val="both"/>
        <w:rPr>
          <w:rFonts w:ascii="Arial" w:hAnsi="Arial" w:cs="Arial"/>
          <w:b/>
          <w:sz w:val="24"/>
          <w:szCs w:val="24"/>
          <w:lang w:val="fr-FR"/>
        </w:rPr>
      </w:pPr>
    </w:p>
    <w:p w14:paraId="24354482" w14:textId="31E4C442" w:rsidR="00687882" w:rsidRPr="00C617FA" w:rsidRDefault="004E4363" w:rsidP="00AB3DEA">
      <w:pPr>
        <w:jc w:val="both"/>
        <w:rPr>
          <w:rFonts w:ascii="Arial" w:hAnsi="Arial" w:cs="Arial"/>
          <w:b/>
          <w:sz w:val="24"/>
          <w:szCs w:val="24"/>
          <w:lang w:val="fr-FR"/>
        </w:rPr>
      </w:pPr>
      <w:r>
        <w:rPr>
          <w:rFonts w:ascii="Arial" w:hAnsi="Arial" w:cs="Arial"/>
          <w:b/>
          <w:sz w:val="24"/>
          <w:szCs w:val="24"/>
          <w:lang w:val="fr-FR"/>
        </w:rPr>
        <w:t xml:space="preserve">SD </w:t>
      </w:r>
      <w:r w:rsidR="002C17A0" w:rsidRPr="00C617FA">
        <w:rPr>
          <w:rFonts w:ascii="Arial" w:hAnsi="Arial" w:cs="Arial"/>
          <w:b/>
          <w:sz w:val="24"/>
          <w:szCs w:val="24"/>
          <w:lang w:val="fr-FR"/>
        </w:rPr>
        <w:t>Francis Supparayen</w:t>
      </w:r>
      <w:r w:rsidR="00C746BE" w:rsidRPr="00C617FA">
        <w:rPr>
          <w:rFonts w:ascii="Arial" w:hAnsi="Arial" w:cs="Arial"/>
          <w:b/>
          <w:sz w:val="24"/>
          <w:szCs w:val="24"/>
          <w:lang w:val="fr-FR"/>
        </w:rPr>
        <w:t xml:space="preserve"> </w:t>
      </w:r>
    </w:p>
    <w:p w14:paraId="2A92064B" w14:textId="77777777" w:rsidR="00840B0B" w:rsidRDefault="00840B0B" w:rsidP="00AB3DEA">
      <w:pPr>
        <w:jc w:val="both"/>
        <w:rPr>
          <w:rFonts w:ascii="Arial" w:hAnsi="Arial" w:cs="Arial"/>
          <w:b/>
          <w:sz w:val="24"/>
          <w:szCs w:val="24"/>
        </w:rPr>
      </w:pPr>
      <w:r w:rsidRPr="005B080A">
        <w:rPr>
          <w:rFonts w:ascii="Arial" w:hAnsi="Arial" w:cs="Arial"/>
          <w:b/>
          <w:sz w:val="24"/>
          <w:szCs w:val="24"/>
        </w:rPr>
        <w:t>Member</w:t>
      </w:r>
    </w:p>
    <w:p w14:paraId="3F0847A2" w14:textId="77777777" w:rsidR="00840B0B" w:rsidRDefault="00840B0B" w:rsidP="00AB3DEA">
      <w:pPr>
        <w:jc w:val="both"/>
        <w:rPr>
          <w:rFonts w:ascii="Arial" w:hAnsi="Arial" w:cs="Arial"/>
          <w:b/>
          <w:sz w:val="24"/>
          <w:szCs w:val="24"/>
        </w:rPr>
      </w:pPr>
    </w:p>
    <w:p w14:paraId="19E61F1B" w14:textId="77777777" w:rsidR="00DA6430" w:rsidRDefault="00DA6430" w:rsidP="00AB3DEA">
      <w:pPr>
        <w:jc w:val="both"/>
        <w:rPr>
          <w:rFonts w:ascii="Arial" w:hAnsi="Arial" w:cs="Arial"/>
          <w:b/>
          <w:sz w:val="24"/>
          <w:szCs w:val="24"/>
        </w:rPr>
      </w:pPr>
    </w:p>
    <w:p w14:paraId="3BB0EA44" w14:textId="3049F1F7" w:rsidR="00AB3DEA" w:rsidRPr="005B080A" w:rsidRDefault="004E4363" w:rsidP="00AB3DEA">
      <w:pPr>
        <w:jc w:val="both"/>
        <w:rPr>
          <w:rFonts w:ascii="Arial" w:hAnsi="Arial" w:cs="Arial"/>
          <w:b/>
          <w:sz w:val="24"/>
          <w:szCs w:val="24"/>
        </w:rPr>
      </w:pPr>
      <w:r>
        <w:rPr>
          <w:rFonts w:ascii="Arial" w:hAnsi="Arial" w:cs="Arial"/>
          <w:b/>
          <w:sz w:val="24"/>
          <w:szCs w:val="24"/>
        </w:rPr>
        <w:t xml:space="preserve">SD </w:t>
      </w:r>
      <w:r w:rsidR="00440780">
        <w:rPr>
          <w:rFonts w:ascii="Arial" w:hAnsi="Arial" w:cs="Arial"/>
          <w:b/>
          <w:sz w:val="24"/>
          <w:szCs w:val="24"/>
        </w:rPr>
        <w:t>Rabin Gungoo</w:t>
      </w:r>
      <w:r w:rsidR="00E37C70">
        <w:rPr>
          <w:rFonts w:ascii="Arial" w:hAnsi="Arial" w:cs="Arial"/>
          <w:b/>
          <w:sz w:val="24"/>
          <w:szCs w:val="24"/>
        </w:rPr>
        <w:t xml:space="preserve">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AB3DEA" w:rsidRPr="005B080A">
        <w:rPr>
          <w:rFonts w:ascii="Arial" w:hAnsi="Arial" w:cs="Arial"/>
          <w:b/>
          <w:sz w:val="24"/>
          <w:szCs w:val="24"/>
        </w:rPr>
        <w:tab/>
      </w:r>
    </w:p>
    <w:p w14:paraId="0D18196F" w14:textId="77777777" w:rsidR="00AB3DEA" w:rsidRPr="005B080A" w:rsidRDefault="00AB3DEA" w:rsidP="00AB3DEA">
      <w:pPr>
        <w:jc w:val="both"/>
        <w:rPr>
          <w:rFonts w:ascii="Arial" w:hAnsi="Arial" w:cs="Arial"/>
          <w:b/>
          <w:sz w:val="24"/>
          <w:szCs w:val="24"/>
        </w:rPr>
      </w:pPr>
      <w:r w:rsidRPr="005B080A">
        <w:rPr>
          <w:rFonts w:ascii="Arial" w:hAnsi="Arial" w:cs="Arial"/>
          <w:b/>
          <w:sz w:val="24"/>
          <w:szCs w:val="24"/>
        </w:rPr>
        <w:t>Member</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70946BEC" w14:textId="77777777" w:rsidR="00840B0B" w:rsidRDefault="00840B0B" w:rsidP="00657F75">
      <w:pPr>
        <w:jc w:val="both"/>
        <w:rPr>
          <w:rFonts w:ascii="Arial" w:hAnsi="Arial" w:cs="Arial"/>
          <w:b/>
          <w:sz w:val="24"/>
          <w:szCs w:val="24"/>
        </w:rPr>
      </w:pPr>
    </w:p>
    <w:p w14:paraId="2C4405A8" w14:textId="77777777" w:rsidR="00DA6430" w:rsidRDefault="00DA6430" w:rsidP="00657F75">
      <w:pPr>
        <w:jc w:val="both"/>
        <w:rPr>
          <w:rFonts w:ascii="Arial" w:hAnsi="Arial" w:cs="Arial"/>
          <w:b/>
          <w:sz w:val="24"/>
          <w:szCs w:val="24"/>
        </w:rPr>
      </w:pPr>
    </w:p>
    <w:p w14:paraId="08FD2A35" w14:textId="1FD47057" w:rsidR="00840B0B" w:rsidRDefault="004E4363" w:rsidP="00657F75">
      <w:pPr>
        <w:jc w:val="both"/>
        <w:rPr>
          <w:rFonts w:ascii="Arial" w:hAnsi="Arial" w:cs="Arial"/>
          <w:b/>
          <w:sz w:val="24"/>
          <w:szCs w:val="24"/>
        </w:rPr>
      </w:pPr>
      <w:r>
        <w:rPr>
          <w:rFonts w:ascii="Arial" w:hAnsi="Arial" w:cs="Arial"/>
          <w:b/>
          <w:sz w:val="24"/>
          <w:szCs w:val="24"/>
        </w:rPr>
        <w:t xml:space="preserve">SD </w:t>
      </w:r>
      <w:r w:rsidR="003F42C3" w:rsidRPr="002A5F7F">
        <w:rPr>
          <w:rFonts w:ascii="Arial" w:hAnsi="Arial" w:cs="Arial"/>
          <w:b/>
          <w:sz w:val="24"/>
          <w:szCs w:val="24"/>
        </w:rPr>
        <w:t>Ghianeswar Gokhool</w:t>
      </w:r>
      <w:r w:rsidR="003F42C3">
        <w:rPr>
          <w:rFonts w:ascii="Arial" w:hAnsi="Arial" w:cs="Arial"/>
          <w:b/>
          <w:sz w:val="24"/>
          <w:szCs w:val="24"/>
        </w:rPr>
        <w:t xml:space="preserve"> </w:t>
      </w:r>
    </w:p>
    <w:p w14:paraId="72CBA948" w14:textId="77777777" w:rsidR="008658B5" w:rsidRDefault="00840B0B" w:rsidP="00657F75">
      <w:pPr>
        <w:jc w:val="both"/>
        <w:rPr>
          <w:rFonts w:ascii="Arial" w:hAnsi="Arial" w:cs="Arial"/>
          <w:b/>
          <w:sz w:val="24"/>
          <w:szCs w:val="24"/>
        </w:rPr>
      </w:pPr>
      <w:r w:rsidRPr="005B080A">
        <w:rPr>
          <w:rFonts w:ascii="Arial" w:hAnsi="Arial" w:cs="Arial"/>
          <w:b/>
          <w:sz w:val="24"/>
          <w:szCs w:val="24"/>
        </w:rPr>
        <w:t>Member</w:t>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p>
    <w:p w14:paraId="6A157E6B" w14:textId="2CAAAD34" w:rsidR="0067403B" w:rsidRDefault="004F3FF8" w:rsidP="00657F75">
      <w:pPr>
        <w:jc w:val="both"/>
        <w:rPr>
          <w:rFonts w:ascii="Arial" w:hAnsi="Arial" w:cs="Arial"/>
          <w:b/>
          <w:sz w:val="24"/>
          <w:szCs w:val="24"/>
        </w:rPr>
      </w:pPr>
      <w:r>
        <w:rPr>
          <w:rFonts w:ascii="Arial" w:hAnsi="Arial" w:cs="Arial"/>
          <w:b/>
          <w:sz w:val="24"/>
          <w:szCs w:val="24"/>
        </w:rPr>
        <w:t>11</w:t>
      </w:r>
      <w:r w:rsidR="00751FF2">
        <w:rPr>
          <w:rFonts w:ascii="Arial" w:hAnsi="Arial" w:cs="Arial"/>
          <w:b/>
          <w:sz w:val="24"/>
          <w:szCs w:val="24"/>
        </w:rPr>
        <w:t xml:space="preserve"> </w:t>
      </w:r>
      <w:r w:rsidR="00EF6A7C">
        <w:rPr>
          <w:rFonts w:ascii="Arial" w:hAnsi="Arial" w:cs="Arial"/>
          <w:b/>
          <w:sz w:val="24"/>
          <w:szCs w:val="24"/>
        </w:rPr>
        <w:t>May</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w:t>
      </w:r>
      <w:r w:rsidR="003F42C3">
        <w:rPr>
          <w:rFonts w:ascii="Arial" w:hAnsi="Arial" w:cs="Arial"/>
          <w:b/>
          <w:sz w:val="24"/>
          <w:szCs w:val="24"/>
        </w:rPr>
        <w:t>1</w:t>
      </w:r>
    </w:p>
    <w:sectPr w:rsidR="0067403B"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A44DD" w14:textId="77777777" w:rsidR="00F414FC" w:rsidRDefault="00F414FC" w:rsidP="00936BD4">
      <w:pPr>
        <w:spacing w:after="0" w:line="240" w:lineRule="auto"/>
      </w:pPr>
      <w:r>
        <w:separator/>
      </w:r>
    </w:p>
  </w:endnote>
  <w:endnote w:type="continuationSeparator" w:id="0">
    <w:p w14:paraId="64D9F441" w14:textId="77777777" w:rsidR="00F414FC" w:rsidRDefault="00F414FC"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6417"/>
      <w:docPartObj>
        <w:docPartGallery w:val="Page Numbers (Bottom of Page)"/>
        <w:docPartUnique/>
      </w:docPartObj>
    </w:sdtPr>
    <w:sdtEndPr/>
    <w:sdtContent>
      <w:p w14:paraId="2B4810DE" w14:textId="4EC10BF7" w:rsidR="007A4FFC" w:rsidRDefault="007A4FFC">
        <w:pPr>
          <w:pStyle w:val="Footer"/>
          <w:jc w:val="center"/>
        </w:pPr>
        <w:r>
          <w:fldChar w:fldCharType="begin"/>
        </w:r>
        <w:r>
          <w:instrText xml:space="preserve"> PAGE   \* MERGEFORMAT </w:instrText>
        </w:r>
        <w:r>
          <w:fldChar w:fldCharType="separate"/>
        </w:r>
        <w:r w:rsidR="00157989">
          <w:rPr>
            <w:noProof/>
          </w:rPr>
          <w:t>1</w:t>
        </w:r>
        <w:r>
          <w:rPr>
            <w:noProof/>
          </w:rPr>
          <w:fldChar w:fldCharType="end"/>
        </w:r>
      </w:p>
    </w:sdtContent>
  </w:sdt>
  <w:p w14:paraId="06BBCDE6" w14:textId="77777777" w:rsidR="007A4FFC" w:rsidRDefault="007A4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21237" w14:textId="77777777" w:rsidR="00F414FC" w:rsidRDefault="00F414FC" w:rsidP="00936BD4">
      <w:pPr>
        <w:spacing w:after="0" w:line="240" w:lineRule="auto"/>
      </w:pPr>
      <w:r>
        <w:separator/>
      </w:r>
    </w:p>
  </w:footnote>
  <w:footnote w:type="continuationSeparator" w:id="0">
    <w:p w14:paraId="79067B43" w14:textId="77777777" w:rsidR="00F414FC" w:rsidRDefault="00F414FC"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BD2C2A"/>
    <w:multiLevelType w:val="hybridMultilevel"/>
    <w:tmpl w:val="FCAAC33E"/>
    <w:lvl w:ilvl="0" w:tplc="71928B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D445D4"/>
    <w:multiLevelType w:val="hybridMultilevel"/>
    <w:tmpl w:val="F9F01092"/>
    <w:lvl w:ilvl="0" w:tplc="06A67550">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0"/>
  </w:num>
  <w:num w:numId="5">
    <w:abstractNumId w:val="2"/>
  </w:num>
  <w:num w:numId="6">
    <w:abstractNumId w:val="3"/>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3855"/>
    <w:rsid w:val="00004163"/>
    <w:rsid w:val="00004F55"/>
    <w:rsid w:val="00006187"/>
    <w:rsid w:val="00012C81"/>
    <w:rsid w:val="00012CAF"/>
    <w:rsid w:val="000158C3"/>
    <w:rsid w:val="000173CD"/>
    <w:rsid w:val="0002005A"/>
    <w:rsid w:val="000208E2"/>
    <w:rsid w:val="000250D3"/>
    <w:rsid w:val="00025210"/>
    <w:rsid w:val="00026AA1"/>
    <w:rsid w:val="00026E65"/>
    <w:rsid w:val="000304E2"/>
    <w:rsid w:val="000318F3"/>
    <w:rsid w:val="00032922"/>
    <w:rsid w:val="00032D6D"/>
    <w:rsid w:val="00035054"/>
    <w:rsid w:val="00035B3D"/>
    <w:rsid w:val="000408F8"/>
    <w:rsid w:val="00040A89"/>
    <w:rsid w:val="000446C4"/>
    <w:rsid w:val="00044CAF"/>
    <w:rsid w:val="00044E57"/>
    <w:rsid w:val="000451CB"/>
    <w:rsid w:val="00045715"/>
    <w:rsid w:val="00046690"/>
    <w:rsid w:val="000467EA"/>
    <w:rsid w:val="00052421"/>
    <w:rsid w:val="000530DC"/>
    <w:rsid w:val="00054088"/>
    <w:rsid w:val="00054439"/>
    <w:rsid w:val="00055D51"/>
    <w:rsid w:val="00060F6E"/>
    <w:rsid w:val="0006414D"/>
    <w:rsid w:val="00066405"/>
    <w:rsid w:val="00070DC7"/>
    <w:rsid w:val="00071E28"/>
    <w:rsid w:val="000730AD"/>
    <w:rsid w:val="000739D5"/>
    <w:rsid w:val="0008120B"/>
    <w:rsid w:val="00081614"/>
    <w:rsid w:val="00082CB1"/>
    <w:rsid w:val="00082DBE"/>
    <w:rsid w:val="000835E5"/>
    <w:rsid w:val="00085AD3"/>
    <w:rsid w:val="00085C61"/>
    <w:rsid w:val="00085D6C"/>
    <w:rsid w:val="00086046"/>
    <w:rsid w:val="00086724"/>
    <w:rsid w:val="00087A97"/>
    <w:rsid w:val="00087BCD"/>
    <w:rsid w:val="00090141"/>
    <w:rsid w:val="0009622A"/>
    <w:rsid w:val="0009740F"/>
    <w:rsid w:val="00097411"/>
    <w:rsid w:val="00097D74"/>
    <w:rsid w:val="000A5361"/>
    <w:rsid w:val="000A5A1B"/>
    <w:rsid w:val="000B1EAF"/>
    <w:rsid w:val="000B251C"/>
    <w:rsid w:val="000B260E"/>
    <w:rsid w:val="000B448C"/>
    <w:rsid w:val="000C1234"/>
    <w:rsid w:val="000C1509"/>
    <w:rsid w:val="000C2D87"/>
    <w:rsid w:val="000C5B14"/>
    <w:rsid w:val="000C5E65"/>
    <w:rsid w:val="000D1828"/>
    <w:rsid w:val="000D357B"/>
    <w:rsid w:val="000D4ECD"/>
    <w:rsid w:val="000D4ED0"/>
    <w:rsid w:val="000D5C17"/>
    <w:rsid w:val="000E0D59"/>
    <w:rsid w:val="000E111D"/>
    <w:rsid w:val="000E1E58"/>
    <w:rsid w:val="000E5325"/>
    <w:rsid w:val="000E5AA9"/>
    <w:rsid w:val="000E5B0A"/>
    <w:rsid w:val="000E5FFF"/>
    <w:rsid w:val="000E7ACD"/>
    <w:rsid w:val="000F15FD"/>
    <w:rsid w:val="000F1B8A"/>
    <w:rsid w:val="000F1C09"/>
    <w:rsid w:val="000F364E"/>
    <w:rsid w:val="000F59DC"/>
    <w:rsid w:val="000F5D9F"/>
    <w:rsid w:val="000F5DF7"/>
    <w:rsid w:val="000F7674"/>
    <w:rsid w:val="000F7C3F"/>
    <w:rsid w:val="000F7DE8"/>
    <w:rsid w:val="001005C2"/>
    <w:rsid w:val="00101A2A"/>
    <w:rsid w:val="001100F8"/>
    <w:rsid w:val="001102CE"/>
    <w:rsid w:val="00114021"/>
    <w:rsid w:val="001151FD"/>
    <w:rsid w:val="0011570D"/>
    <w:rsid w:val="0012026E"/>
    <w:rsid w:val="0012116D"/>
    <w:rsid w:val="0012131A"/>
    <w:rsid w:val="001227CD"/>
    <w:rsid w:val="0012309E"/>
    <w:rsid w:val="00124C76"/>
    <w:rsid w:val="001267D7"/>
    <w:rsid w:val="001274A3"/>
    <w:rsid w:val="001313E1"/>
    <w:rsid w:val="00132534"/>
    <w:rsid w:val="001349A3"/>
    <w:rsid w:val="00137FE1"/>
    <w:rsid w:val="00142789"/>
    <w:rsid w:val="00143253"/>
    <w:rsid w:val="00151418"/>
    <w:rsid w:val="00157989"/>
    <w:rsid w:val="001603FD"/>
    <w:rsid w:val="00160672"/>
    <w:rsid w:val="00162868"/>
    <w:rsid w:val="001654FE"/>
    <w:rsid w:val="00167F07"/>
    <w:rsid w:val="00170638"/>
    <w:rsid w:val="00171492"/>
    <w:rsid w:val="001755AA"/>
    <w:rsid w:val="001762AE"/>
    <w:rsid w:val="00182947"/>
    <w:rsid w:val="00183C0A"/>
    <w:rsid w:val="0018459A"/>
    <w:rsid w:val="00184674"/>
    <w:rsid w:val="001915BF"/>
    <w:rsid w:val="00191E34"/>
    <w:rsid w:val="00192933"/>
    <w:rsid w:val="0019321B"/>
    <w:rsid w:val="001936F5"/>
    <w:rsid w:val="00195CE9"/>
    <w:rsid w:val="00196263"/>
    <w:rsid w:val="00196BF2"/>
    <w:rsid w:val="00197F84"/>
    <w:rsid w:val="001A1FEC"/>
    <w:rsid w:val="001A3D86"/>
    <w:rsid w:val="001A3F6E"/>
    <w:rsid w:val="001A55D2"/>
    <w:rsid w:val="001B0595"/>
    <w:rsid w:val="001B08EE"/>
    <w:rsid w:val="001B1403"/>
    <w:rsid w:val="001B1EAE"/>
    <w:rsid w:val="001B5209"/>
    <w:rsid w:val="001B57ED"/>
    <w:rsid w:val="001B5825"/>
    <w:rsid w:val="001B5E82"/>
    <w:rsid w:val="001B7F18"/>
    <w:rsid w:val="001C00CE"/>
    <w:rsid w:val="001C2C36"/>
    <w:rsid w:val="001C2D4E"/>
    <w:rsid w:val="001C4EB1"/>
    <w:rsid w:val="001C63D0"/>
    <w:rsid w:val="001D134B"/>
    <w:rsid w:val="001D145D"/>
    <w:rsid w:val="001D16FA"/>
    <w:rsid w:val="001D2199"/>
    <w:rsid w:val="001D3289"/>
    <w:rsid w:val="001D3851"/>
    <w:rsid w:val="001D468C"/>
    <w:rsid w:val="001D5E65"/>
    <w:rsid w:val="001D6B08"/>
    <w:rsid w:val="001D72AF"/>
    <w:rsid w:val="001D75E6"/>
    <w:rsid w:val="001E1E1B"/>
    <w:rsid w:val="001E3532"/>
    <w:rsid w:val="001E4A11"/>
    <w:rsid w:val="001E593C"/>
    <w:rsid w:val="001E7DA1"/>
    <w:rsid w:val="001F24A7"/>
    <w:rsid w:val="001F362A"/>
    <w:rsid w:val="001F7957"/>
    <w:rsid w:val="00201C21"/>
    <w:rsid w:val="00201D3F"/>
    <w:rsid w:val="00202101"/>
    <w:rsid w:val="00204C2C"/>
    <w:rsid w:val="00206125"/>
    <w:rsid w:val="00207ED4"/>
    <w:rsid w:val="0021298F"/>
    <w:rsid w:val="00213C9F"/>
    <w:rsid w:val="00215D65"/>
    <w:rsid w:val="002171BC"/>
    <w:rsid w:val="002200D9"/>
    <w:rsid w:val="002211E1"/>
    <w:rsid w:val="00222022"/>
    <w:rsid w:val="00223A3D"/>
    <w:rsid w:val="00223A5B"/>
    <w:rsid w:val="00224AEB"/>
    <w:rsid w:val="002250AF"/>
    <w:rsid w:val="00226288"/>
    <w:rsid w:val="002273D5"/>
    <w:rsid w:val="00227942"/>
    <w:rsid w:val="00227C4E"/>
    <w:rsid w:val="002322A1"/>
    <w:rsid w:val="00232757"/>
    <w:rsid w:val="00236429"/>
    <w:rsid w:val="00236AAE"/>
    <w:rsid w:val="00236C1E"/>
    <w:rsid w:val="00236E4D"/>
    <w:rsid w:val="00240CF7"/>
    <w:rsid w:val="002410AF"/>
    <w:rsid w:val="002461E4"/>
    <w:rsid w:val="00246ACC"/>
    <w:rsid w:val="0024775C"/>
    <w:rsid w:val="00251C54"/>
    <w:rsid w:val="002524ED"/>
    <w:rsid w:val="00253AF6"/>
    <w:rsid w:val="00254918"/>
    <w:rsid w:val="00254B1E"/>
    <w:rsid w:val="00256261"/>
    <w:rsid w:val="0026017D"/>
    <w:rsid w:val="00260CC2"/>
    <w:rsid w:val="00261660"/>
    <w:rsid w:val="002623B6"/>
    <w:rsid w:val="00262AD1"/>
    <w:rsid w:val="00263265"/>
    <w:rsid w:val="00263A0A"/>
    <w:rsid w:val="0026528D"/>
    <w:rsid w:val="00265F11"/>
    <w:rsid w:val="002716A9"/>
    <w:rsid w:val="00273CD3"/>
    <w:rsid w:val="00273EB7"/>
    <w:rsid w:val="00276EDF"/>
    <w:rsid w:val="00282C66"/>
    <w:rsid w:val="00282CC1"/>
    <w:rsid w:val="00283FF8"/>
    <w:rsid w:val="00284570"/>
    <w:rsid w:val="0028477A"/>
    <w:rsid w:val="002861BD"/>
    <w:rsid w:val="00286874"/>
    <w:rsid w:val="00287076"/>
    <w:rsid w:val="002877F1"/>
    <w:rsid w:val="00287B24"/>
    <w:rsid w:val="0029155F"/>
    <w:rsid w:val="002923FF"/>
    <w:rsid w:val="002937AD"/>
    <w:rsid w:val="00293E90"/>
    <w:rsid w:val="00296224"/>
    <w:rsid w:val="002971A9"/>
    <w:rsid w:val="002A1D57"/>
    <w:rsid w:val="002A2EEA"/>
    <w:rsid w:val="002A3769"/>
    <w:rsid w:val="002B155F"/>
    <w:rsid w:val="002B36DB"/>
    <w:rsid w:val="002B37BD"/>
    <w:rsid w:val="002B53BA"/>
    <w:rsid w:val="002B5977"/>
    <w:rsid w:val="002B7094"/>
    <w:rsid w:val="002C17A0"/>
    <w:rsid w:val="002C49F8"/>
    <w:rsid w:val="002C7DA5"/>
    <w:rsid w:val="002D0819"/>
    <w:rsid w:val="002D4708"/>
    <w:rsid w:val="002D5DAB"/>
    <w:rsid w:val="002D68C7"/>
    <w:rsid w:val="002D7B0A"/>
    <w:rsid w:val="002E1725"/>
    <w:rsid w:val="002E566A"/>
    <w:rsid w:val="002E58F6"/>
    <w:rsid w:val="002E6878"/>
    <w:rsid w:val="002F3C31"/>
    <w:rsid w:val="002F7631"/>
    <w:rsid w:val="00303AF5"/>
    <w:rsid w:val="00305111"/>
    <w:rsid w:val="00305E97"/>
    <w:rsid w:val="003063D3"/>
    <w:rsid w:val="00316E08"/>
    <w:rsid w:val="00320069"/>
    <w:rsid w:val="00321E90"/>
    <w:rsid w:val="003245E9"/>
    <w:rsid w:val="00324927"/>
    <w:rsid w:val="00326F5E"/>
    <w:rsid w:val="00330C36"/>
    <w:rsid w:val="00332565"/>
    <w:rsid w:val="0033582F"/>
    <w:rsid w:val="00336851"/>
    <w:rsid w:val="003370EF"/>
    <w:rsid w:val="003379A5"/>
    <w:rsid w:val="00337FFA"/>
    <w:rsid w:val="0034156F"/>
    <w:rsid w:val="00342EBC"/>
    <w:rsid w:val="00343060"/>
    <w:rsid w:val="00344D33"/>
    <w:rsid w:val="0034615A"/>
    <w:rsid w:val="0034756C"/>
    <w:rsid w:val="00347D10"/>
    <w:rsid w:val="00347D55"/>
    <w:rsid w:val="00350C25"/>
    <w:rsid w:val="003542F7"/>
    <w:rsid w:val="0035594E"/>
    <w:rsid w:val="00355A30"/>
    <w:rsid w:val="00357D63"/>
    <w:rsid w:val="00360F91"/>
    <w:rsid w:val="003625F3"/>
    <w:rsid w:val="00362F43"/>
    <w:rsid w:val="00363A01"/>
    <w:rsid w:val="00364677"/>
    <w:rsid w:val="00366292"/>
    <w:rsid w:val="00366FBB"/>
    <w:rsid w:val="00370553"/>
    <w:rsid w:val="00373335"/>
    <w:rsid w:val="003743FB"/>
    <w:rsid w:val="00374658"/>
    <w:rsid w:val="00377C47"/>
    <w:rsid w:val="003810FD"/>
    <w:rsid w:val="00382009"/>
    <w:rsid w:val="00382B70"/>
    <w:rsid w:val="00382C28"/>
    <w:rsid w:val="003833DB"/>
    <w:rsid w:val="00384A73"/>
    <w:rsid w:val="00384E94"/>
    <w:rsid w:val="00384F0F"/>
    <w:rsid w:val="00387E10"/>
    <w:rsid w:val="003904AE"/>
    <w:rsid w:val="00390C7F"/>
    <w:rsid w:val="00392180"/>
    <w:rsid w:val="00392B8B"/>
    <w:rsid w:val="00392BB0"/>
    <w:rsid w:val="00395E5E"/>
    <w:rsid w:val="003A2052"/>
    <w:rsid w:val="003A2BCD"/>
    <w:rsid w:val="003A3721"/>
    <w:rsid w:val="003A3FFB"/>
    <w:rsid w:val="003A5565"/>
    <w:rsid w:val="003A6B86"/>
    <w:rsid w:val="003A6F65"/>
    <w:rsid w:val="003A7B39"/>
    <w:rsid w:val="003B73A6"/>
    <w:rsid w:val="003C19F2"/>
    <w:rsid w:val="003C1AB3"/>
    <w:rsid w:val="003C1C3A"/>
    <w:rsid w:val="003C6EF6"/>
    <w:rsid w:val="003D685D"/>
    <w:rsid w:val="003E191B"/>
    <w:rsid w:val="003E20B0"/>
    <w:rsid w:val="003E3EC5"/>
    <w:rsid w:val="003E49B1"/>
    <w:rsid w:val="003E4AAA"/>
    <w:rsid w:val="003E53C0"/>
    <w:rsid w:val="003E5417"/>
    <w:rsid w:val="003E588B"/>
    <w:rsid w:val="003E5DC6"/>
    <w:rsid w:val="003E71A1"/>
    <w:rsid w:val="003F039B"/>
    <w:rsid w:val="003F0D21"/>
    <w:rsid w:val="003F42C3"/>
    <w:rsid w:val="003F4CE3"/>
    <w:rsid w:val="003F4DA6"/>
    <w:rsid w:val="003F4FD8"/>
    <w:rsid w:val="003F6884"/>
    <w:rsid w:val="003F6AB7"/>
    <w:rsid w:val="003F6ABF"/>
    <w:rsid w:val="004002C9"/>
    <w:rsid w:val="0040060E"/>
    <w:rsid w:val="00401C65"/>
    <w:rsid w:val="0040214A"/>
    <w:rsid w:val="0040658D"/>
    <w:rsid w:val="00406CCE"/>
    <w:rsid w:val="0041207D"/>
    <w:rsid w:val="00412C71"/>
    <w:rsid w:val="0041418F"/>
    <w:rsid w:val="00415801"/>
    <w:rsid w:val="004161A8"/>
    <w:rsid w:val="00421A28"/>
    <w:rsid w:val="00422A63"/>
    <w:rsid w:val="00423028"/>
    <w:rsid w:val="00424AFA"/>
    <w:rsid w:val="00424F2D"/>
    <w:rsid w:val="00426E70"/>
    <w:rsid w:val="0043193F"/>
    <w:rsid w:val="00431F50"/>
    <w:rsid w:val="0043331E"/>
    <w:rsid w:val="00433F18"/>
    <w:rsid w:val="00434CB7"/>
    <w:rsid w:val="00434CFC"/>
    <w:rsid w:val="00435964"/>
    <w:rsid w:val="004364A0"/>
    <w:rsid w:val="00440780"/>
    <w:rsid w:val="00442403"/>
    <w:rsid w:val="0044270F"/>
    <w:rsid w:val="00444A7B"/>
    <w:rsid w:val="00445571"/>
    <w:rsid w:val="00445993"/>
    <w:rsid w:val="00446462"/>
    <w:rsid w:val="0045074C"/>
    <w:rsid w:val="00450AD6"/>
    <w:rsid w:val="00451956"/>
    <w:rsid w:val="0045271C"/>
    <w:rsid w:val="00457AAF"/>
    <w:rsid w:val="00460A28"/>
    <w:rsid w:val="004626A4"/>
    <w:rsid w:val="00466B06"/>
    <w:rsid w:val="0046703B"/>
    <w:rsid w:val="00472E6B"/>
    <w:rsid w:val="0047379A"/>
    <w:rsid w:val="004737A0"/>
    <w:rsid w:val="00473F80"/>
    <w:rsid w:val="004752DC"/>
    <w:rsid w:val="00477B40"/>
    <w:rsid w:val="004806BC"/>
    <w:rsid w:val="00482176"/>
    <w:rsid w:val="0048229C"/>
    <w:rsid w:val="0048588D"/>
    <w:rsid w:val="004864D1"/>
    <w:rsid w:val="00491DD9"/>
    <w:rsid w:val="004932CE"/>
    <w:rsid w:val="00494589"/>
    <w:rsid w:val="00495D8A"/>
    <w:rsid w:val="0049697C"/>
    <w:rsid w:val="00496C58"/>
    <w:rsid w:val="004A1855"/>
    <w:rsid w:val="004A1928"/>
    <w:rsid w:val="004A1D5D"/>
    <w:rsid w:val="004A2E61"/>
    <w:rsid w:val="004A5288"/>
    <w:rsid w:val="004A5D3E"/>
    <w:rsid w:val="004B0B03"/>
    <w:rsid w:val="004B2230"/>
    <w:rsid w:val="004B2DA5"/>
    <w:rsid w:val="004B3145"/>
    <w:rsid w:val="004B4C0D"/>
    <w:rsid w:val="004B5248"/>
    <w:rsid w:val="004B57D0"/>
    <w:rsid w:val="004B6036"/>
    <w:rsid w:val="004B6B3A"/>
    <w:rsid w:val="004B719F"/>
    <w:rsid w:val="004B732B"/>
    <w:rsid w:val="004B7A10"/>
    <w:rsid w:val="004C1CA0"/>
    <w:rsid w:val="004C260D"/>
    <w:rsid w:val="004C443F"/>
    <w:rsid w:val="004C4516"/>
    <w:rsid w:val="004C63DF"/>
    <w:rsid w:val="004C7E40"/>
    <w:rsid w:val="004D070D"/>
    <w:rsid w:val="004D125E"/>
    <w:rsid w:val="004D3477"/>
    <w:rsid w:val="004D3EF9"/>
    <w:rsid w:val="004D489D"/>
    <w:rsid w:val="004D57F2"/>
    <w:rsid w:val="004E3AFC"/>
    <w:rsid w:val="004E4363"/>
    <w:rsid w:val="004E6740"/>
    <w:rsid w:val="004E76CE"/>
    <w:rsid w:val="004F38DE"/>
    <w:rsid w:val="004F3CD9"/>
    <w:rsid w:val="004F3F53"/>
    <w:rsid w:val="004F3FF8"/>
    <w:rsid w:val="004F5996"/>
    <w:rsid w:val="004F7AE7"/>
    <w:rsid w:val="0050051D"/>
    <w:rsid w:val="0050644A"/>
    <w:rsid w:val="00506C39"/>
    <w:rsid w:val="00506E42"/>
    <w:rsid w:val="0051143F"/>
    <w:rsid w:val="00514EAA"/>
    <w:rsid w:val="0051683F"/>
    <w:rsid w:val="00517185"/>
    <w:rsid w:val="005172AD"/>
    <w:rsid w:val="00520DF1"/>
    <w:rsid w:val="005212CE"/>
    <w:rsid w:val="005232DD"/>
    <w:rsid w:val="00524266"/>
    <w:rsid w:val="005256CB"/>
    <w:rsid w:val="0052576E"/>
    <w:rsid w:val="005257AE"/>
    <w:rsid w:val="005277D0"/>
    <w:rsid w:val="0053211F"/>
    <w:rsid w:val="00532DF4"/>
    <w:rsid w:val="0053490F"/>
    <w:rsid w:val="00534A39"/>
    <w:rsid w:val="00535CAA"/>
    <w:rsid w:val="00537670"/>
    <w:rsid w:val="00537ED8"/>
    <w:rsid w:val="005442AF"/>
    <w:rsid w:val="00544D41"/>
    <w:rsid w:val="00545A0A"/>
    <w:rsid w:val="00551460"/>
    <w:rsid w:val="005516AB"/>
    <w:rsid w:val="00553E3E"/>
    <w:rsid w:val="00555343"/>
    <w:rsid w:val="00557A45"/>
    <w:rsid w:val="00557BD9"/>
    <w:rsid w:val="00557C09"/>
    <w:rsid w:val="00561DCF"/>
    <w:rsid w:val="00562E7B"/>
    <w:rsid w:val="005669A3"/>
    <w:rsid w:val="00567B32"/>
    <w:rsid w:val="00571710"/>
    <w:rsid w:val="00571F0A"/>
    <w:rsid w:val="00572AB5"/>
    <w:rsid w:val="00574DC9"/>
    <w:rsid w:val="00574EE9"/>
    <w:rsid w:val="00574FB7"/>
    <w:rsid w:val="005770D1"/>
    <w:rsid w:val="00580BAA"/>
    <w:rsid w:val="00580E50"/>
    <w:rsid w:val="0058163F"/>
    <w:rsid w:val="00582AD1"/>
    <w:rsid w:val="00582BD9"/>
    <w:rsid w:val="00585296"/>
    <w:rsid w:val="00585D12"/>
    <w:rsid w:val="00592E0B"/>
    <w:rsid w:val="00592E1E"/>
    <w:rsid w:val="00593DD7"/>
    <w:rsid w:val="00594A0A"/>
    <w:rsid w:val="00595671"/>
    <w:rsid w:val="005A129B"/>
    <w:rsid w:val="005A4280"/>
    <w:rsid w:val="005A700A"/>
    <w:rsid w:val="005A72D6"/>
    <w:rsid w:val="005B3043"/>
    <w:rsid w:val="005B3C12"/>
    <w:rsid w:val="005C10D6"/>
    <w:rsid w:val="005C3B5C"/>
    <w:rsid w:val="005C601E"/>
    <w:rsid w:val="005C6A71"/>
    <w:rsid w:val="005C744D"/>
    <w:rsid w:val="005D01C0"/>
    <w:rsid w:val="005D155D"/>
    <w:rsid w:val="005D1B01"/>
    <w:rsid w:val="005D2183"/>
    <w:rsid w:val="005D3722"/>
    <w:rsid w:val="005D37EC"/>
    <w:rsid w:val="005D42C0"/>
    <w:rsid w:val="005D5C67"/>
    <w:rsid w:val="005D624D"/>
    <w:rsid w:val="005D6B01"/>
    <w:rsid w:val="005D6FB6"/>
    <w:rsid w:val="005D72CB"/>
    <w:rsid w:val="005E206D"/>
    <w:rsid w:val="005E2E8F"/>
    <w:rsid w:val="005E3359"/>
    <w:rsid w:val="005E4D8E"/>
    <w:rsid w:val="005E520A"/>
    <w:rsid w:val="005F0B8B"/>
    <w:rsid w:val="005F13FC"/>
    <w:rsid w:val="005F57BE"/>
    <w:rsid w:val="005F5924"/>
    <w:rsid w:val="005F6495"/>
    <w:rsid w:val="005F75F2"/>
    <w:rsid w:val="0060053B"/>
    <w:rsid w:val="006013FA"/>
    <w:rsid w:val="0060233D"/>
    <w:rsid w:val="0060781E"/>
    <w:rsid w:val="0061066F"/>
    <w:rsid w:val="0061176B"/>
    <w:rsid w:val="006122B9"/>
    <w:rsid w:val="006130E6"/>
    <w:rsid w:val="00613D59"/>
    <w:rsid w:val="0061517F"/>
    <w:rsid w:val="00616D49"/>
    <w:rsid w:val="00620BAC"/>
    <w:rsid w:val="006210CD"/>
    <w:rsid w:val="006210DA"/>
    <w:rsid w:val="0062165E"/>
    <w:rsid w:val="00621C55"/>
    <w:rsid w:val="0062482D"/>
    <w:rsid w:val="00625ECE"/>
    <w:rsid w:val="006264E7"/>
    <w:rsid w:val="00626DE6"/>
    <w:rsid w:val="0062719B"/>
    <w:rsid w:val="00627B48"/>
    <w:rsid w:val="00627B93"/>
    <w:rsid w:val="00630989"/>
    <w:rsid w:val="00632B44"/>
    <w:rsid w:val="006334E9"/>
    <w:rsid w:val="00633AF7"/>
    <w:rsid w:val="006362F6"/>
    <w:rsid w:val="00642E8D"/>
    <w:rsid w:val="00643E18"/>
    <w:rsid w:val="00645779"/>
    <w:rsid w:val="006457B2"/>
    <w:rsid w:val="00646F21"/>
    <w:rsid w:val="0064785C"/>
    <w:rsid w:val="00647C3E"/>
    <w:rsid w:val="00652403"/>
    <w:rsid w:val="006546B3"/>
    <w:rsid w:val="00654D9A"/>
    <w:rsid w:val="00655FFC"/>
    <w:rsid w:val="006568FF"/>
    <w:rsid w:val="00657AED"/>
    <w:rsid w:val="00657F75"/>
    <w:rsid w:val="00661C10"/>
    <w:rsid w:val="00661C32"/>
    <w:rsid w:val="00662104"/>
    <w:rsid w:val="006665C9"/>
    <w:rsid w:val="00667475"/>
    <w:rsid w:val="00671CE7"/>
    <w:rsid w:val="006726C0"/>
    <w:rsid w:val="00672AFF"/>
    <w:rsid w:val="006739C0"/>
    <w:rsid w:val="00673A78"/>
    <w:rsid w:val="0067403B"/>
    <w:rsid w:val="00681A9F"/>
    <w:rsid w:val="00682F10"/>
    <w:rsid w:val="00683D30"/>
    <w:rsid w:val="00684238"/>
    <w:rsid w:val="0068424A"/>
    <w:rsid w:val="00686B0B"/>
    <w:rsid w:val="00686D1F"/>
    <w:rsid w:val="006873C4"/>
    <w:rsid w:val="00687677"/>
    <w:rsid w:val="00687882"/>
    <w:rsid w:val="00691070"/>
    <w:rsid w:val="00691F93"/>
    <w:rsid w:val="00692F45"/>
    <w:rsid w:val="00693565"/>
    <w:rsid w:val="006960F0"/>
    <w:rsid w:val="00696166"/>
    <w:rsid w:val="006A154D"/>
    <w:rsid w:val="006A4CD1"/>
    <w:rsid w:val="006A51B3"/>
    <w:rsid w:val="006A592E"/>
    <w:rsid w:val="006B0D19"/>
    <w:rsid w:val="006B0DE8"/>
    <w:rsid w:val="006B3565"/>
    <w:rsid w:val="006B642D"/>
    <w:rsid w:val="006B73A9"/>
    <w:rsid w:val="006C2052"/>
    <w:rsid w:val="006D2602"/>
    <w:rsid w:val="006D32A7"/>
    <w:rsid w:val="006D50A8"/>
    <w:rsid w:val="006D678D"/>
    <w:rsid w:val="006D6C3A"/>
    <w:rsid w:val="006E0562"/>
    <w:rsid w:val="006E152B"/>
    <w:rsid w:val="006E462F"/>
    <w:rsid w:val="006E50F0"/>
    <w:rsid w:val="006E64F6"/>
    <w:rsid w:val="006E675A"/>
    <w:rsid w:val="006F26A9"/>
    <w:rsid w:val="006F2E78"/>
    <w:rsid w:val="006F3859"/>
    <w:rsid w:val="006F63B1"/>
    <w:rsid w:val="006F7497"/>
    <w:rsid w:val="00700409"/>
    <w:rsid w:val="00700DE9"/>
    <w:rsid w:val="00700F2F"/>
    <w:rsid w:val="00701260"/>
    <w:rsid w:val="007023F0"/>
    <w:rsid w:val="00703594"/>
    <w:rsid w:val="00703BC0"/>
    <w:rsid w:val="00704E6A"/>
    <w:rsid w:val="00706426"/>
    <w:rsid w:val="0070663A"/>
    <w:rsid w:val="00707420"/>
    <w:rsid w:val="00710DB2"/>
    <w:rsid w:val="007113FC"/>
    <w:rsid w:val="007243B0"/>
    <w:rsid w:val="00724BCE"/>
    <w:rsid w:val="00730627"/>
    <w:rsid w:val="00730C6B"/>
    <w:rsid w:val="00732BC8"/>
    <w:rsid w:val="007334A6"/>
    <w:rsid w:val="00737C0C"/>
    <w:rsid w:val="007402E9"/>
    <w:rsid w:val="00740AD8"/>
    <w:rsid w:val="00740B03"/>
    <w:rsid w:val="0074213D"/>
    <w:rsid w:val="007423A7"/>
    <w:rsid w:val="007428EC"/>
    <w:rsid w:val="007462A7"/>
    <w:rsid w:val="00746E60"/>
    <w:rsid w:val="00751FF2"/>
    <w:rsid w:val="007552F4"/>
    <w:rsid w:val="00760C2F"/>
    <w:rsid w:val="00762126"/>
    <w:rsid w:val="00764CAC"/>
    <w:rsid w:val="007675BB"/>
    <w:rsid w:val="007756E7"/>
    <w:rsid w:val="00776D45"/>
    <w:rsid w:val="00781F9E"/>
    <w:rsid w:val="0078211F"/>
    <w:rsid w:val="00783437"/>
    <w:rsid w:val="00784AE2"/>
    <w:rsid w:val="007870A2"/>
    <w:rsid w:val="007879BE"/>
    <w:rsid w:val="00787A33"/>
    <w:rsid w:val="00787FAD"/>
    <w:rsid w:val="00790D3A"/>
    <w:rsid w:val="00791173"/>
    <w:rsid w:val="00792041"/>
    <w:rsid w:val="00792BDF"/>
    <w:rsid w:val="00792BFE"/>
    <w:rsid w:val="00794069"/>
    <w:rsid w:val="007A0A6D"/>
    <w:rsid w:val="007A4FFC"/>
    <w:rsid w:val="007A6518"/>
    <w:rsid w:val="007A67AA"/>
    <w:rsid w:val="007A6A78"/>
    <w:rsid w:val="007A72BE"/>
    <w:rsid w:val="007A73ED"/>
    <w:rsid w:val="007B4F60"/>
    <w:rsid w:val="007B7C58"/>
    <w:rsid w:val="007C1613"/>
    <w:rsid w:val="007C40C4"/>
    <w:rsid w:val="007C4D82"/>
    <w:rsid w:val="007C56EC"/>
    <w:rsid w:val="007C7218"/>
    <w:rsid w:val="007D3848"/>
    <w:rsid w:val="007D55A4"/>
    <w:rsid w:val="007D6086"/>
    <w:rsid w:val="007E14FC"/>
    <w:rsid w:val="007E2DE7"/>
    <w:rsid w:val="007E2F41"/>
    <w:rsid w:val="007E577D"/>
    <w:rsid w:val="007E6379"/>
    <w:rsid w:val="007E6674"/>
    <w:rsid w:val="007E7DE5"/>
    <w:rsid w:val="007F0D50"/>
    <w:rsid w:val="007F41D9"/>
    <w:rsid w:val="007F597C"/>
    <w:rsid w:val="007F62A7"/>
    <w:rsid w:val="007F7173"/>
    <w:rsid w:val="00800201"/>
    <w:rsid w:val="008010A0"/>
    <w:rsid w:val="00803853"/>
    <w:rsid w:val="00804C69"/>
    <w:rsid w:val="00805104"/>
    <w:rsid w:val="00805299"/>
    <w:rsid w:val="00805EA4"/>
    <w:rsid w:val="0081475F"/>
    <w:rsid w:val="00814D3D"/>
    <w:rsid w:val="00815C99"/>
    <w:rsid w:val="008211C9"/>
    <w:rsid w:val="008234B4"/>
    <w:rsid w:val="008271A7"/>
    <w:rsid w:val="00831D70"/>
    <w:rsid w:val="00834948"/>
    <w:rsid w:val="0083574B"/>
    <w:rsid w:val="00835B86"/>
    <w:rsid w:val="00836D4F"/>
    <w:rsid w:val="00840B0B"/>
    <w:rsid w:val="0084259C"/>
    <w:rsid w:val="00842C6B"/>
    <w:rsid w:val="00851A33"/>
    <w:rsid w:val="008524D1"/>
    <w:rsid w:val="00852509"/>
    <w:rsid w:val="00854737"/>
    <w:rsid w:val="008548F1"/>
    <w:rsid w:val="008560B9"/>
    <w:rsid w:val="008570FF"/>
    <w:rsid w:val="008571BD"/>
    <w:rsid w:val="008647DD"/>
    <w:rsid w:val="008658B5"/>
    <w:rsid w:val="0086649D"/>
    <w:rsid w:val="008700AB"/>
    <w:rsid w:val="0087062D"/>
    <w:rsid w:val="00872C82"/>
    <w:rsid w:val="00873892"/>
    <w:rsid w:val="0087390A"/>
    <w:rsid w:val="0087442D"/>
    <w:rsid w:val="0087472B"/>
    <w:rsid w:val="00874A38"/>
    <w:rsid w:val="00874D48"/>
    <w:rsid w:val="00881553"/>
    <w:rsid w:val="008834C3"/>
    <w:rsid w:val="00883702"/>
    <w:rsid w:val="0088388A"/>
    <w:rsid w:val="00883A3D"/>
    <w:rsid w:val="00885C3E"/>
    <w:rsid w:val="00885E22"/>
    <w:rsid w:val="00886CC4"/>
    <w:rsid w:val="00887172"/>
    <w:rsid w:val="00887AEE"/>
    <w:rsid w:val="00887F80"/>
    <w:rsid w:val="00890856"/>
    <w:rsid w:val="00891D53"/>
    <w:rsid w:val="00892251"/>
    <w:rsid w:val="00892F0E"/>
    <w:rsid w:val="00892F45"/>
    <w:rsid w:val="00894421"/>
    <w:rsid w:val="008968D1"/>
    <w:rsid w:val="00897014"/>
    <w:rsid w:val="00897CAC"/>
    <w:rsid w:val="008A07B2"/>
    <w:rsid w:val="008A19C1"/>
    <w:rsid w:val="008A1C35"/>
    <w:rsid w:val="008A1D62"/>
    <w:rsid w:val="008A20C0"/>
    <w:rsid w:val="008A26E6"/>
    <w:rsid w:val="008A5622"/>
    <w:rsid w:val="008A7DD9"/>
    <w:rsid w:val="008B1940"/>
    <w:rsid w:val="008B332B"/>
    <w:rsid w:val="008B44B1"/>
    <w:rsid w:val="008B60DF"/>
    <w:rsid w:val="008C31FF"/>
    <w:rsid w:val="008C50D8"/>
    <w:rsid w:val="008C5C2F"/>
    <w:rsid w:val="008C7016"/>
    <w:rsid w:val="008C77B3"/>
    <w:rsid w:val="008D2AD8"/>
    <w:rsid w:val="008D2D58"/>
    <w:rsid w:val="008D3233"/>
    <w:rsid w:val="008E03F2"/>
    <w:rsid w:val="008E1523"/>
    <w:rsid w:val="008E180B"/>
    <w:rsid w:val="008E5F3F"/>
    <w:rsid w:val="008F060F"/>
    <w:rsid w:val="008F1572"/>
    <w:rsid w:val="008F3733"/>
    <w:rsid w:val="008F5A3B"/>
    <w:rsid w:val="008F5F96"/>
    <w:rsid w:val="008F7267"/>
    <w:rsid w:val="00904629"/>
    <w:rsid w:val="009047C7"/>
    <w:rsid w:val="009062AD"/>
    <w:rsid w:val="00907096"/>
    <w:rsid w:val="009104D4"/>
    <w:rsid w:val="00910CA5"/>
    <w:rsid w:val="0091456A"/>
    <w:rsid w:val="00916A7D"/>
    <w:rsid w:val="00917D1F"/>
    <w:rsid w:val="00921BC4"/>
    <w:rsid w:val="009230EA"/>
    <w:rsid w:val="0092405A"/>
    <w:rsid w:val="0092577F"/>
    <w:rsid w:val="0093195B"/>
    <w:rsid w:val="009329B2"/>
    <w:rsid w:val="0093371B"/>
    <w:rsid w:val="00933B15"/>
    <w:rsid w:val="00934498"/>
    <w:rsid w:val="00934AA5"/>
    <w:rsid w:val="00935139"/>
    <w:rsid w:val="00936BD4"/>
    <w:rsid w:val="0093791C"/>
    <w:rsid w:val="0094013C"/>
    <w:rsid w:val="00942435"/>
    <w:rsid w:val="009447B7"/>
    <w:rsid w:val="00944B6F"/>
    <w:rsid w:val="009554A8"/>
    <w:rsid w:val="009567E5"/>
    <w:rsid w:val="00956945"/>
    <w:rsid w:val="00956E1C"/>
    <w:rsid w:val="009616FC"/>
    <w:rsid w:val="00962E49"/>
    <w:rsid w:val="009633A3"/>
    <w:rsid w:val="0096359A"/>
    <w:rsid w:val="009649F7"/>
    <w:rsid w:val="009653FF"/>
    <w:rsid w:val="00972EF2"/>
    <w:rsid w:val="00973ADD"/>
    <w:rsid w:val="00975D32"/>
    <w:rsid w:val="00976488"/>
    <w:rsid w:val="00977ED1"/>
    <w:rsid w:val="0098006B"/>
    <w:rsid w:val="0098127F"/>
    <w:rsid w:val="00982CC9"/>
    <w:rsid w:val="00983149"/>
    <w:rsid w:val="009846B0"/>
    <w:rsid w:val="00984C5B"/>
    <w:rsid w:val="00984EBC"/>
    <w:rsid w:val="00985BF5"/>
    <w:rsid w:val="00987ED0"/>
    <w:rsid w:val="00990691"/>
    <w:rsid w:val="00991B5F"/>
    <w:rsid w:val="00992E3D"/>
    <w:rsid w:val="00994B1F"/>
    <w:rsid w:val="00995E4A"/>
    <w:rsid w:val="00996F87"/>
    <w:rsid w:val="009A15DE"/>
    <w:rsid w:val="009A1A6F"/>
    <w:rsid w:val="009A1C29"/>
    <w:rsid w:val="009A4FBE"/>
    <w:rsid w:val="009A50AE"/>
    <w:rsid w:val="009A7BF0"/>
    <w:rsid w:val="009B053D"/>
    <w:rsid w:val="009B1B8F"/>
    <w:rsid w:val="009B2314"/>
    <w:rsid w:val="009B56A4"/>
    <w:rsid w:val="009B56F9"/>
    <w:rsid w:val="009B715C"/>
    <w:rsid w:val="009C047D"/>
    <w:rsid w:val="009C1057"/>
    <w:rsid w:val="009C2184"/>
    <w:rsid w:val="009C3210"/>
    <w:rsid w:val="009C41DA"/>
    <w:rsid w:val="009C6325"/>
    <w:rsid w:val="009C6DDE"/>
    <w:rsid w:val="009D0264"/>
    <w:rsid w:val="009D08F0"/>
    <w:rsid w:val="009D0C43"/>
    <w:rsid w:val="009D11C1"/>
    <w:rsid w:val="009D43D7"/>
    <w:rsid w:val="009D4B8A"/>
    <w:rsid w:val="009D5DB6"/>
    <w:rsid w:val="009D6A71"/>
    <w:rsid w:val="009D745B"/>
    <w:rsid w:val="009D776B"/>
    <w:rsid w:val="009E010E"/>
    <w:rsid w:val="009E04BF"/>
    <w:rsid w:val="009E123A"/>
    <w:rsid w:val="009E20FE"/>
    <w:rsid w:val="009E59A4"/>
    <w:rsid w:val="009E5AE8"/>
    <w:rsid w:val="009E6B3C"/>
    <w:rsid w:val="009F2D60"/>
    <w:rsid w:val="009F4074"/>
    <w:rsid w:val="009F41EE"/>
    <w:rsid w:val="009F4861"/>
    <w:rsid w:val="00A00971"/>
    <w:rsid w:val="00A029E4"/>
    <w:rsid w:val="00A05E02"/>
    <w:rsid w:val="00A05EBB"/>
    <w:rsid w:val="00A06F03"/>
    <w:rsid w:val="00A116FE"/>
    <w:rsid w:val="00A11B9A"/>
    <w:rsid w:val="00A12186"/>
    <w:rsid w:val="00A1247B"/>
    <w:rsid w:val="00A12916"/>
    <w:rsid w:val="00A14143"/>
    <w:rsid w:val="00A1493C"/>
    <w:rsid w:val="00A149F4"/>
    <w:rsid w:val="00A154D9"/>
    <w:rsid w:val="00A25599"/>
    <w:rsid w:val="00A275F4"/>
    <w:rsid w:val="00A279CF"/>
    <w:rsid w:val="00A315E3"/>
    <w:rsid w:val="00A332F9"/>
    <w:rsid w:val="00A33B12"/>
    <w:rsid w:val="00A35725"/>
    <w:rsid w:val="00A375C9"/>
    <w:rsid w:val="00A37EEF"/>
    <w:rsid w:val="00A40744"/>
    <w:rsid w:val="00A41AB6"/>
    <w:rsid w:val="00A41B93"/>
    <w:rsid w:val="00A424E2"/>
    <w:rsid w:val="00A43B8B"/>
    <w:rsid w:val="00A51AE1"/>
    <w:rsid w:val="00A55072"/>
    <w:rsid w:val="00A5585C"/>
    <w:rsid w:val="00A56B35"/>
    <w:rsid w:val="00A56E72"/>
    <w:rsid w:val="00A61EDD"/>
    <w:rsid w:val="00A624F9"/>
    <w:rsid w:val="00A6263A"/>
    <w:rsid w:val="00A631B9"/>
    <w:rsid w:val="00A634F4"/>
    <w:rsid w:val="00A63B74"/>
    <w:rsid w:val="00A65183"/>
    <w:rsid w:val="00A657BD"/>
    <w:rsid w:val="00A6607E"/>
    <w:rsid w:val="00A661B0"/>
    <w:rsid w:val="00A66A0F"/>
    <w:rsid w:val="00A70F11"/>
    <w:rsid w:val="00A72BC5"/>
    <w:rsid w:val="00A73B3F"/>
    <w:rsid w:val="00A73CD7"/>
    <w:rsid w:val="00A74538"/>
    <w:rsid w:val="00A77811"/>
    <w:rsid w:val="00A81E50"/>
    <w:rsid w:val="00A81EAD"/>
    <w:rsid w:val="00A82DEB"/>
    <w:rsid w:val="00A835AA"/>
    <w:rsid w:val="00A86FAE"/>
    <w:rsid w:val="00A93982"/>
    <w:rsid w:val="00A958A9"/>
    <w:rsid w:val="00AA0829"/>
    <w:rsid w:val="00AA1FE5"/>
    <w:rsid w:val="00AA3459"/>
    <w:rsid w:val="00AA39B5"/>
    <w:rsid w:val="00AA4331"/>
    <w:rsid w:val="00AA51E7"/>
    <w:rsid w:val="00AA6852"/>
    <w:rsid w:val="00AA7765"/>
    <w:rsid w:val="00AA7B90"/>
    <w:rsid w:val="00AA7F57"/>
    <w:rsid w:val="00AB0F12"/>
    <w:rsid w:val="00AB1459"/>
    <w:rsid w:val="00AB3DEA"/>
    <w:rsid w:val="00AB5339"/>
    <w:rsid w:val="00AB54A9"/>
    <w:rsid w:val="00AB7928"/>
    <w:rsid w:val="00AC5A11"/>
    <w:rsid w:val="00AC70B1"/>
    <w:rsid w:val="00AC7946"/>
    <w:rsid w:val="00AC7EF6"/>
    <w:rsid w:val="00AD037A"/>
    <w:rsid w:val="00AD40A6"/>
    <w:rsid w:val="00AD4562"/>
    <w:rsid w:val="00AD5250"/>
    <w:rsid w:val="00AD5A7E"/>
    <w:rsid w:val="00AD5C66"/>
    <w:rsid w:val="00AD6255"/>
    <w:rsid w:val="00AE076C"/>
    <w:rsid w:val="00AE2681"/>
    <w:rsid w:val="00AE388F"/>
    <w:rsid w:val="00AF17A7"/>
    <w:rsid w:val="00AF3E45"/>
    <w:rsid w:val="00AF500A"/>
    <w:rsid w:val="00AF6A5C"/>
    <w:rsid w:val="00B01277"/>
    <w:rsid w:val="00B01572"/>
    <w:rsid w:val="00B0186B"/>
    <w:rsid w:val="00B03FBA"/>
    <w:rsid w:val="00B049DD"/>
    <w:rsid w:val="00B04AA2"/>
    <w:rsid w:val="00B05673"/>
    <w:rsid w:val="00B06F83"/>
    <w:rsid w:val="00B07BD2"/>
    <w:rsid w:val="00B11DF3"/>
    <w:rsid w:val="00B11FA7"/>
    <w:rsid w:val="00B13386"/>
    <w:rsid w:val="00B13967"/>
    <w:rsid w:val="00B1474E"/>
    <w:rsid w:val="00B21468"/>
    <w:rsid w:val="00B23B8D"/>
    <w:rsid w:val="00B24C4C"/>
    <w:rsid w:val="00B25E09"/>
    <w:rsid w:val="00B274C0"/>
    <w:rsid w:val="00B27D19"/>
    <w:rsid w:val="00B30B58"/>
    <w:rsid w:val="00B34135"/>
    <w:rsid w:val="00B3554B"/>
    <w:rsid w:val="00B36C61"/>
    <w:rsid w:val="00B376BF"/>
    <w:rsid w:val="00B41796"/>
    <w:rsid w:val="00B44E3A"/>
    <w:rsid w:val="00B463B6"/>
    <w:rsid w:val="00B50479"/>
    <w:rsid w:val="00B526C4"/>
    <w:rsid w:val="00B5636E"/>
    <w:rsid w:val="00B57B89"/>
    <w:rsid w:val="00B60097"/>
    <w:rsid w:val="00B608F7"/>
    <w:rsid w:val="00B60FB4"/>
    <w:rsid w:val="00B62CCA"/>
    <w:rsid w:val="00B62FBD"/>
    <w:rsid w:val="00B65EFF"/>
    <w:rsid w:val="00B65FB6"/>
    <w:rsid w:val="00B65FF1"/>
    <w:rsid w:val="00B6601C"/>
    <w:rsid w:val="00B6655C"/>
    <w:rsid w:val="00B6673F"/>
    <w:rsid w:val="00B70B60"/>
    <w:rsid w:val="00B721E5"/>
    <w:rsid w:val="00B724E1"/>
    <w:rsid w:val="00B72939"/>
    <w:rsid w:val="00B730C1"/>
    <w:rsid w:val="00B73D20"/>
    <w:rsid w:val="00B74E26"/>
    <w:rsid w:val="00B76446"/>
    <w:rsid w:val="00B76CD6"/>
    <w:rsid w:val="00B8219B"/>
    <w:rsid w:val="00B82C67"/>
    <w:rsid w:val="00B84622"/>
    <w:rsid w:val="00B84970"/>
    <w:rsid w:val="00B85C7D"/>
    <w:rsid w:val="00B869F4"/>
    <w:rsid w:val="00B92D40"/>
    <w:rsid w:val="00B933ED"/>
    <w:rsid w:val="00B93896"/>
    <w:rsid w:val="00B95087"/>
    <w:rsid w:val="00B953B9"/>
    <w:rsid w:val="00B956AB"/>
    <w:rsid w:val="00B95F16"/>
    <w:rsid w:val="00BA1867"/>
    <w:rsid w:val="00BA22B0"/>
    <w:rsid w:val="00BA22F5"/>
    <w:rsid w:val="00BA3208"/>
    <w:rsid w:val="00BA37B3"/>
    <w:rsid w:val="00BA4FA2"/>
    <w:rsid w:val="00BB5096"/>
    <w:rsid w:val="00BB575C"/>
    <w:rsid w:val="00BC315E"/>
    <w:rsid w:val="00BC484A"/>
    <w:rsid w:val="00BC596F"/>
    <w:rsid w:val="00BC648F"/>
    <w:rsid w:val="00BC752C"/>
    <w:rsid w:val="00BD08B6"/>
    <w:rsid w:val="00BD33F6"/>
    <w:rsid w:val="00BE0424"/>
    <w:rsid w:val="00BE0662"/>
    <w:rsid w:val="00BE1C89"/>
    <w:rsid w:val="00BE21CA"/>
    <w:rsid w:val="00BE2D8D"/>
    <w:rsid w:val="00BE727B"/>
    <w:rsid w:val="00BE7A84"/>
    <w:rsid w:val="00BF0DAE"/>
    <w:rsid w:val="00BF0EEA"/>
    <w:rsid w:val="00BF2E1E"/>
    <w:rsid w:val="00BF4A4C"/>
    <w:rsid w:val="00BF4DDB"/>
    <w:rsid w:val="00BF66B7"/>
    <w:rsid w:val="00C00315"/>
    <w:rsid w:val="00C0057F"/>
    <w:rsid w:val="00C03F98"/>
    <w:rsid w:val="00C03FFB"/>
    <w:rsid w:val="00C04743"/>
    <w:rsid w:val="00C07163"/>
    <w:rsid w:val="00C12093"/>
    <w:rsid w:val="00C1614B"/>
    <w:rsid w:val="00C162BA"/>
    <w:rsid w:val="00C202EA"/>
    <w:rsid w:val="00C21F2F"/>
    <w:rsid w:val="00C221DE"/>
    <w:rsid w:val="00C22ECD"/>
    <w:rsid w:val="00C25391"/>
    <w:rsid w:val="00C2553F"/>
    <w:rsid w:val="00C275F1"/>
    <w:rsid w:val="00C30290"/>
    <w:rsid w:val="00C31717"/>
    <w:rsid w:val="00C332AC"/>
    <w:rsid w:val="00C34FAE"/>
    <w:rsid w:val="00C35B46"/>
    <w:rsid w:val="00C37062"/>
    <w:rsid w:val="00C377D7"/>
    <w:rsid w:val="00C40974"/>
    <w:rsid w:val="00C40C0D"/>
    <w:rsid w:val="00C43C68"/>
    <w:rsid w:val="00C43EC0"/>
    <w:rsid w:val="00C440F6"/>
    <w:rsid w:val="00C44B3C"/>
    <w:rsid w:val="00C451D7"/>
    <w:rsid w:val="00C46BE0"/>
    <w:rsid w:val="00C51AD1"/>
    <w:rsid w:val="00C53708"/>
    <w:rsid w:val="00C538CA"/>
    <w:rsid w:val="00C53C43"/>
    <w:rsid w:val="00C562EB"/>
    <w:rsid w:val="00C566B7"/>
    <w:rsid w:val="00C57943"/>
    <w:rsid w:val="00C57B55"/>
    <w:rsid w:val="00C60B7E"/>
    <w:rsid w:val="00C60C03"/>
    <w:rsid w:val="00C617FA"/>
    <w:rsid w:val="00C6491B"/>
    <w:rsid w:val="00C65243"/>
    <w:rsid w:val="00C65A9C"/>
    <w:rsid w:val="00C66721"/>
    <w:rsid w:val="00C6746A"/>
    <w:rsid w:val="00C675D7"/>
    <w:rsid w:val="00C676FE"/>
    <w:rsid w:val="00C70886"/>
    <w:rsid w:val="00C71831"/>
    <w:rsid w:val="00C72D4D"/>
    <w:rsid w:val="00C73C52"/>
    <w:rsid w:val="00C74068"/>
    <w:rsid w:val="00C746BE"/>
    <w:rsid w:val="00C763D2"/>
    <w:rsid w:val="00C77496"/>
    <w:rsid w:val="00C77B2F"/>
    <w:rsid w:val="00C80146"/>
    <w:rsid w:val="00C80CD7"/>
    <w:rsid w:val="00C8394F"/>
    <w:rsid w:val="00C84158"/>
    <w:rsid w:val="00C84AE4"/>
    <w:rsid w:val="00C85003"/>
    <w:rsid w:val="00C87C5F"/>
    <w:rsid w:val="00C901BF"/>
    <w:rsid w:val="00C90AAC"/>
    <w:rsid w:val="00C912A1"/>
    <w:rsid w:val="00C913A9"/>
    <w:rsid w:val="00C926F4"/>
    <w:rsid w:val="00C92CA5"/>
    <w:rsid w:val="00C933D5"/>
    <w:rsid w:val="00C97139"/>
    <w:rsid w:val="00C97796"/>
    <w:rsid w:val="00CA1DD8"/>
    <w:rsid w:val="00CA1E03"/>
    <w:rsid w:val="00CA54B0"/>
    <w:rsid w:val="00CA6D5A"/>
    <w:rsid w:val="00CA6F27"/>
    <w:rsid w:val="00CA7CF1"/>
    <w:rsid w:val="00CA7F7A"/>
    <w:rsid w:val="00CB397D"/>
    <w:rsid w:val="00CB55BE"/>
    <w:rsid w:val="00CB6601"/>
    <w:rsid w:val="00CB667C"/>
    <w:rsid w:val="00CB6B38"/>
    <w:rsid w:val="00CB734F"/>
    <w:rsid w:val="00CC05C7"/>
    <w:rsid w:val="00CC06A2"/>
    <w:rsid w:val="00CC06B4"/>
    <w:rsid w:val="00CC0839"/>
    <w:rsid w:val="00CC097B"/>
    <w:rsid w:val="00CC2D2B"/>
    <w:rsid w:val="00CC4EF3"/>
    <w:rsid w:val="00CC5ECE"/>
    <w:rsid w:val="00CC79FA"/>
    <w:rsid w:val="00CC7CB8"/>
    <w:rsid w:val="00CC7DBC"/>
    <w:rsid w:val="00CC7FF8"/>
    <w:rsid w:val="00CD2C75"/>
    <w:rsid w:val="00CD2D82"/>
    <w:rsid w:val="00CD55D4"/>
    <w:rsid w:val="00CE0FC0"/>
    <w:rsid w:val="00CE6333"/>
    <w:rsid w:val="00CE657E"/>
    <w:rsid w:val="00CF0666"/>
    <w:rsid w:val="00CF08C1"/>
    <w:rsid w:val="00CF0F7B"/>
    <w:rsid w:val="00CF1EAF"/>
    <w:rsid w:val="00CF2080"/>
    <w:rsid w:val="00CF50FA"/>
    <w:rsid w:val="00CF629D"/>
    <w:rsid w:val="00CF64F5"/>
    <w:rsid w:val="00CF685B"/>
    <w:rsid w:val="00CF6D6B"/>
    <w:rsid w:val="00D0105F"/>
    <w:rsid w:val="00D023AD"/>
    <w:rsid w:val="00D03A06"/>
    <w:rsid w:val="00D05F2A"/>
    <w:rsid w:val="00D13AB0"/>
    <w:rsid w:val="00D14CAB"/>
    <w:rsid w:val="00D14FDE"/>
    <w:rsid w:val="00D15C0A"/>
    <w:rsid w:val="00D15EE4"/>
    <w:rsid w:val="00D17FDD"/>
    <w:rsid w:val="00D2392F"/>
    <w:rsid w:val="00D276D6"/>
    <w:rsid w:val="00D303EB"/>
    <w:rsid w:val="00D3148C"/>
    <w:rsid w:val="00D32732"/>
    <w:rsid w:val="00D341D9"/>
    <w:rsid w:val="00D366F3"/>
    <w:rsid w:val="00D42383"/>
    <w:rsid w:val="00D43897"/>
    <w:rsid w:val="00D43B46"/>
    <w:rsid w:val="00D44972"/>
    <w:rsid w:val="00D44F1A"/>
    <w:rsid w:val="00D45A87"/>
    <w:rsid w:val="00D46FEB"/>
    <w:rsid w:val="00D55E03"/>
    <w:rsid w:val="00D612A3"/>
    <w:rsid w:val="00D61466"/>
    <w:rsid w:val="00D6229F"/>
    <w:rsid w:val="00D62689"/>
    <w:rsid w:val="00D62A11"/>
    <w:rsid w:val="00D62CB5"/>
    <w:rsid w:val="00D62E1A"/>
    <w:rsid w:val="00D6380E"/>
    <w:rsid w:val="00D64E11"/>
    <w:rsid w:val="00D65040"/>
    <w:rsid w:val="00D65868"/>
    <w:rsid w:val="00D65F34"/>
    <w:rsid w:val="00D66112"/>
    <w:rsid w:val="00D666CA"/>
    <w:rsid w:val="00D67D6A"/>
    <w:rsid w:val="00D70980"/>
    <w:rsid w:val="00D7105D"/>
    <w:rsid w:val="00D748B3"/>
    <w:rsid w:val="00D74AC6"/>
    <w:rsid w:val="00D74D66"/>
    <w:rsid w:val="00D75D28"/>
    <w:rsid w:val="00D76261"/>
    <w:rsid w:val="00D7751E"/>
    <w:rsid w:val="00D813E0"/>
    <w:rsid w:val="00D81ACB"/>
    <w:rsid w:val="00D9714C"/>
    <w:rsid w:val="00D97312"/>
    <w:rsid w:val="00DA0E5F"/>
    <w:rsid w:val="00DA11AD"/>
    <w:rsid w:val="00DA31D3"/>
    <w:rsid w:val="00DA597D"/>
    <w:rsid w:val="00DA6430"/>
    <w:rsid w:val="00DB27B6"/>
    <w:rsid w:val="00DB2B79"/>
    <w:rsid w:val="00DB4FCC"/>
    <w:rsid w:val="00DB7381"/>
    <w:rsid w:val="00DC2247"/>
    <w:rsid w:val="00DC32A6"/>
    <w:rsid w:val="00DC524E"/>
    <w:rsid w:val="00DC6FFC"/>
    <w:rsid w:val="00DD203E"/>
    <w:rsid w:val="00DD2698"/>
    <w:rsid w:val="00DD562F"/>
    <w:rsid w:val="00DD79C2"/>
    <w:rsid w:val="00DE0EF7"/>
    <w:rsid w:val="00DE10AB"/>
    <w:rsid w:val="00DE2029"/>
    <w:rsid w:val="00DE2E94"/>
    <w:rsid w:val="00DE441F"/>
    <w:rsid w:val="00DE5282"/>
    <w:rsid w:val="00DF3EC0"/>
    <w:rsid w:val="00DF48C8"/>
    <w:rsid w:val="00DF4C47"/>
    <w:rsid w:val="00DF4EF8"/>
    <w:rsid w:val="00DF5AD8"/>
    <w:rsid w:val="00E00D23"/>
    <w:rsid w:val="00E03FFD"/>
    <w:rsid w:val="00E048FB"/>
    <w:rsid w:val="00E04A03"/>
    <w:rsid w:val="00E07BC4"/>
    <w:rsid w:val="00E10445"/>
    <w:rsid w:val="00E11720"/>
    <w:rsid w:val="00E1243A"/>
    <w:rsid w:val="00E131BD"/>
    <w:rsid w:val="00E14EE8"/>
    <w:rsid w:val="00E15BC6"/>
    <w:rsid w:val="00E16FD8"/>
    <w:rsid w:val="00E202CD"/>
    <w:rsid w:val="00E22A91"/>
    <w:rsid w:val="00E22C2E"/>
    <w:rsid w:val="00E25AA7"/>
    <w:rsid w:val="00E26F20"/>
    <w:rsid w:val="00E27047"/>
    <w:rsid w:val="00E277EE"/>
    <w:rsid w:val="00E30068"/>
    <w:rsid w:val="00E3100A"/>
    <w:rsid w:val="00E31EC3"/>
    <w:rsid w:val="00E326A8"/>
    <w:rsid w:val="00E32713"/>
    <w:rsid w:val="00E33C3E"/>
    <w:rsid w:val="00E37C70"/>
    <w:rsid w:val="00E43D3D"/>
    <w:rsid w:val="00E43FC9"/>
    <w:rsid w:val="00E47C8A"/>
    <w:rsid w:val="00E50E2E"/>
    <w:rsid w:val="00E50EEF"/>
    <w:rsid w:val="00E5267A"/>
    <w:rsid w:val="00E5281E"/>
    <w:rsid w:val="00E53D9F"/>
    <w:rsid w:val="00E54FCD"/>
    <w:rsid w:val="00E55B5B"/>
    <w:rsid w:val="00E57041"/>
    <w:rsid w:val="00E60455"/>
    <w:rsid w:val="00E6423D"/>
    <w:rsid w:val="00E642EC"/>
    <w:rsid w:val="00E64911"/>
    <w:rsid w:val="00E67A5E"/>
    <w:rsid w:val="00E70E4C"/>
    <w:rsid w:val="00E733A9"/>
    <w:rsid w:val="00E81C02"/>
    <w:rsid w:val="00E83539"/>
    <w:rsid w:val="00E83B79"/>
    <w:rsid w:val="00E84D37"/>
    <w:rsid w:val="00E8576E"/>
    <w:rsid w:val="00E86973"/>
    <w:rsid w:val="00E873CB"/>
    <w:rsid w:val="00E902DC"/>
    <w:rsid w:val="00E927F3"/>
    <w:rsid w:val="00E92FB2"/>
    <w:rsid w:val="00E93FE4"/>
    <w:rsid w:val="00E964B5"/>
    <w:rsid w:val="00E977DE"/>
    <w:rsid w:val="00E9783D"/>
    <w:rsid w:val="00EA2B3B"/>
    <w:rsid w:val="00EA3CC2"/>
    <w:rsid w:val="00EA4FC9"/>
    <w:rsid w:val="00EA576D"/>
    <w:rsid w:val="00EA6D30"/>
    <w:rsid w:val="00EA7741"/>
    <w:rsid w:val="00EB18CC"/>
    <w:rsid w:val="00EB1A3E"/>
    <w:rsid w:val="00EB504C"/>
    <w:rsid w:val="00EB5472"/>
    <w:rsid w:val="00EB609C"/>
    <w:rsid w:val="00EB6C59"/>
    <w:rsid w:val="00EC2178"/>
    <w:rsid w:val="00EC2DF4"/>
    <w:rsid w:val="00EC4A87"/>
    <w:rsid w:val="00EC593A"/>
    <w:rsid w:val="00EC7525"/>
    <w:rsid w:val="00ED08AE"/>
    <w:rsid w:val="00ED253E"/>
    <w:rsid w:val="00ED6065"/>
    <w:rsid w:val="00ED6A68"/>
    <w:rsid w:val="00ED754A"/>
    <w:rsid w:val="00EE03C6"/>
    <w:rsid w:val="00EE1E72"/>
    <w:rsid w:val="00EE2036"/>
    <w:rsid w:val="00EE5A3C"/>
    <w:rsid w:val="00EE5BFB"/>
    <w:rsid w:val="00EF09EA"/>
    <w:rsid w:val="00EF232A"/>
    <w:rsid w:val="00EF4415"/>
    <w:rsid w:val="00EF565B"/>
    <w:rsid w:val="00EF6747"/>
    <w:rsid w:val="00EF6A7C"/>
    <w:rsid w:val="00EF6AF4"/>
    <w:rsid w:val="00F03368"/>
    <w:rsid w:val="00F03C63"/>
    <w:rsid w:val="00F04ED4"/>
    <w:rsid w:val="00F07472"/>
    <w:rsid w:val="00F0783D"/>
    <w:rsid w:val="00F11CEB"/>
    <w:rsid w:val="00F1284E"/>
    <w:rsid w:val="00F129B0"/>
    <w:rsid w:val="00F13477"/>
    <w:rsid w:val="00F15A56"/>
    <w:rsid w:val="00F16EB0"/>
    <w:rsid w:val="00F1772F"/>
    <w:rsid w:val="00F17E38"/>
    <w:rsid w:val="00F2149C"/>
    <w:rsid w:val="00F22420"/>
    <w:rsid w:val="00F22BBD"/>
    <w:rsid w:val="00F26B99"/>
    <w:rsid w:val="00F27329"/>
    <w:rsid w:val="00F304AA"/>
    <w:rsid w:val="00F30FC8"/>
    <w:rsid w:val="00F32D67"/>
    <w:rsid w:val="00F33410"/>
    <w:rsid w:val="00F3500E"/>
    <w:rsid w:val="00F35256"/>
    <w:rsid w:val="00F35339"/>
    <w:rsid w:val="00F3787E"/>
    <w:rsid w:val="00F40B91"/>
    <w:rsid w:val="00F414FC"/>
    <w:rsid w:val="00F42893"/>
    <w:rsid w:val="00F4293F"/>
    <w:rsid w:val="00F440A5"/>
    <w:rsid w:val="00F47D19"/>
    <w:rsid w:val="00F47F75"/>
    <w:rsid w:val="00F509CD"/>
    <w:rsid w:val="00F54152"/>
    <w:rsid w:val="00F548E1"/>
    <w:rsid w:val="00F55AF8"/>
    <w:rsid w:val="00F5648E"/>
    <w:rsid w:val="00F614A2"/>
    <w:rsid w:val="00F70917"/>
    <w:rsid w:val="00F71957"/>
    <w:rsid w:val="00F7274B"/>
    <w:rsid w:val="00F84124"/>
    <w:rsid w:val="00F852C0"/>
    <w:rsid w:val="00F85670"/>
    <w:rsid w:val="00F930F6"/>
    <w:rsid w:val="00F939E2"/>
    <w:rsid w:val="00F96055"/>
    <w:rsid w:val="00F96789"/>
    <w:rsid w:val="00F97D22"/>
    <w:rsid w:val="00F97EB0"/>
    <w:rsid w:val="00FA02FB"/>
    <w:rsid w:val="00FA18CA"/>
    <w:rsid w:val="00FA2A38"/>
    <w:rsid w:val="00FA6B9C"/>
    <w:rsid w:val="00FA74C0"/>
    <w:rsid w:val="00FB0822"/>
    <w:rsid w:val="00FB2B62"/>
    <w:rsid w:val="00FB2F9C"/>
    <w:rsid w:val="00FB39E3"/>
    <w:rsid w:val="00FB42BD"/>
    <w:rsid w:val="00FB48A1"/>
    <w:rsid w:val="00FB49F6"/>
    <w:rsid w:val="00FC1EE1"/>
    <w:rsid w:val="00FC37D0"/>
    <w:rsid w:val="00FC5510"/>
    <w:rsid w:val="00FC5F2B"/>
    <w:rsid w:val="00FC74D2"/>
    <w:rsid w:val="00FD0630"/>
    <w:rsid w:val="00FD0819"/>
    <w:rsid w:val="00FD2AF2"/>
    <w:rsid w:val="00FD4F66"/>
    <w:rsid w:val="00FE590B"/>
    <w:rsid w:val="00FE5E09"/>
    <w:rsid w:val="00FE7958"/>
    <w:rsid w:val="00FF2358"/>
    <w:rsid w:val="00FF64AB"/>
    <w:rsid w:val="00FF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665B"/>
  <w15:docId w15:val="{0A1939CE-D5BE-4493-934F-E67B6DD4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paragraph" w:styleId="Heading2">
    <w:name w:val="heading 2"/>
    <w:basedOn w:val="Default"/>
    <w:next w:val="Default"/>
    <w:link w:val="Heading2Char"/>
    <w:qFormat/>
    <w:rsid w:val="007C1613"/>
    <w:p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character" w:customStyle="1" w:styleId="Heading2Char">
    <w:name w:val="Heading 2 Char"/>
    <w:basedOn w:val="DefaultParagraphFont"/>
    <w:link w:val="Heading2"/>
    <w:rsid w:val="007C1613"/>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267350978">
      <w:bodyDiv w:val="1"/>
      <w:marLeft w:val="0"/>
      <w:marRight w:val="0"/>
      <w:marTop w:val="0"/>
      <w:marBottom w:val="0"/>
      <w:divBdr>
        <w:top w:val="none" w:sz="0" w:space="0" w:color="auto"/>
        <w:left w:val="none" w:sz="0" w:space="0" w:color="auto"/>
        <w:bottom w:val="none" w:sz="0" w:space="0" w:color="auto"/>
        <w:right w:val="none" w:sz="0" w:space="0" w:color="auto"/>
      </w:divBdr>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 w:id="167819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58BB93-88DD-43B4-A408-129D2FD9428B}"/>
</file>

<file path=customXml/itemProps2.xml><?xml version="1.0" encoding="utf-8"?>
<ds:datastoreItem xmlns:ds="http://schemas.openxmlformats.org/officeDocument/2006/customXml" ds:itemID="{0047C68F-83EF-4FE7-B85D-E905D06BEB7F}"/>
</file>

<file path=customXml/itemProps3.xml><?xml version="1.0" encoding="utf-8"?>
<ds:datastoreItem xmlns:ds="http://schemas.openxmlformats.org/officeDocument/2006/customXml" ds:itemID="{60D327B2-7A5C-4BDC-BDB1-03EBDC4549C8}"/>
</file>

<file path=customXml/itemProps4.xml><?xml version="1.0" encoding="utf-8"?>
<ds:datastoreItem xmlns:ds="http://schemas.openxmlformats.org/officeDocument/2006/customXml" ds:itemID="{92718430-F268-4999-96C1-0C75FCE54870}"/>
</file>

<file path=docProps/app.xml><?xml version="1.0" encoding="utf-8"?>
<Properties xmlns="http://schemas.openxmlformats.org/officeDocument/2006/extended-properties" xmlns:vt="http://schemas.openxmlformats.org/officeDocument/2006/docPropsVTypes">
  <Template>Normal</Template>
  <TotalTime>1</TotalTime>
  <Pages>7</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2</cp:revision>
  <cp:lastPrinted>2019-12-05T06:52:00Z</cp:lastPrinted>
  <dcterms:created xsi:type="dcterms:W3CDTF">2021-05-13T09:07:00Z</dcterms:created>
  <dcterms:modified xsi:type="dcterms:W3CDTF">2021-05-13T09:07:00Z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