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4D3" w:rsidRDefault="00E634D3" w:rsidP="00DB623C">
      <w:pPr>
        <w:spacing w:after="0" w:line="360" w:lineRule="auto"/>
        <w:jc w:val="center"/>
        <w:rPr>
          <w:b/>
          <w:sz w:val="32"/>
        </w:rPr>
      </w:pPr>
      <w:bookmarkStart w:id="0" w:name="_GoBack"/>
      <w:bookmarkEnd w:id="0"/>
      <w:r w:rsidRPr="009F3C3C">
        <w:rPr>
          <w:b/>
          <w:sz w:val="32"/>
        </w:rPr>
        <w:t>EMPLOYMENT RELATIONS TRIBUNAL</w:t>
      </w:r>
    </w:p>
    <w:p w:rsidR="00DB623C" w:rsidRPr="00CF3C6A" w:rsidRDefault="00DB623C" w:rsidP="00DB623C">
      <w:pPr>
        <w:spacing w:after="0" w:line="360" w:lineRule="auto"/>
        <w:jc w:val="center"/>
        <w:rPr>
          <w:b/>
          <w:sz w:val="24"/>
        </w:rPr>
      </w:pPr>
    </w:p>
    <w:p w:rsidR="00CF3C6A" w:rsidRPr="009B282A" w:rsidRDefault="00E634D3" w:rsidP="009B282A">
      <w:pPr>
        <w:spacing w:after="0" w:line="360" w:lineRule="auto"/>
        <w:jc w:val="center"/>
        <w:rPr>
          <w:b/>
          <w:sz w:val="32"/>
        </w:rPr>
      </w:pPr>
      <w:r>
        <w:rPr>
          <w:b/>
          <w:sz w:val="32"/>
        </w:rPr>
        <w:t>RULING</w:t>
      </w:r>
    </w:p>
    <w:p w:rsidR="00E634D3" w:rsidRPr="009F3C3C" w:rsidRDefault="00E634D3" w:rsidP="00E634D3">
      <w:pPr>
        <w:spacing w:after="0" w:line="360" w:lineRule="auto"/>
        <w:jc w:val="both"/>
        <w:rPr>
          <w:sz w:val="24"/>
        </w:rPr>
      </w:pPr>
      <w:r w:rsidRPr="009F3C3C">
        <w:rPr>
          <w:b/>
          <w:i/>
          <w:sz w:val="24"/>
        </w:rPr>
        <w:t>Before:</w:t>
      </w:r>
      <w:r w:rsidRPr="009F3C3C">
        <w:rPr>
          <w:sz w:val="24"/>
        </w:rPr>
        <w:t xml:space="preserve"> </w:t>
      </w:r>
      <w:r w:rsidRPr="009F3C3C">
        <w:rPr>
          <w:b/>
          <w:sz w:val="24"/>
        </w:rPr>
        <w:t>-</w:t>
      </w:r>
      <w:r w:rsidRPr="009F3C3C">
        <w:rPr>
          <w:sz w:val="24"/>
        </w:rPr>
        <w:t xml:space="preserve"> </w:t>
      </w:r>
    </w:p>
    <w:p w:rsidR="00E634D3" w:rsidRPr="009F3C3C" w:rsidRDefault="00E634D3" w:rsidP="00E634D3">
      <w:pPr>
        <w:spacing w:after="0" w:line="276" w:lineRule="auto"/>
        <w:ind w:left="1440"/>
        <w:jc w:val="both"/>
        <w:rPr>
          <w:b/>
          <w:sz w:val="24"/>
        </w:rPr>
      </w:pPr>
    </w:p>
    <w:p w:rsidR="00E634D3" w:rsidRPr="009F3C3C" w:rsidRDefault="00D84FF4" w:rsidP="00D84FF4">
      <w:pPr>
        <w:spacing w:after="0" w:line="360" w:lineRule="auto"/>
        <w:ind w:left="1440" w:firstLine="720"/>
        <w:jc w:val="both"/>
        <w:rPr>
          <w:b/>
          <w:sz w:val="24"/>
        </w:rPr>
      </w:pPr>
      <w:r>
        <w:rPr>
          <w:b/>
          <w:sz w:val="24"/>
        </w:rPr>
        <w:t>Shameer Janhangeer</w:t>
      </w:r>
      <w:r>
        <w:rPr>
          <w:b/>
          <w:sz w:val="24"/>
        </w:rPr>
        <w:tab/>
      </w:r>
      <w:r>
        <w:rPr>
          <w:b/>
          <w:sz w:val="24"/>
        </w:rPr>
        <w:tab/>
      </w:r>
      <w:r w:rsidR="00E634D3" w:rsidRPr="009F3C3C">
        <w:rPr>
          <w:b/>
          <w:sz w:val="24"/>
        </w:rPr>
        <w:t xml:space="preserve">- </w:t>
      </w:r>
      <w:r w:rsidR="00E634D3" w:rsidRPr="009F3C3C">
        <w:rPr>
          <w:b/>
          <w:sz w:val="24"/>
        </w:rPr>
        <w:tab/>
      </w:r>
      <w:r w:rsidR="00E634D3" w:rsidRPr="009F3C3C">
        <w:rPr>
          <w:b/>
          <w:sz w:val="24"/>
        </w:rPr>
        <w:tab/>
        <w:t>Vice-President</w:t>
      </w:r>
    </w:p>
    <w:p w:rsidR="00E634D3" w:rsidRPr="009F3C3C" w:rsidRDefault="00D84FF4" w:rsidP="00D84FF4">
      <w:pPr>
        <w:spacing w:after="0" w:line="360" w:lineRule="auto"/>
        <w:ind w:left="1440" w:firstLine="720"/>
        <w:jc w:val="both"/>
        <w:rPr>
          <w:b/>
          <w:sz w:val="24"/>
        </w:rPr>
      </w:pPr>
      <w:r>
        <w:rPr>
          <w:b/>
          <w:sz w:val="24"/>
        </w:rPr>
        <w:t>Francis Supparayen</w:t>
      </w:r>
      <w:r>
        <w:rPr>
          <w:b/>
          <w:sz w:val="24"/>
        </w:rPr>
        <w:tab/>
      </w:r>
      <w:r>
        <w:rPr>
          <w:b/>
          <w:sz w:val="24"/>
        </w:rPr>
        <w:tab/>
      </w:r>
      <w:r w:rsidR="00E634D3" w:rsidRPr="009F3C3C">
        <w:rPr>
          <w:b/>
          <w:sz w:val="24"/>
        </w:rPr>
        <w:t xml:space="preserve">- </w:t>
      </w:r>
      <w:r w:rsidR="00E634D3" w:rsidRPr="009F3C3C">
        <w:rPr>
          <w:b/>
          <w:sz w:val="24"/>
        </w:rPr>
        <w:tab/>
      </w:r>
      <w:r w:rsidR="00E634D3" w:rsidRPr="009F3C3C">
        <w:rPr>
          <w:b/>
          <w:sz w:val="24"/>
        </w:rPr>
        <w:tab/>
        <w:t>Member</w:t>
      </w:r>
    </w:p>
    <w:p w:rsidR="00E634D3" w:rsidRPr="009F3C3C" w:rsidRDefault="00D84FF4" w:rsidP="00D84FF4">
      <w:pPr>
        <w:spacing w:after="0" w:line="360" w:lineRule="auto"/>
        <w:ind w:left="1440" w:firstLine="720"/>
        <w:jc w:val="both"/>
        <w:rPr>
          <w:b/>
          <w:sz w:val="24"/>
        </w:rPr>
      </w:pPr>
      <w:r>
        <w:rPr>
          <w:b/>
          <w:sz w:val="24"/>
        </w:rPr>
        <w:t>Rabin Gungoo</w:t>
      </w:r>
      <w:r>
        <w:rPr>
          <w:b/>
          <w:sz w:val="24"/>
        </w:rPr>
        <w:tab/>
      </w:r>
      <w:r>
        <w:rPr>
          <w:b/>
          <w:sz w:val="24"/>
        </w:rPr>
        <w:tab/>
      </w:r>
      <w:r>
        <w:rPr>
          <w:b/>
          <w:sz w:val="24"/>
        </w:rPr>
        <w:tab/>
      </w:r>
      <w:r w:rsidR="00E634D3" w:rsidRPr="009F3C3C">
        <w:rPr>
          <w:b/>
          <w:sz w:val="24"/>
        </w:rPr>
        <w:t>-</w:t>
      </w:r>
      <w:r w:rsidR="00E634D3" w:rsidRPr="009F3C3C">
        <w:rPr>
          <w:b/>
          <w:sz w:val="24"/>
        </w:rPr>
        <w:tab/>
      </w:r>
      <w:r w:rsidR="00E634D3" w:rsidRPr="009F3C3C">
        <w:rPr>
          <w:b/>
          <w:sz w:val="24"/>
        </w:rPr>
        <w:tab/>
        <w:t>Member</w:t>
      </w:r>
    </w:p>
    <w:p w:rsidR="00E634D3" w:rsidRPr="009F3C3C" w:rsidRDefault="00E634D3" w:rsidP="00D84FF4">
      <w:pPr>
        <w:spacing w:after="0" w:line="360" w:lineRule="auto"/>
        <w:ind w:left="1440" w:firstLine="720"/>
        <w:jc w:val="both"/>
        <w:rPr>
          <w:b/>
          <w:sz w:val="24"/>
        </w:rPr>
      </w:pPr>
      <w:r>
        <w:rPr>
          <w:b/>
          <w:sz w:val="24"/>
        </w:rPr>
        <w:t>Kevin C. Lukeeram</w:t>
      </w:r>
      <w:r>
        <w:rPr>
          <w:b/>
          <w:sz w:val="24"/>
        </w:rPr>
        <w:tab/>
      </w:r>
      <w:r w:rsidR="00D84FF4">
        <w:rPr>
          <w:b/>
          <w:sz w:val="24"/>
        </w:rPr>
        <w:tab/>
      </w:r>
      <w:r w:rsidRPr="009F3C3C">
        <w:rPr>
          <w:b/>
          <w:sz w:val="24"/>
        </w:rPr>
        <w:t>-</w:t>
      </w:r>
      <w:r w:rsidRPr="009F3C3C">
        <w:rPr>
          <w:b/>
          <w:sz w:val="24"/>
        </w:rPr>
        <w:tab/>
      </w:r>
      <w:r w:rsidRPr="009F3C3C">
        <w:rPr>
          <w:b/>
          <w:sz w:val="24"/>
        </w:rPr>
        <w:tab/>
        <w:t>Member</w:t>
      </w:r>
    </w:p>
    <w:p w:rsidR="00E634D3" w:rsidRPr="009F3C3C" w:rsidRDefault="00E634D3" w:rsidP="00E634D3">
      <w:pPr>
        <w:spacing w:after="0" w:line="276" w:lineRule="auto"/>
        <w:jc w:val="both"/>
        <w:rPr>
          <w:b/>
          <w:sz w:val="24"/>
        </w:rPr>
      </w:pPr>
    </w:p>
    <w:p w:rsidR="00E634D3" w:rsidRPr="009F3C3C" w:rsidRDefault="00E634D3" w:rsidP="00E634D3">
      <w:pPr>
        <w:spacing w:after="0" w:line="360" w:lineRule="auto"/>
        <w:jc w:val="both"/>
        <w:rPr>
          <w:b/>
          <w:i/>
          <w:sz w:val="24"/>
        </w:rPr>
      </w:pPr>
      <w:r w:rsidRPr="009F3C3C">
        <w:rPr>
          <w:b/>
          <w:i/>
          <w:sz w:val="24"/>
        </w:rPr>
        <w:t>In the matter</w:t>
      </w:r>
      <w:r w:rsidR="00D84FF4">
        <w:rPr>
          <w:b/>
          <w:i/>
          <w:sz w:val="24"/>
        </w:rPr>
        <w:t>s</w:t>
      </w:r>
      <w:r w:rsidRPr="009F3C3C">
        <w:rPr>
          <w:b/>
          <w:i/>
          <w:sz w:val="24"/>
        </w:rPr>
        <w:t xml:space="preserve"> of: -</w:t>
      </w:r>
    </w:p>
    <w:p w:rsidR="00E634D3" w:rsidRDefault="00E634D3" w:rsidP="00E634D3">
      <w:pPr>
        <w:spacing w:after="0" w:line="276" w:lineRule="auto"/>
        <w:jc w:val="both"/>
        <w:rPr>
          <w:sz w:val="24"/>
        </w:rPr>
      </w:pPr>
    </w:p>
    <w:p w:rsidR="00E634D3" w:rsidRPr="00014CED" w:rsidRDefault="00E634D3" w:rsidP="00014CED">
      <w:pPr>
        <w:spacing w:after="0" w:line="360" w:lineRule="auto"/>
        <w:jc w:val="both"/>
        <w:rPr>
          <w:b/>
          <w:sz w:val="24"/>
        </w:rPr>
      </w:pPr>
      <w:r>
        <w:rPr>
          <w:sz w:val="24"/>
        </w:rPr>
        <w:tab/>
      </w:r>
      <w:r w:rsidRPr="009F3C3C">
        <w:rPr>
          <w:b/>
          <w:sz w:val="24"/>
        </w:rPr>
        <w:t xml:space="preserve">ERT/RN </w:t>
      </w:r>
      <w:r>
        <w:rPr>
          <w:b/>
          <w:sz w:val="24"/>
        </w:rPr>
        <w:t>9</w:t>
      </w:r>
      <w:r w:rsidRPr="009F3C3C">
        <w:rPr>
          <w:b/>
          <w:sz w:val="24"/>
        </w:rPr>
        <w:t>/20</w:t>
      </w:r>
      <w:r>
        <w:rPr>
          <w:b/>
          <w:sz w:val="24"/>
        </w:rPr>
        <w:t>20</w:t>
      </w:r>
    </w:p>
    <w:p w:rsidR="00E634D3" w:rsidRPr="00E634D3" w:rsidRDefault="00E634D3" w:rsidP="00E634D3">
      <w:pPr>
        <w:spacing w:after="0" w:line="276" w:lineRule="auto"/>
        <w:jc w:val="center"/>
        <w:rPr>
          <w:b/>
          <w:sz w:val="28"/>
          <w:lang w:val="en-GB"/>
        </w:rPr>
      </w:pPr>
      <w:r w:rsidRPr="00E634D3">
        <w:rPr>
          <w:b/>
          <w:sz w:val="28"/>
          <w:lang w:val="en-GB"/>
        </w:rPr>
        <w:t xml:space="preserve">Mr Kajeerow </w:t>
      </w:r>
      <w:r w:rsidR="00243325" w:rsidRPr="00E634D3">
        <w:rPr>
          <w:b/>
          <w:sz w:val="28"/>
          <w:lang w:val="en-GB"/>
        </w:rPr>
        <w:t xml:space="preserve">COONLIC </w:t>
      </w:r>
    </w:p>
    <w:p w:rsidR="00E634D3" w:rsidRPr="009F3C3C" w:rsidRDefault="00E634D3" w:rsidP="00E634D3">
      <w:pPr>
        <w:spacing w:after="0" w:line="276" w:lineRule="auto"/>
        <w:jc w:val="right"/>
        <w:rPr>
          <w:sz w:val="24"/>
        </w:rPr>
      </w:pPr>
      <w:r w:rsidRPr="009F3C3C">
        <w:rPr>
          <w:i/>
          <w:sz w:val="24"/>
        </w:rPr>
        <w:t>Disputant</w:t>
      </w:r>
    </w:p>
    <w:p w:rsidR="00E634D3" w:rsidRPr="009F3C3C" w:rsidRDefault="00E634D3" w:rsidP="00E634D3">
      <w:pPr>
        <w:spacing w:after="0" w:line="276" w:lineRule="auto"/>
        <w:jc w:val="center"/>
        <w:rPr>
          <w:sz w:val="24"/>
        </w:rPr>
      </w:pPr>
      <w:r w:rsidRPr="009F3C3C">
        <w:rPr>
          <w:sz w:val="24"/>
        </w:rPr>
        <w:t>and</w:t>
      </w:r>
    </w:p>
    <w:p w:rsidR="00E634D3" w:rsidRPr="009F3C3C" w:rsidRDefault="00E634D3" w:rsidP="00E634D3">
      <w:pPr>
        <w:spacing w:after="0" w:line="276" w:lineRule="auto"/>
        <w:jc w:val="both"/>
        <w:rPr>
          <w:b/>
          <w:sz w:val="24"/>
        </w:rPr>
      </w:pPr>
    </w:p>
    <w:p w:rsidR="00E634D3" w:rsidRPr="009F3C3C" w:rsidRDefault="00E634D3" w:rsidP="00E634D3">
      <w:pPr>
        <w:spacing w:after="0" w:line="276" w:lineRule="auto"/>
        <w:jc w:val="center"/>
        <w:rPr>
          <w:b/>
          <w:sz w:val="28"/>
        </w:rPr>
      </w:pPr>
      <w:r>
        <w:rPr>
          <w:b/>
          <w:sz w:val="28"/>
        </w:rPr>
        <w:t>MAURITIUS TELECOM LTD</w:t>
      </w:r>
    </w:p>
    <w:p w:rsidR="00311783" w:rsidRPr="00E634D3" w:rsidRDefault="00E634D3" w:rsidP="00E634D3">
      <w:pPr>
        <w:spacing w:after="0" w:line="276" w:lineRule="auto"/>
        <w:jc w:val="right"/>
        <w:rPr>
          <w:sz w:val="24"/>
          <w:lang w:val="en-GB"/>
        </w:rPr>
      </w:pPr>
      <w:r w:rsidRPr="009F3C3C">
        <w:rPr>
          <w:i/>
          <w:sz w:val="24"/>
        </w:rPr>
        <w:t>Responde</w:t>
      </w:r>
      <w:r>
        <w:rPr>
          <w:i/>
          <w:sz w:val="24"/>
        </w:rPr>
        <w:t>nt</w:t>
      </w:r>
    </w:p>
    <w:p w:rsidR="00DF37AF" w:rsidRDefault="00DF37AF" w:rsidP="00DF37AF">
      <w:pPr>
        <w:spacing w:after="0" w:line="360" w:lineRule="auto"/>
        <w:ind w:firstLine="720"/>
        <w:jc w:val="both"/>
        <w:rPr>
          <w:sz w:val="24"/>
          <w:lang w:val="en-GB"/>
        </w:rPr>
      </w:pPr>
    </w:p>
    <w:p w:rsidR="000B7565" w:rsidRPr="003D09A9" w:rsidRDefault="000B7565" w:rsidP="00DF37AF">
      <w:pPr>
        <w:spacing w:after="0" w:line="360" w:lineRule="auto"/>
        <w:ind w:firstLine="720"/>
        <w:jc w:val="both"/>
        <w:rPr>
          <w:b/>
          <w:sz w:val="24"/>
        </w:rPr>
      </w:pPr>
      <w:r w:rsidRPr="003D09A9">
        <w:rPr>
          <w:b/>
          <w:sz w:val="24"/>
        </w:rPr>
        <w:t>ERT/RN 10/2020</w:t>
      </w:r>
    </w:p>
    <w:p w:rsidR="000B7565" w:rsidRPr="000B7565" w:rsidRDefault="000B7565" w:rsidP="000B7565">
      <w:pPr>
        <w:spacing w:after="0" w:line="276" w:lineRule="auto"/>
        <w:jc w:val="center"/>
        <w:rPr>
          <w:b/>
          <w:sz w:val="28"/>
          <w:lang w:val="fr-FR"/>
        </w:rPr>
      </w:pPr>
      <w:r w:rsidRPr="000B7565">
        <w:rPr>
          <w:b/>
          <w:sz w:val="28"/>
          <w:lang w:val="fr-FR"/>
        </w:rPr>
        <w:t xml:space="preserve">Mr Marie Sylvestre Elie JULIE </w:t>
      </w:r>
    </w:p>
    <w:p w:rsidR="000B7565" w:rsidRPr="003D09A9" w:rsidRDefault="000B7565" w:rsidP="000B7565">
      <w:pPr>
        <w:spacing w:after="0" w:line="276" w:lineRule="auto"/>
        <w:jc w:val="right"/>
        <w:rPr>
          <w:sz w:val="24"/>
          <w:lang w:val="fr-FR"/>
        </w:rPr>
      </w:pPr>
      <w:r w:rsidRPr="003D09A9">
        <w:rPr>
          <w:i/>
          <w:sz w:val="24"/>
          <w:lang w:val="fr-FR"/>
        </w:rPr>
        <w:t>Disputant</w:t>
      </w:r>
    </w:p>
    <w:p w:rsidR="000B7565" w:rsidRPr="009F3C3C" w:rsidRDefault="000B7565" w:rsidP="000B7565">
      <w:pPr>
        <w:spacing w:after="0" w:line="276" w:lineRule="auto"/>
        <w:jc w:val="center"/>
        <w:rPr>
          <w:sz w:val="24"/>
        </w:rPr>
      </w:pPr>
      <w:r w:rsidRPr="009F3C3C">
        <w:rPr>
          <w:sz w:val="24"/>
        </w:rPr>
        <w:t>and</w:t>
      </w:r>
    </w:p>
    <w:p w:rsidR="000B7565" w:rsidRPr="009F3C3C" w:rsidRDefault="000B7565" w:rsidP="000B7565">
      <w:pPr>
        <w:spacing w:after="0" w:line="276" w:lineRule="auto"/>
        <w:jc w:val="both"/>
        <w:rPr>
          <w:b/>
          <w:sz w:val="24"/>
        </w:rPr>
      </w:pPr>
    </w:p>
    <w:p w:rsidR="000B7565" w:rsidRPr="009F3C3C" w:rsidRDefault="000B7565" w:rsidP="000B7565">
      <w:pPr>
        <w:spacing w:after="0" w:line="276" w:lineRule="auto"/>
        <w:jc w:val="center"/>
        <w:rPr>
          <w:b/>
          <w:sz w:val="28"/>
        </w:rPr>
      </w:pPr>
      <w:r>
        <w:rPr>
          <w:b/>
          <w:sz w:val="28"/>
        </w:rPr>
        <w:t>MAURITIUS TELECOM LTD</w:t>
      </w:r>
    </w:p>
    <w:p w:rsidR="000B7565" w:rsidRDefault="000B7565" w:rsidP="00DF37AF">
      <w:pPr>
        <w:spacing w:after="0" w:line="276" w:lineRule="auto"/>
        <w:jc w:val="right"/>
        <w:rPr>
          <w:i/>
          <w:sz w:val="24"/>
        </w:rPr>
      </w:pPr>
      <w:r w:rsidRPr="009F3C3C">
        <w:rPr>
          <w:i/>
          <w:sz w:val="24"/>
        </w:rPr>
        <w:t>Responde</w:t>
      </w:r>
      <w:r>
        <w:rPr>
          <w:i/>
          <w:sz w:val="24"/>
        </w:rPr>
        <w:t>nt</w:t>
      </w:r>
    </w:p>
    <w:p w:rsidR="00DF37AF" w:rsidRPr="00DF37AF" w:rsidRDefault="00DF37AF" w:rsidP="00DF37AF">
      <w:pPr>
        <w:spacing w:after="0" w:line="276" w:lineRule="auto"/>
        <w:jc w:val="right"/>
        <w:rPr>
          <w:i/>
          <w:sz w:val="24"/>
        </w:rPr>
      </w:pPr>
    </w:p>
    <w:p w:rsidR="000B7565" w:rsidRPr="00014CED" w:rsidRDefault="000B7565" w:rsidP="00014CED">
      <w:pPr>
        <w:spacing w:after="0" w:line="360" w:lineRule="auto"/>
        <w:ind w:firstLine="720"/>
        <w:jc w:val="both"/>
        <w:rPr>
          <w:b/>
          <w:sz w:val="24"/>
        </w:rPr>
      </w:pPr>
      <w:r w:rsidRPr="009F3C3C">
        <w:rPr>
          <w:b/>
          <w:sz w:val="24"/>
        </w:rPr>
        <w:t xml:space="preserve">ERT/RN </w:t>
      </w:r>
      <w:r w:rsidR="00CA4D54">
        <w:rPr>
          <w:b/>
          <w:sz w:val="24"/>
        </w:rPr>
        <w:t>11</w:t>
      </w:r>
      <w:r w:rsidRPr="009F3C3C">
        <w:rPr>
          <w:b/>
          <w:sz w:val="24"/>
        </w:rPr>
        <w:t>/20</w:t>
      </w:r>
      <w:r>
        <w:rPr>
          <w:b/>
          <w:sz w:val="24"/>
        </w:rPr>
        <w:t>20</w:t>
      </w:r>
    </w:p>
    <w:p w:rsidR="000B7565" w:rsidRPr="00E634D3" w:rsidRDefault="000B7565" w:rsidP="000B7565">
      <w:pPr>
        <w:spacing w:after="0" w:line="276" w:lineRule="auto"/>
        <w:jc w:val="center"/>
        <w:rPr>
          <w:b/>
          <w:sz w:val="28"/>
          <w:lang w:val="en-GB"/>
        </w:rPr>
      </w:pPr>
      <w:r w:rsidRPr="00E634D3">
        <w:rPr>
          <w:b/>
          <w:sz w:val="28"/>
          <w:lang w:val="en-GB"/>
        </w:rPr>
        <w:t xml:space="preserve">Mr </w:t>
      </w:r>
      <w:r w:rsidR="00CA4D54">
        <w:rPr>
          <w:b/>
          <w:sz w:val="28"/>
          <w:lang w:val="en-GB"/>
        </w:rPr>
        <w:t>Jean Joseph DAVASGAIUM</w:t>
      </w:r>
      <w:r w:rsidRPr="00E634D3">
        <w:rPr>
          <w:b/>
          <w:sz w:val="28"/>
          <w:lang w:val="en-GB"/>
        </w:rPr>
        <w:t xml:space="preserve"> </w:t>
      </w:r>
    </w:p>
    <w:p w:rsidR="000B7565" w:rsidRPr="009F3C3C" w:rsidRDefault="000B7565" w:rsidP="000B7565">
      <w:pPr>
        <w:spacing w:after="0" w:line="276" w:lineRule="auto"/>
        <w:jc w:val="right"/>
        <w:rPr>
          <w:sz w:val="24"/>
        </w:rPr>
      </w:pPr>
      <w:r w:rsidRPr="009F3C3C">
        <w:rPr>
          <w:i/>
          <w:sz w:val="24"/>
        </w:rPr>
        <w:t>Disputant</w:t>
      </w:r>
    </w:p>
    <w:p w:rsidR="000B7565" w:rsidRPr="009F3C3C" w:rsidRDefault="000B7565" w:rsidP="000B7565">
      <w:pPr>
        <w:spacing w:after="0" w:line="276" w:lineRule="auto"/>
        <w:jc w:val="center"/>
        <w:rPr>
          <w:sz w:val="24"/>
        </w:rPr>
      </w:pPr>
      <w:r w:rsidRPr="009F3C3C">
        <w:rPr>
          <w:sz w:val="24"/>
        </w:rPr>
        <w:t>and</w:t>
      </w:r>
    </w:p>
    <w:p w:rsidR="000B7565" w:rsidRPr="009F3C3C" w:rsidRDefault="000B7565" w:rsidP="000B7565">
      <w:pPr>
        <w:spacing w:after="0" w:line="276" w:lineRule="auto"/>
        <w:jc w:val="both"/>
        <w:rPr>
          <w:b/>
          <w:sz w:val="24"/>
        </w:rPr>
      </w:pPr>
    </w:p>
    <w:p w:rsidR="000B7565" w:rsidRPr="009F3C3C" w:rsidRDefault="000B7565" w:rsidP="000B7565">
      <w:pPr>
        <w:spacing w:after="0" w:line="276" w:lineRule="auto"/>
        <w:jc w:val="center"/>
        <w:rPr>
          <w:b/>
          <w:sz w:val="28"/>
        </w:rPr>
      </w:pPr>
      <w:r>
        <w:rPr>
          <w:b/>
          <w:sz w:val="28"/>
        </w:rPr>
        <w:lastRenderedPageBreak/>
        <w:t>MAURITIUS TELECOM LTD</w:t>
      </w:r>
    </w:p>
    <w:p w:rsidR="000B7565" w:rsidRPr="000B7565" w:rsidRDefault="000B7565" w:rsidP="00CA4D54">
      <w:pPr>
        <w:spacing w:after="0" w:line="276" w:lineRule="auto"/>
        <w:jc w:val="right"/>
        <w:rPr>
          <w:sz w:val="24"/>
          <w:lang w:val="en-GB"/>
        </w:rPr>
      </w:pPr>
      <w:r w:rsidRPr="009F3C3C">
        <w:rPr>
          <w:i/>
          <w:sz w:val="24"/>
        </w:rPr>
        <w:t>Responde</w:t>
      </w:r>
      <w:r>
        <w:rPr>
          <w:i/>
          <w:sz w:val="24"/>
        </w:rPr>
        <w:t>nt</w:t>
      </w:r>
    </w:p>
    <w:p w:rsidR="000B7565" w:rsidRDefault="000B7565" w:rsidP="000B7565">
      <w:pPr>
        <w:spacing w:after="0" w:line="360" w:lineRule="auto"/>
        <w:jc w:val="both"/>
        <w:rPr>
          <w:b/>
          <w:sz w:val="24"/>
        </w:rPr>
      </w:pPr>
    </w:p>
    <w:p w:rsidR="000B7565" w:rsidRPr="00014CED" w:rsidRDefault="000B7565" w:rsidP="00014CED">
      <w:pPr>
        <w:spacing w:after="0" w:line="360" w:lineRule="auto"/>
        <w:ind w:firstLine="720"/>
        <w:jc w:val="both"/>
        <w:rPr>
          <w:b/>
          <w:sz w:val="24"/>
        </w:rPr>
      </w:pPr>
      <w:r w:rsidRPr="009F3C3C">
        <w:rPr>
          <w:b/>
          <w:sz w:val="24"/>
        </w:rPr>
        <w:t xml:space="preserve">ERT/RN </w:t>
      </w:r>
      <w:r w:rsidR="00CA4D54">
        <w:rPr>
          <w:b/>
          <w:sz w:val="24"/>
        </w:rPr>
        <w:t>12</w:t>
      </w:r>
      <w:r w:rsidRPr="009F3C3C">
        <w:rPr>
          <w:b/>
          <w:sz w:val="24"/>
        </w:rPr>
        <w:t>/20</w:t>
      </w:r>
      <w:r>
        <w:rPr>
          <w:b/>
          <w:sz w:val="24"/>
        </w:rPr>
        <w:t>20</w:t>
      </w:r>
    </w:p>
    <w:p w:rsidR="000B7565" w:rsidRPr="00E634D3" w:rsidRDefault="000B7565" w:rsidP="000B7565">
      <w:pPr>
        <w:spacing w:after="0" w:line="276" w:lineRule="auto"/>
        <w:jc w:val="center"/>
        <w:rPr>
          <w:b/>
          <w:sz w:val="28"/>
          <w:lang w:val="en-GB"/>
        </w:rPr>
      </w:pPr>
      <w:r w:rsidRPr="00E634D3">
        <w:rPr>
          <w:b/>
          <w:sz w:val="28"/>
          <w:lang w:val="en-GB"/>
        </w:rPr>
        <w:t xml:space="preserve">Mr </w:t>
      </w:r>
      <w:r w:rsidR="00014CED">
        <w:rPr>
          <w:b/>
          <w:sz w:val="28"/>
          <w:lang w:val="en-GB"/>
        </w:rPr>
        <w:t>Georges Edouard CHRISTINE</w:t>
      </w:r>
      <w:r w:rsidRPr="00E634D3">
        <w:rPr>
          <w:b/>
          <w:sz w:val="28"/>
          <w:lang w:val="en-GB"/>
        </w:rPr>
        <w:t xml:space="preserve"> </w:t>
      </w:r>
    </w:p>
    <w:p w:rsidR="000B7565" w:rsidRPr="009F3C3C" w:rsidRDefault="000B7565" w:rsidP="000B7565">
      <w:pPr>
        <w:spacing w:after="0" w:line="276" w:lineRule="auto"/>
        <w:jc w:val="right"/>
        <w:rPr>
          <w:sz w:val="24"/>
        </w:rPr>
      </w:pPr>
      <w:r w:rsidRPr="009F3C3C">
        <w:rPr>
          <w:i/>
          <w:sz w:val="24"/>
        </w:rPr>
        <w:t>Disputant</w:t>
      </w:r>
    </w:p>
    <w:p w:rsidR="000B7565" w:rsidRPr="009F3C3C" w:rsidRDefault="000B7565" w:rsidP="000B7565">
      <w:pPr>
        <w:spacing w:after="0" w:line="276" w:lineRule="auto"/>
        <w:jc w:val="center"/>
        <w:rPr>
          <w:sz w:val="24"/>
        </w:rPr>
      </w:pPr>
      <w:r w:rsidRPr="009F3C3C">
        <w:rPr>
          <w:sz w:val="24"/>
        </w:rPr>
        <w:t>and</w:t>
      </w:r>
    </w:p>
    <w:p w:rsidR="000B7565" w:rsidRPr="009F3C3C" w:rsidRDefault="000B7565" w:rsidP="000B7565">
      <w:pPr>
        <w:spacing w:after="0" w:line="276" w:lineRule="auto"/>
        <w:jc w:val="both"/>
        <w:rPr>
          <w:b/>
          <w:sz w:val="24"/>
        </w:rPr>
      </w:pPr>
    </w:p>
    <w:p w:rsidR="000B7565" w:rsidRPr="009F3C3C" w:rsidRDefault="000B7565" w:rsidP="000B7565">
      <w:pPr>
        <w:spacing w:after="0" w:line="276" w:lineRule="auto"/>
        <w:jc w:val="center"/>
        <w:rPr>
          <w:b/>
          <w:sz w:val="28"/>
        </w:rPr>
      </w:pPr>
      <w:r>
        <w:rPr>
          <w:b/>
          <w:sz w:val="28"/>
        </w:rPr>
        <w:t>MAURITIUS TELECOM LTD</w:t>
      </w:r>
    </w:p>
    <w:p w:rsidR="000B7565" w:rsidRDefault="000B7565" w:rsidP="00014CED">
      <w:pPr>
        <w:spacing w:after="0" w:line="276" w:lineRule="auto"/>
        <w:jc w:val="right"/>
        <w:rPr>
          <w:sz w:val="24"/>
          <w:lang w:val="en-GB"/>
        </w:rPr>
      </w:pPr>
      <w:r w:rsidRPr="009F3C3C">
        <w:rPr>
          <w:i/>
          <w:sz w:val="24"/>
        </w:rPr>
        <w:t>Responde</w:t>
      </w:r>
      <w:r>
        <w:rPr>
          <w:i/>
          <w:sz w:val="24"/>
        </w:rPr>
        <w:t>nt</w:t>
      </w:r>
    </w:p>
    <w:p w:rsidR="000B7565" w:rsidRDefault="000B7565" w:rsidP="007C1D42">
      <w:pPr>
        <w:spacing w:after="0" w:line="276" w:lineRule="auto"/>
        <w:jc w:val="both"/>
        <w:rPr>
          <w:sz w:val="24"/>
          <w:lang w:val="en-GB"/>
        </w:rPr>
      </w:pPr>
    </w:p>
    <w:p w:rsidR="000B7565" w:rsidRPr="00286CE6" w:rsidRDefault="000B7565" w:rsidP="00286CE6">
      <w:pPr>
        <w:spacing w:after="0" w:line="360" w:lineRule="auto"/>
        <w:ind w:firstLine="720"/>
        <w:jc w:val="both"/>
        <w:rPr>
          <w:b/>
          <w:sz w:val="24"/>
        </w:rPr>
      </w:pPr>
      <w:r w:rsidRPr="009F3C3C">
        <w:rPr>
          <w:b/>
          <w:sz w:val="24"/>
        </w:rPr>
        <w:t xml:space="preserve">ERT/RN </w:t>
      </w:r>
      <w:r w:rsidR="00014CED">
        <w:rPr>
          <w:b/>
          <w:sz w:val="24"/>
        </w:rPr>
        <w:t>13</w:t>
      </w:r>
      <w:r w:rsidRPr="009F3C3C">
        <w:rPr>
          <w:b/>
          <w:sz w:val="24"/>
        </w:rPr>
        <w:t>/20</w:t>
      </w:r>
      <w:r>
        <w:rPr>
          <w:b/>
          <w:sz w:val="24"/>
        </w:rPr>
        <w:t>20</w:t>
      </w:r>
    </w:p>
    <w:p w:rsidR="000B7565" w:rsidRPr="00E634D3" w:rsidRDefault="000B7565" w:rsidP="000B7565">
      <w:pPr>
        <w:spacing w:after="0" w:line="276" w:lineRule="auto"/>
        <w:jc w:val="center"/>
        <w:rPr>
          <w:b/>
          <w:sz w:val="28"/>
          <w:lang w:val="en-GB"/>
        </w:rPr>
      </w:pPr>
      <w:r w:rsidRPr="00E634D3">
        <w:rPr>
          <w:b/>
          <w:sz w:val="28"/>
          <w:lang w:val="en-GB"/>
        </w:rPr>
        <w:t xml:space="preserve">Mr </w:t>
      </w:r>
      <w:r w:rsidR="00014CED">
        <w:rPr>
          <w:b/>
          <w:sz w:val="28"/>
          <w:lang w:val="en-GB"/>
        </w:rPr>
        <w:t>Samduth MOLAYE</w:t>
      </w:r>
      <w:r w:rsidRPr="00E634D3">
        <w:rPr>
          <w:b/>
          <w:sz w:val="28"/>
          <w:lang w:val="en-GB"/>
        </w:rPr>
        <w:t xml:space="preserve"> </w:t>
      </w:r>
    </w:p>
    <w:p w:rsidR="000B7565" w:rsidRPr="009F3C3C" w:rsidRDefault="000B7565" w:rsidP="000B7565">
      <w:pPr>
        <w:spacing w:after="0" w:line="276" w:lineRule="auto"/>
        <w:jc w:val="right"/>
        <w:rPr>
          <w:sz w:val="24"/>
        </w:rPr>
      </w:pPr>
      <w:r w:rsidRPr="009F3C3C">
        <w:rPr>
          <w:i/>
          <w:sz w:val="24"/>
        </w:rPr>
        <w:t>Disputant</w:t>
      </w:r>
    </w:p>
    <w:p w:rsidR="000B7565" w:rsidRPr="009F3C3C" w:rsidRDefault="000B7565" w:rsidP="000B7565">
      <w:pPr>
        <w:spacing w:after="0" w:line="276" w:lineRule="auto"/>
        <w:jc w:val="center"/>
        <w:rPr>
          <w:sz w:val="24"/>
        </w:rPr>
      </w:pPr>
      <w:r w:rsidRPr="009F3C3C">
        <w:rPr>
          <w:sz w:val="24"/>
        </w:rPr>
        <w:t>and</w:t>
      </w:r>
    </w:p>
    <w:p w:rsidR="000B7565" w:rsidRPr="009F3C3C" w:rsidRDefault="000B7565" w:rsidP="000B7565">
      <w:pPr>
        <w:spacing w:after="0" w:line="276" w:lineRule="auto"/>
        <w:jc w:val="both"/>
        <w:rPr>
          <w:b/>
          <w:sz w:val="24"/>
        </w:rPr>
      </w:pPr>
    </w:p>
    <w:p w:rsidR="000B7565" w:rsidRPr="009F3C3C" w:rsidRDefault="000B7565" w:rsidP="000B7565">
      <w:pPr>
        <w:spacing w:after="0" w:line="276" w:lineRule="auto"/>
        <w:jc w:val="center"/>
        <w:rPr>
          <w:b/>
          <w:sz w:val="28"/>
        </w:rPr>
      </w:pPr>
      <w:r>
        <w:rPr>
          <w:b/>
          <w:sz w:val="28"/>
        </w:rPr>
        <w:t>MAURITIUS TELECOM LTD</w:t>
      </w:r>
    </w:p>
    <w:p w:rsidR="000B7565" w:rsidRDefault="000B7565" w:rsidP="00014CED">
      <w:pPr>
        <w:spacing w:after="0" w:line="276" w:lineRule="auto"/>
        <w:jc w:val="right"/>
        <w:rPr>
          <w:sz w:val="24"/>
          <w:lang w:val="en-GB"/>
        </w:rPr>
      </w:pPr>
      <w:r w:rsidRPr="009F3C3C">
        <w:rPr>
          <w:i/>
          <w:sz w:val="24"/>
        </w:rPr>
        <w:t>Responde</w:t>
      </w:r>
      <w:r>
        <w:rPr>
          <w:i/>
          <w:sz w:val="24"/>
        </w:rPr>
        <w:t>nt</w:t>
      </w:r>
    </w:p>
    <w:p w:rsidR="000B7565" w:rsidRDefault="000B7565" w:rsidP="007C1D42">
      <w:pPr>
        <w:spacing w:after="0" w:line="276" w:lineRule="auto"/>
        <w:jc w:val="both"/>
        <w:rPr>
          <w:sz w:val="24"/>
          <w:lang w:val="en-GB"/>
        </w:rPr>
      </w:pPr>
    </w:p>
    <w:p w:rsidR="00014CED" w:rsidRPr="00286CE6" w:rsidRDefault="00014CED" w:rsidP="00286CE6">
      <w:pPr>
        <w:spacing w:after="0" w:line="360" w:lineRule="auto"/>
        <w:ind w:firstLine="720"/>
        <w:jc w:val="both"/>
        <w:rPr>
          <w:b/>
          <w:sz w:val="24"/>
        </w:rPr>
      </w:pPr>
      <w:r w:rsidRPr="009F3C3C">
        <w:rPr>
          <w:b/>
          <w:sz w:val="24"/>
        </w:rPr>
        <w:t xml:space="preserve">ERT/RN </w:t>
      </w:r>
      <w:r>
        <w:rPr>
          <w:b/>
          <w:sz w:val="24"/>
        </w:rPr>
        <w:t>14</w:t>
      </w:r>
      <w:r w:rsidRPr="009F3C3C">
        <w:rPr>
          <w:b/>
          <w:sz w:val="24"/>
        </w:rPr>
        <w:t>/20</w:t>
      </w:r>
      <w:r>
        <w:rPr>
          <w:b/>
          <w:sz w:val="24"/>
        </w:rPr>
        <w:t>20</w:t>
      </w:r>
    </w:p>
    <w:p w:rsidR="00014CED" w:rsidRPr="00E634D3" w:rsidRDefault="00014CED" w:rsidP="00014CED">
      <w:pPr>
        <w:spacing w:after="0" w:line="276" w:lineRule="auto"/>
        <w:jc w:val="center"/>
        <w:rPr>
          <w:b/>
          <w:sz w:val="28"/>
          <w:lang w:val="en-GB"/>
        </w:rPr>
      </w:pPr>
      <w:r w:rsidRPr="00E634D3">
        <w:rPr>
          <w:b/>
          <w:sz w:val="28"/>
          <w:lang w:val="en-GB"/>
        </w:rPr>
        <w:t xml:space="preserve">Mr </w:t>
      </w:r>
      <w:r>
        <w:rPr>
          <w:b/>
          <w:sz w:val="28"/>
          <w:lang w:val="en-GB"/>
        </w:rPr>
        <w:t>Mosafat Hajmut DOMUN</w:t>
      </w:r>
      <w:r w:rsidRPr="00E634D3">
        <w:rPr>
          <w:b/>
          <w:sz w:val="28"/>
          <w:lang w:val="en-GB"/>
        </w:rPr>
        <w:t xml:space="preserve"> </w:t>
      </w:r>
    </w:p>
    <w:p w:rsidR="00014CED" w:rsidRPr="009F3C3C" w:rsidRDefault="00014CED" w:rsidP="00014CED">
      <w:pPr>
        <w:spacing w:after="0" w:line="276" w:lineRule="auto"/>
        <w:jc w:val="right"/>
        <w:rPr>
          <w:sz w:val="24"/>
        </w:rPr>
      </w:pPr>
      <w:r w:rsidRPr="009F3C3C">
        <w:rPr>
          <w:i/>
          <w:sz w:val="24"/>
        </w:rPr>
        <w:t>Disputant</w:t>
      </w:r>
    </w:p>
    <w:p w:rsidR="00014CED" w:rsidRPr="009F3C3C" w:rsidRDefault="00014CED" w:rsidP="00014CED">
      <w:pPr>
        <w:spacing w:after="0" w:line="276" w:lineRule="auto"/>
        <w:jc w:val="center"/>
        <w:rPr>
          <w:sz w:val="24"/>
        </w:rPr>
      </w:pPr>
      <w:r w:rsidRPr="009F3C3C">
        <w:rPr>
          <w:sz w:val="24"/>
        </w:rPr>
        <w:t>and</w:t>
      </w:r>
    </w:p>
    <w:p w:rsidR="00014CED" w:rsidRPr="009F3C3C" w:rsidRDefault="00014CED" w:rsidP="00014CED">
      <w:pPr>
        <w:spacing w:after="0" w:line="276" w:lineRule="auto"/>
        <w:jc w:val="both"/>
        <w:rPr>
          <w:b/>
          <w:sz w:val="24"/>
        </w:rPr>
      </w:pPr>
    </w:p>
    <w:p w:rsidR="00014CED" w:rsidRPr="009F3C3C" w:rsidRDefault="00014CED" w:rsidP="00014CED">
      <w:pPr>
        <w:spacing w:after="0" w:line="276" w:lineRule="auto"/>
        <w:jc w:val="center"/>
        <w:rPr>
          <w:b/>
          <w:sz w:val="28"/>
        </w:rPr>
      </w:pPr>
      <w:r>
        <w:rPr>
          <w:b/>
          <w:sz w:val="28"/>
        </w:rPr>
        <w:t>MAURITIUS TELECOM LTD</w:t>
      </w:r>
    </w:p>
    <w:p w:rsidR="00014CED" w:rsidRDefault="00014CED" w:rsidP="00014CED">
      <w:pPr>
        <w:spacing w:after="0" w:line="276" w:lineRule="auto"/>
        <w:jc w:val="right"/>
        <w:rPr>
          <w:sz w:val="24"/>
          <w:lang w:val="en-GB"/>
        </w:rPr>
      </w:pPr>
      <w:r w:rsidRPr="009F3C3C">
        <w:rPr>
          <w:i/>
          <w:sz w:val="24"/>
        </w:rPr>
        <w:t>Responde</w:t>
      </w:r>
      <w:r>
        <w:rPr>
          <w:i/>
          <w:sz w:val="24"/>
        </w:rPr>
        <w:t>nt</w:t>
      </w:r>
    </w:p>
    <w:p w:rsidR="00014CED" w:rsidRDefault="00014CED" w:rsidP="007C1D42">
      <w:pPr>
        <w:spacing w:after="0" w:line="276" w:lineRule="auto"/>
        <w:jc w:val="both"/>
        <w:rPr>
          <w:sz w:val="24"/>
          <w:lang w:val="en-GB"/>
        </w:rPr>
      </w:pPr>
    </w:p>
    <w:p w:rsidR="00014CED" w:rsidRPr="00286CE6" w:rsidRDefault="00014CED" w:rsidP="00286CE6">
      <w:pPr>
        <w:spacing w:after="0" w:line="360" w:lineRule="auto"/>
        <w:ind w:firstLine="720"/>
        <w:jc w:val="both"/>
        <w:rPr>
          <w:b/>
          <w:sz w:val="24"/>
        </w:rPr>
      </w:pPr>
      <w:r w:rsidRPr="009F3C3C">
        <w:rPr>
          <w:b/>
          <w:sz w:val="24"/>
        </w:rPr>
        <w:t xml:space="preserve">ERT/RN </w:t>
      </w:r>
      <w:r>
        <w:rPr>
          <w:b/>
          <w:sz w:val="24"/>
        </w:rPr>
        <w:t>15</w:t>
      </w:r>
      <w:r w:rsidRPr="009F3C3C">
        <w:rPr>
          <w:b/>
          <w:sz w:val="24"/>
        </w:rPr>
        <w:t>/20</w:t>
      </w:r>
      <w:r>
        <w:rPr>
          <w:b/>
          <w:sz w:val="24"/>
        </w:rPr>
        <w:t>20</w:t>
      </w:r>
    </w:p>
    <w:p w:rsidR="00014CED" w:rsidRPr="00E634D3" w:rsidRDefault="00014CED" w:rsidP="00014CED">
      <w:pPr>
        <w:spacing w:after="0" w:line="276" w:lineRule="auto"/>
        <w:jc w:val="center"/>
        <w:rPr>
          <w:b/>
          <w:sz w:val="28"/>
          <w:lang w:val="en-GB"/>
        </w:rPr>
      </w:pPr>
      <w:r w:rsidRPr="00E634D3">
        <w:rPr>
          <w:b/>
          <w:sz w:val="28"/>
          <w:lang w:val="en-GB"/>
        </w:rPr>
        <w:t xml:space="preserve">Mr </w:t>
      </w:r>
      <w:r>
        <w:rPr>
          <w:b/>
          <w:sz w:val="28"/>
          <w:lang w:val="en-GB"/>
        </w:rPr>
        <w:t>Parama Seeven MOOROOGEN</w:t>
      </w:r>
      <w:r w:rsidRPr="00E634D3">
        <w:rPr>
          <w:b/>
          <w:sz w:val="28"/>
          <w:lang w:val="en-GB"/>
        </w:rPr>
        <w:t xml:space="preserve"> </w:t>
      </w:r>
    </w:p>
    <w:p w:rsidR="00014CED" w:rsidRPr="009F3C3C" w:rsidRDefault="00014CED" w:rsidP="00014CED">
      <w:pPr>
        <w:spacing w:after="0" w:line="276" w:lineRule="auto"/>
        <w:jc w:val="right"/>
        <w:rPr>
          <w:sz w:val="24"/>
        </w:rPr>
      </w:pPr>
      <w:r w:rsidRPr="009F3C3C">
        <w:rPr>
          <w:i/>
          <w:sz w:val="24"/>
        </w:rPr>
        <w:t>Disputant</w:t>
      </w:r>
    </w:p>
    <w:p w:rsidR="00014CED" w:rsidRPr="009F3C3C" w:rsidRDefault="00014CED" w:rsidP="00014CED">
      <w:pPr>
        <w:spacing w:after="0" w:line="276" w:lineRule="auto"/>
        <w:jc w:val="center"/>
        <w:rPr>
          <w:sz w:val="24"/>
        </w:rPr>
      </w:pPr>
      <w:r w:rsidRPr="009F3C3C">
        <w:rPr>
          <w:sz w:val="24"/>
        </w:rPr>
        <w:t>and</w:t>
      </w:r>
    </w:p>
    <w:p w:rsidR="00014CED" w:rsidRPr="009F3C3C" w:rsidRDefault="00014CED" w:rsidP="00014CED">
      <w:pPr>
        <w:spacing w:after="0" w:line="276" w:lineRule="auto"/>
        <w:jc w:val="both"/>
        <w:rPr>
          <w:b/>
          <w:sz w:val="24"/>
        </w:rPr>
      </w:pPr>
    </w:p>
    <w:p w:rsidR="00014CED" w:rsidRPr="009F3C3C" w:rsidRDefault="00014CED" w:rsidP="00014CED">
      <w:pPr>
        <w:spacing w:after="0" w:line="276" w:lineRule="auto"/>
        <w:jc w:val="center"/>
        <w:rPr>
          <w:b/>
          <w:sz w:val="28"/>
        </w:rPr>
      </w:pPr>
      <w:r>
        <w:rPr>
          <w:b/>
          <w:sz w:val="28"/>
        </w:rPr>
        <w:t>MAURITIUS TELECOM LTD</w:t>
      </w:r>
    </w:p>
    <w:p w:rsidR="00014CED" w:rsidRDefault="00014CED" w:rsidP="00014CED">
      <w:pPr>
        <w:spacing w:after="0" w:line="276" w:lineRule="auto"/>
        <w:jc w:val="right"/>
        <w:rPr>
          <w:sz w:val="24"/>
          <w:lang w:val="en-GB"/>
        </w:rPr>
      </w:pPr>
      <w:r w:rsidRPr="009F3C3C">
        <w:rPr>
          <w:i/>
          <w:sz w:val="24"/>
        </w:rPr>
        <w:t>Responde</w:t>
      </w:r>
      <w:r>
        <w:rPr>
          <w:i/>
          <w:sz w:val="24"/>
        </w:rPr>
        <w:t>nt</w:t>
      </w:r>
    </w:p>
    <w:p w:rsidR="00014CED" w:rsidRDefault="00014CED" w:rsidP="007C1D42">
      <w:pPr>
        <w:spacing w:after="0" w:line="276" w:lineRule="auto"/>
        <w:jc w:val="both"/>
        <w:rPr>
          <w:sz w:val="24"/>
          <w:lang w:val="en-GB"/>
        </w:rPr>
      </w:pPr>
    </w:p>
    <w:p w:rsidR="00014CED" w:rsidRPr="00D35904" w:rsidRDefault="00014CED" w:rsidP="007C1D42">
      <w:pPr>
        <w:spacing w:after="0" w:line="276" w:lineRule="auto"/>
        <w:jc w:val="both"/>
        <w:rPr>
          <w:sz w:val="24"/>
          <w:lang w:val="en-GB"/>
        </w:rPr>
      </w:pPr>
    </w:p>
    <w:p w:rsidR="00311783" w:rsidRPr="00D35904" w:rsidRDefault="00311783" w:rsidP="007C1D42">
      <w:pPr>
        <w:spacing w:after="0" w:line="276" w:lineRule="auto"/>
        <w:jc w:val="both"/>
        <w:rPr>
          <w:sz w:val="24"/>
          <w:lang w:val="en-GB"/>
        </w:rPr>
      </w:pPr>
      <w:r w:rsidRPr="00D35904">
        <w:rPr>
          <w:sz w:val="24"/>
          <w:lang w:val="en-GB"/>
        </w:rPr>
        <w:lastRenderedPageBreak/>
        <w:tab/>
        <w:t xml:space="preserve">The present matters have been referred to the Tribunal for arbitration by the Commission for Conciliation and Mediation (“CCM”) pursuant to </w:t>
      </w:r>
      <w:r w:rsidRPr="00D35904">
        <w:rPr>
          <w:i/>
          <w:sz w:val="24"/>
          <w:lang w:val="en-GB"/>
        </w:rPr>
        <w:t>section 69 (9)(b)</w:t>
      </w:r>
      <w:r w:rsidRPr="00D35904">
        <w:rPr>
          <w:sz w:val="24"/>
          <w:lang w:val="en-GB"/>
        </w:rPr>
        <w:t xml:space="preserve"> of the </w:t>
      </w:r>
      <w:r w:rsidR="00716654" w:rsidRPr="00D35904">
        <w:rPr>
          <w:i/>
          <w:sz w:val="24"/>
          <w:lang w:val="en-GB"/>
        </w:rPr>
        <w:t xml:space="preserve">Employment Relations Act </w:t>
      </w:r>
      <w:r w:rsidR="00716654" w:rsidRPr="00D35904">
        <w:rPr>
          <w:sz w:val="24"/>
          <w:lang w:val="en-GB"/>
        </w:rPr>
        <w:t xml:space="preserve">2008, </w:t>
      </w:r>
      <w:r w:rsidRPr="00D35904">
        <w:rPr>
          <w:sz w:val="24"/>
          <w:lang w:val="en-GB"/>
        </w:rPr>
        <w:t>as amended</w:t>
      </w:r>
      <w:r w:rsidR="00A16942">
        <w:rPr>
          <w:sz w:val="24"/>
          <w:lang w:val="en-GB"/>
        </w:rPr>
        <w:t xml:space="preserve"> (the “</w:t>
      </w:r>
      <w:r w:rsidR="00A16942" w:rsidRPr="00A16942">
        <w:rPr>
          <w:i/>
          <w:sz w:val="24"/>
          <w:lang w:val="en-GB"/>
        </w:rPr>
        <w:t>Act</w:t>
      </w:r>
      <w:r w:rsidR="00A16942">
        <w:rPr>
          <w:sz w:val="24"/>
          <w:lang w:val="en-GB"/>
        </w:rPr>
        <w:t>”)</w:t>
      </w:r>
      <w:r w:rsidRPr="00D35904">
        <w:rPr>
          <w:sz w:val="24"/>
          <w:lang w:val="en-GB"/>
        </w:rPr>
        <w:t>.</w:t>
      </w:r>
      <w:r w:rsidR="0009291A" w:rsidRPr="00D35904">
        <w:rPr>
          <w:sz w:val="24"/>
          <w:lang w:val="en-GB"/>
        </w:rPr>
        <w:t xml:space="preserve"> All seven disputes have been consolidated upon </w:t>
      </w:r>
      <w:r w:rsidR="00172930" w:rsidRPr="00D35904">
        <w:rPr>
          <w:sz w:val="24"/>
          <w:lang w:val="en-GB"/>
        </w:rPr>
        <w:t xml:space="preserve">the </w:t>
      </w:r>
      <w:r w:rsidR="0009291A" w:rsidRPr="00D35904">
        <w:rPr>
          <w:sz w:val="24"/>
          <w:lang w:val="en-GB"/>
        </w:rPr>
        <w:t>joint motion of Counsel.</w:t>
      </w:r>
      <w:r w:rsidRPr="00D35904">
        <w:rPr>
          <w:sz w:val="24"/>
          <w:lang w:val="en-GB"/>
        </w:rPr>
        <w:t xml:space="preserve"> The common Terms of Reference of the disputes read as follows:</w:t>
      </w:r>
    </w:p>
    <w:p w:rsidR="00311783" w:rsidRPr="00F8166A" w:rsidRDefault="00311783" w:rsidP="007C1D42">
      <w:pPr>
        <w:spacing w:after="0" w:line="276" w:lineRule="auto"/>
        <w:jc w:val="both"/>
        <w:rPr>
          <w:lang w:val="en-GB"/>
        </w:rPr>
      </w:pPr>
    </w:p>
    <w:p w:rsidR="00311783" w:rsidRPr="00D35904" w:rsidRDefault="00311783" w:rsidP="007C1D42">
      <w:pPr>
        <w:spacing w:after="0" w:line="276" w:lineRule="auto"/>
        <w:ind w:left="720" w:right="855"/>
        <w:jc w:val="both"/>
        <w:rPr>
          <w:i/>
          <w:lang w:val="en-GB"/>
        </w:rPr>
      </w:pPr>
      <w:r w:rsidRPr="00D35904">
        <w:rPr>
          <w:i/>
          <w:lang w:val="en-GB"/>
        </w:rPr>
        <w:t>Whether correction of anomaly in the grade of SS8A and SS8B, considered and accepted as at 1</w:t>
      </w:r>
      <w:r w:rsidRPr="00D35904">
        <w:rPr>
          <w:i/>
          <w:vertAlign w:val="superscript"/>
          <w:lang w:val="en-GB"/>
        </w:rPr>
        <w:t>st</w:t>
      </w:r>
      <w:r w:rsidRPr="00D35904">
        <w:rPr>
          <w:i/>
          <w:lang w:val="en-GB"/>
        </w:rPr>
        <w:t xml:space="preserve"> July 2016, should have backdating effects for the employees who retired before July 2016, hypothetically or otherwise.</w:t>
      </w:r>
    </w:p>
    <w:p w:rsidR="00311783" w:rsidRPr="00D35904" w:rsidRDefault="00311783" w:rsidP="007C1D42">
      <w:pPr>
        <w:spacing w:after="0" w:line="276" w:lineRule="auto"/>
        <w:jc w:val="both"/>
        <w:rPr>
          <w:sz w:val="24"/>
          <w:lang w:val="en-GB"/>
        </w:rPr>
      </w:pPr>
    </w:p>
    <w:p w:rsidR="00311783" w:rsidRPr="00D35904" w:rsidRDefault="00311783" w:rsidP="007C1D42">
      <w:pPr>
        <w:spacing w:after="0" w:line="276" w:lineRule="auto"/>
        <w:jc w:val="both"/>
        <w:rPr>
          <w:sz w:val="24"/>
          <w:lang w:val="en-GB"/>
        </w:rPr>
      </w:pPr>
    </w:p>
    <w:p w:rsidR="0009291A" w:rsidRPr="00D35904" w:rsidRDefault="0009291A" w:rsidP="007C1D42">
      <w:pPr>
        <w:spacing w:after="0" w:line="276" w:lineRule="auto"/>
        <w:jc w:val="both"/>
        <w:rPr>
          <w:sz w:val="24"/>
          <w:lang w:val="en-GB"/>
        </w:rPr>
      </w:pPr>
      <w:r w:rsidRPr="00D35904">
        <w:rPr>
          <w:sz w:val="24"/>
          <w:lang w:val="en-GB"/>
        </w:rPr>
        <w:tab/>
        <w:t xml:space="preserve">Both parties were assisted by Counsel. Mr M. Ramano appeared for the Disputants, whereas Mr R. Pursem S.C. appeared for the Respondent employer. </w:t>
      </w:r>
    </w:p>
    <w:p w:rsidR="0009291A" w:rsidRPr="00D35904" w:rsidRDefault="0009291A" w:rsidP="007C1D42">
      <w:pPr>
        <w:spacing w:after="0" w:line="276" w:lineRule="auto"/>
        <w:jc w:val="both"/>
        <w:rPr>
          <w:sz w:val="24"/>
          <w:lang w:val="en-GB"/>
        </w:rPr>
      </w:pPr>
    </w:p>
    <w:p w:rsidR="0009291A" w:rsidRPr="00D35904" w:rsidRDefault="0009291A" w:rsidP="007C1D42">
      <w:pPr>
        <w:spacing w:after="0" w:line="276" w:lineRule="auto"/>
        <w:jc w:val="both"/>
        <w:rPr>
          <w:sz w:val="24"/>
          <w:lang w:val="en-GB"/>
        </w:rPr>
      </w:pPr>
    </w:p>
    <w:p w:rsidR="00311783" w:rsidRPr="00D35904" w:rsidRDefault="00311783" w:rsidP="007C1D42">
      <w:pPr>
        <w:spacing w:after="0" w:line="276" w:lineRule="auto"/>
        <w:jc w:val="both"/>
        <w:rPr>
          <w:sz w:val="24"/>
          <w:lang w:val="en-GB"/>
        </w:rPr>
      </w:pPr>
      <w:r w:rsidRPr="00D35904">
        <w:rPr>
          <w:sz w:val="24"/>
          <w:lang w:val="en-GB"/>
        </w:rPr>
        <w:tab/>
      </w:r>
      <w:r w:rsidR="00D35904">
        <w:rPr>
          <w:sz w:val="24"/>
          <w:lang w:val="en-GB"/>
        </w:rPr>
        <w:t>T</w:t>
      </w:r>
      <w:r w:rsidRPr="00D35904">
        <w:rPr>
          <w:sz w:val="24"/>
          <w:lang w:val="en-GB"/>
        </w:rPr>
        <w:t xml:space="preserve">he Respondent has put in a Notice of Objection </w:t>
      </w:r>
      <w:r w:rsidR="00D35904">
        <w:rPr>
          <w:sz w:val="24"/>
          <w:lang w:val="en-GB"/>
        </w:rPr>
        <w:t>in</w:t>
      </w:r>
      <w:r w:rsidRPr="00D35904">
        <w:rPr>
          <w:sz w:val="24"/>
          <w:lang w:val="en-GB"/>
        </w:rPr>
        <w:t xml:space="preserve"> the present disputes. This provides as follows:</w:t>
      </w:r>
    </w:p>
    <w:p w:rsidR="00311783" w:rsidRPr="00F8166A" w:rsidRDefault="00311783" w:rsidP="007C1D42">
      <w:pPr>
        <w:spacing w:after="0" w:line="276" w:lineRule="auto"/>
        <w:jc w:val="both"/>
        <w:rPr>
          <w:lang w:val="en-GB"/>
        </w:rPr>
      </w:pPr>
    </w:p>
    <w:p w:rsidR="00311783" w:rsidRPr="00D35904" w:rsidRDefault="00311783" w:rsidP="007C1D42">
      <w:pPr>
        <w:spacing w:after="0" w:line="276" w:lineRule="auto"/>
        <w:ind w:left="720" w:right="855"/>
        <w:jc w:val="both"/>
        <w:rPr>
          <w:i/>
          <w:sz w:val="24"/>
          <w:lang w:val="en-GB"/>
        </w:rPr>
      </w:pPr>
      <w:r w:rsidRPr="00D35904">
        <w:rPr>
          <w:i/>
          <w:lang w:val="en-GB"/>
        </w:rPr>
        <w:t xml:space="preserve">The Employment Relations Tribunal has no jurisdiction to entertain the present matter in as much as the Commission for Conciliation and Mediation erred in law in referring the matter </w:t>
      </w:r>
      <w:r w:rsidR="002274FD" w:rsidRPr="00D35904">
        <w:rPr>
          <w:i/>
          <w:lang w:val="en-GB"/>
        </w:rPr>
        <w:t>to the Tribunal pursuant to section 69 (9)(b) of the Employment Relations Act 2008 given that the dispute was brought before the Commission prior to the coming into force of section 69 (9)(b) of the Employment Relations Act 2008.</w:t>
      </w:r>
      <w:r w:rsidR="002274FD" w:rsidRPr="00D35904">
        <w:rPr>
          <w:i/>
          <w:sz w:val="24"/>
          <w:lang w:val="en-GB"/>
        </w:rPr>
        <w:t xml:space="preserve"> </w:t>
      </w:r>
    </w:p>
    <w:p w:rsidR="00311783" w:rsidRPr="00D35904" w:rsidRDefault="00311783" w:rsidP="007C1D42">
      <w:pPr>
        <w:spacing w:after="0" w:line="276" w:lineRule="auto"/>
        <w:ind w:right="855"/>
        <w:jc w:val="both"/>
        <w:rPr>
          <w:sz w:val="24"/>
          <w:lang w:val="en-GB"/>
        </w:rPr>
      </w:pPr>
    </w:p>
    <w:p w:rsidR="002274FD" w:rsidRPr="00D35904" w:rsidRDefault="002274FD" w:rsidP="007C1D42">
      <w:pPr>
        <w:spacing w:after="0" w:line="276" w:lineRule="auto"/>
        <w:jc w:val="both"/>
        <w:rPr>
          <w:sz w:val="24"/>
          <w:lang w:val="en-GB"/>
        </w:rPr>
      </w:pPr>
    </w:p>
    <w:p w:rsidR="00EA6C05" w:rsidRPr="00D35904" w:rsidRDefault="000E1869" w:rsidP="007C1D42">
      <w:pPr>
        <w:spacing w:after="0" w:line="276" w:lineRule="auto"/>
        <w:jc w:val="both"/>
        <w:rPr>
          <w:sz w:val="24"/>
          <w:lang w:val="en-GB"/>
        </w:rPr>
      </w:pPr>
      <w:r w:rsidRPr="00D35904">
        <w:rPr>
          <w:sz w:val="24"/>
          <w:lang w:val="en-GB"/>
        </w:rPr>
        <w:tab/>
        <w:t xml:space="preserve">The matter proceeded on arguments relating to the objection raised. Mr R. Pursem S.C. for the Respondent notably submitted that the matter was reported to the CCM in January 2019 and at that time, </w:t>
      </w:r>
      <w:r w:rsidRPr="00D35904">
        <w:rPr>
          <w:i/>
          <w:sz w:val="24"/>
          <w:lang w:val="en-GB"/>
        </w:rPr>
        <w:t>section 69</w:t>
      </w:r>
      <w:r w:rsidRPr="00D35904">
        <w:rPr>
          <w:sz w:val="24"/>
          <w:lang w:val="en-GB"/>
        </w:rPr>
        <w:t xml:space="preserve"> of the </w:t>
      </w:r>
      <w:r w:rsidRPr="00D35904">
        <w:rPr>
          <w:i/>
          <w:sz w:val="24"/>
          <w:lang w:val="en-GB"/>
        </w:rPr>
        <w:t>Act</w:t>
      </w:r>
      <w:r w:rsidRPr="00D35904">
        <w:rPr>
          <w:sz w:val="24"/>
          <w:lang w:val="en-GB"/>
        </w:rPr>
        <w:t xml:space="preserve"> stood differently and to a large extent distinct from its present form. The Amendment Act was proclaimed on 27 August 2019. Referring to the previous </w:t>
      </w:r>
      <w:r w:rsidRPr="00D35904">
        <w:rPr>
          <w:i/>
          <w:sz w:val="24"/>
          <w:lang w:val="en-GB"/>
        </w:rPr>
        <w:t>section 69 (7)</w:t>
      </w:r>
      <w:r w:rsidRPr="00D35904">
        <w:rPr>
          <w:sz w:val="24"/>
          <w:lang w:val="en-GB"/>
        </w:rPr>
        <w:t xml:space="preserve">, Learned Senior Counsel submitted that the Commission had the obligation to refer the matter to the Tribunal within seven days provided that there was no agreement; and secondly, this can only be done with the consent of the worker. </w:t>
      </w:r>
      <w:r w:rsidR="00B0160C" w:rsidRPr="00D35904">
        <w:rPr>
          <w:i/>
          <w:sz w:val="24"/>
          <w:lang w:val="en-GB"/>
        </w:rPr>
        <w:t>Section 69</w:t>
      </w:r>
      <w:r w:rsidR="00B0160C" w:rsidRPr="00D35904">
        <w:rPr>
          <w:sz w:val="24"/>
          <w:lang w:val="en-GB"/>
        </w:rPr>
        <w:t xml:space="preserve"> has now been purely and simply replaced by a new section. </w:t>
      </w:r>
      <w:r w:rsidR="007A7F5E" w:rsidRPr="00D35904">
        <w:rPr>
          <w:sz w:val="24"/>
          <w:lang w:val="en-GB"/>
        </w:rPr>
        <w:t xml:space="preserve">The Commission could not therefore have availed itself of the new </w:t>
      </w:r>
      <w:r w:rsidR="007A7F5E" w:rsidRPr="00D35904">
        <w:rPr>
          <w:i/>
          <w:sz w:val="24"/>
          <w:lang w:val="en-GB"/>
        </w:rPr>
        <w:t>section 69 (9)</w:t>
      </w:r>
      <w:r w:rsidR="007A7F5E" w:rsidRPr="00D35904">
        <w:rPr>
          <w:sz w:val="24"/>
          <w:lang w:val="en-GB"/>
        </w:rPr>
        <w:t xml:space="preserve"> with respect to a dispute declared prior to August 2019. </w:t>
      </w:r>
    </w:p>
    <w:p w:rsidR="00EA6C05" w:rsidRPr="00D35904" w:rsidRDefault="00EA6C05" w:rsidP="007C1D42">
      <w:pPr>
        <w:spacing w:after="0" w:line="276" w:lineRule="auto"/>
        <w:jc w:val="both"/>
        <w:rPr>
          <w:sz w:val="24"/>
          <w:lang w:val="en-GB"/>
        </w:rPr>
      </w:pPr>
    </w:p>
    <w:p w:rsidR="00EA6C05" w:rsidRPr="00D35904" w:rsidRDefault="00EA6C05" w:rsidP="007C1D42">
      <w:pPr>
        <w:spacing w:after="0" w:line="276" w:lineRule="auto"/>
        <w:jc w:val="both"/>
        <w:rPr>
          <w:sz w:val="24"/>
          <w:lang w:val="en-GB"/>
        </w:rPr>
      </w:pPr>
    </w:p>
    <w:p w:rsidR="002274FD" w:rsidRPr="00D35904" w:rsidRDefault="00A16942" w:rsidP="007C1D42">
      <w:pPr>
        <w:spacing w:after="0" w:line="276" w:lineRule="auto"/>
        <w:ind w:firstLine="720"/>
        <w:jc w:val="both"/>
        <w:rPr>
          <w:sz w:val="24"/>
          <w:lang w:val="en-GB"/>
        </w:rPr>
      </w:pPr>
      <w:r>
        <w:rPr>
          <w:sz w:val="24"/>
          <w:lang w:val="en-GB"/>
        </w:rPr>
        <w:t>It wa</w:t>
      </w:r>
      <w:r w:rsidR="007A7F5E" w:rsidRPr="00D35904">
        <w:rPr>
          <w:sz w:val="24"/>
          <w:lang w:val="en-GB"/>
        </w:rPr>
        <w:t xml:space="preserve">s </w:t>
      </w:r>
      <w:r w:rsidR="00EA6C05" w:rsidRPr="00D35904">
        <w:rPr>
          <w:sz w:val="24"/>
          <w:lang w:val="en-GB"/>
        </w:rPr>
        <w:t xml:space="preserve">Learned </w:t>
      </w:r>
      <w:r w:rsidR="007A7F5E" w:rsidRPr="00D35904">
        <w:rPr>
          <w:sz w:val="24"/>
          <w:lang w:val="en-GB"/>
        </w:rPr>
        <w:t xml:space="preserve">Senior Counsel’s submission that the Commission could not have relied on </w:t>
      </w:r>
      <w:r w:rsidR="007A7F5E" w:rsidRPr="00D35904">
        <w:rPr>
          <w:i/>
          <w:sz w:val="24"/>
          <w:lang w:val="en-GB"/>
        </w:rPr>
        <w:t>section 69 (9)</w:t>
      </w:r>
      <w:r w:rsidR="001A2063" w:rsidRPr="00D35904">
        <w:rPr>
          <w:sz w:val="24"/>
          <w:lang w:val="en-GB"/>
        </w:rPr>
        <w:t xml:space="preserve"> to make the present referral. It has no power to do so. As matters presently stand, the case has been wrongly referred to the Tribunal and therefore the latter cannot proceed. The </w:t>
      </w:r>
      <w:r w:rsidR="001A2063" w:rsidRPr="00D35904">
        <w:rPr>
          <w:sz w:val="24"/>
          <w:lang w:val="en-GB"/>
        </w:rPr>
        <w:lastRenderedPageBreak/>
        <w:t xml:space="preserve">Tribunal does not therefore have jurisdiction under </w:t>
      </w:r>
      <w:r w:rsidR="001A2063" w:rsidRPr="00D35904">
        <w:rPr>
          <w:i/>
          <w:sz w:val="24"/>
          <w:lang w:val="en-GB"/>
        </w:rPr>
        <w:t>section 69 (9)</w:t>
      </w:r>
      <w:r w:rsidR="001A2063" w:rsidRPr="00D35904">
        <w:rPr>
          <w:sz w:val="24"/>
          <w:lang w:val="en-GB"/>
        </w:rPr>
        <w:t xml:space="preserve"> to entertain the present dispute. </w:t>
      </w:r>
    </w:p>
    <w:p w:rsidR="002274FD" w:rsidRPr="00D35904" w:rsidRDefault="002274FD" w:rsidP="007C1D42">
      <w:pPr>
        <w:spacing w:after="0" w:line="276" w:lineRule="auto"/>
        <w:jc w:val="both"/>
        <w:rPr>
          <w:sz w:val="24"/>
          <w:lang w:val="en-GB"/>
        </w:rPr>
      </w:pPr>
    </w:p>
    <w:p w:rsidR="00172930" w:rsidRPr="00D35904" w:rsidRDefault="00172930" w:rsidP="007C1D42">
      <w:pPr>
        <w:spacing w:after="0" w:line="276" w:lineRule="auto"/>
        <w:jc w:val="both"/>
        <w:rPr>
          <w:sz w:val="24"/>
          <w:lang w:val="en-GB"/>
        </w:rPr>
      </w:pPr>
    </w:p>
    <w:p w:rsidR="00172930" w:rsidRPr="00D35904" w:rsidRDefault="00172930" w:rsidP="007C1D42">
      <w:pPr>
        <w:spacing w:after="0" w:line="276" w:lineRule="auto"/>
        <w:jc w:val="both"/>
        <w:rPr>
          <w:sz w:val="24"/>
          <w:lang w:val="en-GB"/>
        </w:rPr>
      </w:pPr>
      <w:r w:rsidRPr="00D35904">
        <w:rPr>
          <w:sz w:val="24"/>
          <w:lang w:val="en-GB"/>
        </w:rPr>
        <w:tab/>
        <w:t xml:space="preserve">Mr M. Ramano, on </w:t>
      </w:r>
      <w:r w:rsidR="001B0577" w:rsidRPr="00D35904">
        <w:rPr>
          <w:sz w:val="24"/>
          <w:lang w:val="en-GB"/>
        </w:rPr>
        <w:t>behalf</w:t>
      </w:r>
      <w:r w:rsidRPr="00D35904">
        <w:rPr>
          <w:sz w:val="24"/>
          <w:lang w:val="en-GB"/>
        </w:rPr>
        <w:t xml:space="preserve"> of the Disputants, </w:t>
      </w:r>
      <w:r w:rsidR="001B0577" w:rsidRPr="00D35904">
        <w:rPr>
          <w:sz w:val="24"/>
          <w:lang w:val="en-GB"/>
        </w:rPr>
        <w:t xml:space="preserve">notably </w:t>
      </w:r>
      <w:r w:rsidRPr="00D35904">
        <w:rPr>
          <w:sz w:val="24"/>
          <w:lang w:val="en-GB"/>
        </w:rPr>
        <w:t>submitted that</w:t>
      </w:r>
      <w:r w:rsidR="001B0577" w:rsidRPr="00D35904">
        <w:rPr>
          <w:sz w:val="24"/>
          <w:lang w:val="en-GB"/>
        </w:rPr>
        <w:t xml:space="preserve"> the error, if error there is, has not been caused by the Disputants</w:t>
      </w:r>
      <w:r w:rsidR="00086F11" w:rsidRPr="00D35904">
        <w:rPr>
          <w:sz w:val="24"/>
          <w:lang w:val="en-GB"/>
        </w:rPr>
        <w:t xml:space="preserve"> and they cannot be prejudiced for an error that is not of their doing. The matter could have been withdrawn</w:t>
      </w:r>
      <w:r w:rsidR="0099615B" w:rsidRPr="00D35904">
        <w:rPr>
          <w:sz w:val="24"/>
          <w:lang w:val="en-GB"/>
        </w:rPr>
        <w:t>,</w:t>
      </w:r>
      <w:r w:rsidR="00086F11" w:rsidRPr="00D35904">
        <w:rPr>
          <w:sz w:val="24"/>
          <w:lang w:val="en-GB"/>
        </w:rPr>
        <w:t xml:space="preserve"> if </w:t>
      </w:r>
      <w:r w:rsidR="0099615B" w:rsidRPr="00D35904">
        <w:rPr>
          <w:sz w:val="24"/>
          <w:lang w:val="en-GB"/>
        </w:rPr>
        <w:t>it</w:t>
      </w:r>
      <w:r w:rsidR="00086F11" w:rsidRPr="00D35904">
        <w:rPr>
          <w:sz w:val="24"/>
          <w:lang w:val="en-GB"/>
        </w:rPr>
        <w:t xml:space="preserve"> would not have been</w:t>
      </w:r>
      <w:r w:rsidR="0099615B" w:rsidRPr="00D35904">
        <w:rPr>
          <w:sz w:val="24"/>
          <w:lang w:val="en-GB"/>
        </w:rPr>
        <w:t xml:space="preserve"> for</w:t>
      </w:r>
      <w:r w:rsidR="00086F11" w:rsidRPr="00D35904">
        <w:rPr>
          <w:sz w:val="24"/>
          <w:lang w:val="en-GB"/>
        </w:rPr>
        <w:t xml:space="preserve"> the problem of time bar as the issue dates back to July 2016. </w:t>
      </w:r>
      <w:r w:rsidR="0099615B" w:rsidRPr="00D35904">
        <w:rPr>
          <w:sz w:val="24"/>
          <w:lang w:val="en-GB"/>
        </w:rPr>
        <w:t>Counsel</w:t>
      </w:r>
      <w:r w:rsidR="00086F11" w:rsidRPr="00D35904">
        <w:rPr>
          <w:sz w:val="24"/>
          <w:lang w:val="en-GB"/>
        </w:rPr>
        <w:t xml:space="preserve"> therefore suggested that the</w:t>
      </w:r>
      <w:r w:rsidR="00733EFB" w:rsidRPr="00D35904">
        <w:rPr>
          <w:sz w:val="24"/>
          <w:lang w:val="en-GB"/>
        </w:rPr>
        <w:t xml:space="preserve"> matter be kept pending and the</w:t>
      </w:r>
      <w:r w:rsidR="00086F11" w:rsidRPr="00D35904">
        <w:rPr>
          <w:sz w:val="24"/>
          <w:lang w:val="en-GB"/>
        </w:rPr>
        <w:t xml:space="preserve"> Tribunal liaise with the CCM to see if any adjustment can be made. However, Counsel could not refer to any specific provision</w:t>
      </w:r>
      <w:r w:rsidR="00D135BF" w:rsidRPr="00D35904">
        <w:rPr>
          <w:sz w:val="24"/>
          <w:lang w:val="en-GB"/>
        </w:rPr>
        <w:t xml:space="preserve"> in the law</w:t>
      </w:r>
      <w:r w:rsidR="00086F11" w:rsidRPr="00D35904">
        <w:rPr>
          <w:sz w:val="24"/>
          <w:lang w:val="en-GB"/>
        </w:rPr>
        <w:t xml:space="preserve"> to enable the Tribunal to refer the matter back to the CCM. </w:t>
      </w:r>
      <w:r w:rsidRPr="00D35904">
        <w:rPr>
          <w:sz w:val="24"/>
          <w:lang w:val="en-GB"/>
        </w:rPr>
        <w:t xml:space="preserve">  </w:t>
      </w:r>
    </w:p>
    <w:p w:rsidR="00311783" w:rsidRPr="00D35904" w:rsidRDefault="00311783" w:rsidP="007C1D42">
      <w:pPr>
        <w:spacing w:after="0" w:line="276" w:lineRule="auto"/>
        <w:jc w:val="both"/>
        <w:rPr>
          <w:sz w:val="24"/>
          <w:lang w:val="en-GB"/>
        </w:rPr>
      </w:pPr>
    </w:p>
    <w:p w:rsidR="00716654" w:rsidRPr="00D35904" w:rsidRDefault="00716654" w:rsidP="007C1D42">
      <w:pPr>
        <w:spacing w:after="0" w:line="276" w:lineRule="auto"/>
        <w:jc w:val="both"/>
        <w:rPr>
          <w:sz w:val="24"/>
          <w:lang w:val="en-GB"/>
        </w:rPr>
      </w:pPr>
    </w:p>
    <w:p w:rsidR="00716654" w:rsidRPr="00D35904" w:rsidRDefault="00716654" w:rsidP="007C1D42">
      <w:pPr>
        <w:spacing w:after="0" w:line="276" w:lineRule="auto"/>
        <w:jc w:val="both"/>
        <w:rPr>
          <w:sz w:val="24"/>
          <w:lang w:val="en-GB"/>
        </w:rPr>
      </w:pPr>
      <w:r w:rsidRPr="00D35904">
        <w:rPr>
          <w:sz w:val="24"/>
          <w:lang w:val="en-GB"/>
        </w:rPr>
        <w:tab/>
        <w:t>The present disputes have been referred to the Tribunal by the CCM as per a letter, in each dispute, dated 11 March 2020. The salient aspect of the referral letter</w:t>
      </w:r>
      <w:r w:rsidR="00283CB6">
        <w:rPr>
          <w:sz w:val="24"/>
          <w:lang w:val="en-GB"/>
        </w:rPr>
        <w:t xml:space="preserve"> of the first disputant, which is similar to that of the other Disputants,</w:t>
      </w:r>
      <w:r w:rsidRPr="00D35904">
        <w:rPr>
          <w:sz w:val="24"/>
          <w:lang w:val="en-GB"/>
        </w:rPr>
        <w:t xml:space="preserve"> reads as follows:</w:t>
      </w:r>
    </w:p>
    <w:p w:rsidR="00716654" w:rsidRPr="00F8166A" w:rsidRDefault="00716654" w:rsidP="007C1D42">
      <w:pPr>
        <w:spacing w:after="0" w:line="276" w:lineRule="auto"/>
        <w:jc w:val="both"/>
        <w:rPr>
          <w:lang w:val="en-GB"/>
        </w:rPr>
      </w:pPr>
    </w:p>
    <w:p w:rsidR="00716654" w:rsidRPr="00D35904" w:rsidRDefault="00716654" w:rsidP="007C1D42">
      <w:pPr>
        <w:spacing w:after="0" w:line="276" w:lineRule="auto"/>
        <w:ind w:left="720" w:right="855"/>
        <w:jc w:val="both"/>
        <w:rPr>
          <w:i/>
          <w:lang w:val="en-GB"/>
        </w:rPr>
      </w:pPr>
      <w:r w:rsidRPr="00D35904">
        <w:rPr>
          <w:i/>
          <w:lang w:val="en-GB"/>
        </w:rPr>
        <w:t xml:space="preserve">On 22 January 2019, </w:t>
      </w:r>
      <w:r w:rsidR="00283CB6" w:rsidRPr="00283CB6">
        <w:rPr>
          <w:b/>
          <w:i/>
          <w:lang w:val="en-GB"/>
        </w:rPr>
        <w:t>Mr Kajeerow Coonlic</w:t>
      </w:r>
      <w:r w:rsidRPr="00D35904">
        <w:rPr>
          <w:i/>
          <w:lang w:val="en-GB"/>
        </w:rPr>
        <w:t xml:space="preserve"> reported to the President of the Commission for Conciliation and Mediation the existence of a labour dispute between himself and the </w:t>
      </w:r>
      <w:r w:rsidRPr="00D35904">
        <w:rPr>
          <w:b/>
          <w:i/>
          <w:lang w:val="en-GB"/>
        </w:rPr>
        <w:t>Mauritius Telecom Ltd</w:t>
      </w:r>
      <w:r w:rsidRPr="00D35904">
        <w:rPr>
          <w:i/>
          <w:lang w:val="en-GB"/>
        </w:rPr>
        <w:t xml:space="preserve"> as per Section 64(1) of the Employment Relations Act 2008 (Act No.32 of 2008) as amended. </w:t>
      </w:r>
    </w:p>
    <w:p w:rsidR="00716654" w:rsidRPr="00D35904" w:rsidRDefault="00716654" w:rsidP="007C1D42">
      <w:pPr>
        <w:spacing w:after="0" w:line="276" w:lineRule="auto"/>
        <w:ind w:left="720" w:right="855"/>
        <w:jc w:val="both"/>
        <w:rPr>
          <w:i/>
          <w:lang w:val="en-GB"/>
        </w:rPr>
      </w:pPr>
    </w:p>
    <w:p w:rsidR="00716654" w:rsidRPr="00D35904" w:rsidRDefault="00716654" w:rsidP="007C1D42">
      <w:pPr>
        <w:spacing w:after="0" w:line="276" w:lineRule="auto"/>
        <w:ind w:left="720" w:right="855"/>
        <w:jc w:val="both"/>
        <w:rPr>
          <w:i/>
          <w:lang w:val="en-GB"/>
        </w:rPr>
      </w:pPr>
      <w:r w:rsidRPr="00D35904">
        <w:rPr>
          <w:i/>
          <w:lang w:val="en-GB"/>
        </w:rPr>
        <w:t xml:space="preserve">Conciliation meetings were held at the Commission and no settlement has been possible. </w:t>
      </w:r>
    </w:p>
    <w:p w:rsidR="00716654" w:rsidRPr="00D35904" w:rsidRDefault="00716654" w:rsidP="007C1D42">
      <w:pPr>
        <w:spacing w:after="0" w:line="276" w:lineRule="auto"/>
        <w:ind w:left="720" w:right="855"/>
        <w:jc w:val="both"/>
        <w:rPr>
          <w:i/>
          <w:lang w:val="en-GB"/>
        </w:rPr>
      </w:pPr>
    </w:p>
    <w:p w:rsidR="00716654" w:rsidRPr="00D35904" w:rsidRDefault="00716654" w:rsidP="007C1D42">
      <w:pPr>
        <w:spacing w:after="0" w:line="276" w:lineRule="auto"/>
        <w:ind w:left="720" w:right="855"/>
        <w:jc w:val="both"/>
        <w:rPr>
          <w:i/>
          <w:lang w:val="en-GB"/>
        </w:rPr>
      </w:pPr>
      <w:r w:rsidRPr="00D35904">
        <w:rPr>
          <w:i/>
          <w:lang w:val="en-GB"/>
        </w:rPr>
        <w:t xml:space="preserve">The Commission has, after due consideration and with the consent of the worker, referred the labour dispute to the Employment Relations Tribunal for arbitration, in terms of Section 69(9)(b) of the Employment Relations Act 2008 (as amended) </w:t>
      </w:r>
      <w:r w:rsidRPr="00D35904">
        <w:rPr>
          <w:i/>
          <w:u w:val="single"/>
          <w:lang w:val="en-GB"/>
        </w:rPr>
        <w:t>as per enclosed terms of reference</w:t>
      </w:r>
      <w:r w:rsidRPr="00D35904">
        <w:rPr>
          <w:i/>
          <w:lang w:val="en-GB"/>
        </w:rPr>
        <w:t xml:space="preserve">. </w:t>
      </w:r>
    </w:p>
    <w:p w:rsidR="00716654" w:rsidRDefault="00716654" w:rsidP="007C1D42">
      <w:pPr>
        <w:spacing w:after="0" w:line="276" w:lineRule="auto"/>
        <w:jc w:val="both"/>
        <w:rPr>
          <w:sz w:val="24"/>
          <w:lang w:val="en-GB"/>
        </w:rPr>
      </w:pPr>
    </w:p>
    <w:p w:rsidR="00B02F12" w:rsidRPr="00D35904" w:rsidRDefault="00B02F12" w:rsidP="007C1D42">
      <w:pPr>
        <w:spacing w:after="0" w:line="276" w:lineRule="auto"/>
        <w:jc w:val="both"/>
        <w:rPr>
          <w:sz w:val="24"/>
          <w:lang w:val="en-GB"/>
        </w:rPr>
      </w:pPr>
    </w:p>
    <w:p w:rsidR="00072AF7" w:rsidRPr="00D35904" w:rsidRDefault="00716654" w:rsidP="007C1D42">
      <w:pPr>
        <w:spacing w:after="0" w:line="276" w:lineRule="auto"/>
        <w:jc w:val="both"/>
        <w:rPr>
          <w:sz w:val="24"/>
          <w:lang w:val="en-GB"/>
        </w:rPr>
      </w:pPr>
      <w:r w:rsidRPr="00D35904">
        <w:rPr>
          <w:sz w:val="24"/>
          <w:lang w:val="en-GB"/>
        </w:rPr>
        <w:tab/>
        <w:t>A perusal of the above extract of the referral clearly shows that the matter was reported to the President of the CCM on 22 January 2019.</w:t>
      </w:r>
      <w:r w:rsidR="00495218">
        <w:rPr>
          <w:sz w:val="24"/>
          <w:lang w:val="en-GB"/>
        </w:rPr>
        <w:t xml:space="preserve"> It may also be noted that the second, third, fourth </w:t>
      </w:r>
      <w:r w:rsidR="00A16942">
        <w:rPr>
          <w:sz w:val="24"/>
          <w:lang w:val="en-GB"/>
        </w:rPr>
        <w:t xml:space="preserve">Disputants </w:t>
      </w:r>
      <w:r w:rsidR="00495218">
        <w:rPr>
          <w:sz w:val="24"/>
          <w:lang w:val="en-GB"/>
        </w:rPr>
        <w:t xml:space="preserve">reported their </w:t>
      </w:r>
      <w:r w:rsidR="00230135">
        <w:rPr>
          <w:sz w:val="24"/>
          <w:lang w:val="en-GB"/>
        </w:rPr>
        <w:t>disputes on 18 January 2018; whereas</w:t>
      </w:r>
      <w:r w:rsidR="00495218">
        <w:rPr>
          <w:sz w:val="24"/>
          <w:lang w:val="en-GB"/>
        </w:rPr>
        <w:t xml:space="preserve"> the fifth, sixth and seventh </w:t>
      </w:r>
      <w:r w:rsidR="004872F0">
        <w:rPr>
          <w:sz w:val="24"/>
          <w:lang w:val="en-GB"/>
        </w:rPr>
        <w:t xml:space="preserve">Disputants </w:t>
      </w:r>
      <w:r w:rsidR="00230135">
        <w:rPr>
          <w:sz w:val="24"/>
          <w:lang w:val="en-GB"/>
        </w:rPr>
        <w:t>reported theirs</w:t>
      </w:r>
      <w:r w:rsidR="00495218">
        <w:rPr>
          <w:sz w:val="24"/>
          <w:lang w:val="en-GB"/>
        </w:rPr>
        <w:t xml:space="preserve"> on 25 January 2019.</w:t>
      </w:r>
      <w:r w:rsidRPr="00D35904">
        <w:rPr>
          <w:sz w:val="24"/>
          <w:lang w:val="en-GB"/>
        </w:rPr>
        <w:t xml:space="preserve"> This is clearly prior to the proclamation of the </w:t>
      </w:r>
      <w:r w:rsidRPr="00D35904">
        <w:rPr>
          <w:i/>
          <w:sz w:val="24"/>
          <w:lang w:val="en-GB"/>
        </w:rPr>
        <w:t>Employment Relations (Amend</w:t>
      </w:r>
      <w:r w:rsidR="006A509C" w:rsidRPr="00D35904">
        <w:rPr>
          <w:i/>
          <w:sz w:val="24"/>
          <w:lang w:val="en-GB"/>
        </w:rPr>
        <w:t>ment</w:t>
      </w:r>
      <w:r w:rsidRPr="00D35904">
        <w:rPr>
          <w:i/>
          <w:sz w:val="24"/>
          <w:lang w:val="en-GB"/>
        </w:rPr>
        <w:t>) Act 2019</w:t>
      </w:r>
      <w:r w:rsidRPr="00D35904">
        <w:rPr>
          <w:sz w:val="24"/>
          <w:lang w:val="en-GB"/>
        </w:rPr>
        <w:t xml:space="preserve"> (</w:t>
      </w:r>
      <w:r w:rsidRPr="00D35904">
        <w:rPr>
          <w:i/>
          <w:sz w:val="24"/>
          <w:lang w:val="en-GB"/>
        </w:rPr>
        <w:t>Act No. 21 of 2019</w:t>
      </w:r>
      <w:r w:rsidRPr="00D35904">
        <w:rPr>
          <w:sz w:val="24"/>
          <w:lang w:val="en-GB"/>
        </w:rPr>
        <w:t>)</w:t>
      </w:r>
      <w:r w:rsidR="006A509C" w:rsidRPr="00D35904">
        <w:rPr>
          <w:sz w:val="24"/>
          <w:lang w:val="en-GB"/>
        </w:rPr>
        <w:t xml:space="preserve"> (the “</w:t>
      </w:r>
      <w:r w:rsidR="006A509C" w:rsidRPr="00D35904">
        <w:rPr>
          <w:i/>
          <w:sz w:val="24"/>
          <w:lang w:val="en-GB"/>
        </w:rPr>
        <w:t>Amendment Act 2019</w:t>
      </w:r>
      <w:r w:rsidR="006A509C" w:rsidRPr="00D35904">
        <w:rPr>
          <w:sz w:val="24"/>
          <w:lang w:val="en-GB"/>
        </w:rPr>
        <w:t>”)</w:t>
      </w:r>
      <w:r w:rsidRPr="00D35904">
        <w:rPr>
          <w:sz w:val="24"/>
          <w:lang w:val="en-GB"/>
        </w:rPr>
        <w:t xml:space="preserve"> on 27 August 2019</w:t>
      </w:r>
      <w:r w:rsidR="006A509C" w:rsidRPr="00D35904">
        <w:rPr>
          <w:sz w:val="24"/>
          <w:lang w:val="en-GB"/>
        </w:rPr>
        <w:t xml:space="preserve"> (</w:t>
      </w:r>
      <w:r w:rsidR="006A509C" w:rsidRPr="00D35904">
        <w:rPr>
          <w:i/>
          <w:sz w:val="24"/>
          <w:lang w:val="en-GB"/>
        </w:rPr>
        <w:t>vide Proclamation No. 34 of 2019</w:t>
      </w:r>
      <w:r w:rsidR="006A509C" w:rsidRPr="00D35904">
        <w:rPr>
          <w:sz w:val="24"/>
          <w:lang w:val="en-GB"/>
        </w:rPr>
        <w:t>)</w:t>
      </w:r>
      <w:r w:rsidRPr="00D35904">
        <w:rPr>
          <w:sz w:val="24"/>
          <w:lang w:val="en-GB"/>
        </w:rPr>
        <w:t xml:space="preserve">. </w:t>
      </w:r>
      <w:r w:rsidR="006A509C" w:rsidRPr="00D35904">
        <w:rPr>
          <w:sz w:val="24"/>
          <w:lang w:val="en-GB"/>
        </w:rPr>
        <w:t xml:space="preserve">As has been rightly observed by Leaned Senior Counsel for the Respondent, the </w:t>
      </w:r>
      <w:r w:rsidR="006A509C" w:rsidRPr="00D35904">
        <w:rPr>
          <w:i/>
          <w:sz w:val="24"/>
          <w:lang w:val="en-GB"/>
        </w:rPr>
        <w:t xml:space="preserve">Amendment Act </w:t>
      </w:r>
      <w:r w:rsidR="004A44B1" w:rsidRPr="00D35904">
        <w:rPr>
          <w:i/>
          <w:sz w:val="24"/>
          <w:lang w:val="en-GB"/>
        </w:rPr>
        <w:t>2019</w:t>
      </w:r>
      <w:r w:rsidR="004A44B1" w:rsidRPr="00D35904">
        <w:rPr>
          <w:sz w:val="24"/>
          <w:lang w:val="en-GB"/>
        </w:rPr>
        <w:t xml:space="preserve"> </w:t>
      </w:r>
      <w:r w:rsidR="006A509C" w:rsidRPr="00D35904">
        <w:rPr>
          <w:sz w:val="24"/>
          <w:lang w:val="en-GB"/>
        </w:rPr>
        <w:t xml:space="preserve">has repealed and replaced </w:t>
      </w:r>
      <w:r w:rsidR="006A509C" w:rsidRPr="00D35904">
        <w:rPr>
          <w:i/>
          <w:sz w:val="24"/>
          <w:lang w:val="en-GB"/>
        </w:rPr>
        <w:t>section 69</w:t>
      </w:r>
      <w:r w:rsidR="006A509C" w:rsidRPr="00D35904">
        <w:rPr>
          <w:sz w:val="24"/>
          <w:lang w:val="en-GB"/>
        </w:rPr>
        <w:t xml:space="preserve"> of the</w:t>
      </w:r>
      <w:r w:rsidR="00001C82" w:rsidRPr="00D35904">
        <w:rPr>
          <w:sz w:val="24"/>
          <w:lang w:val="en-GB"/>
        </w:rPr>
        <w:t xml:space="preserve"> principal</w:t>
      </w:r>
      <w:r w:rsidR="006A509C" w:rsidRPr="00D35904">
        <w:rPr>
          <w:sz w:val="24"/>
          <w:lang w:val="en-GB"/>
        </w:rPr>
        <w:t xml:space="preserve"> </w:t>
      </w:r>
      <w:r w:rsidR="006A509C" w:rsidRPr="00D35904">
        <w:rPr>
          <w:i/>
          <w:sz w:val="24"/>
          <w:lang w:val="en-GB"/>
        </w:rPr>
        <w:t>Act</w:t>
      </w:r>
      <w:r w:rsidR="006A509C" w:rsidRPr="00D35904">
        <w:rPr>
          <w:sz w:val="24"/>
          <w:lang w:val="en-GB"/>
        </w:rPr>
        <w:t xml:space="preserve"> with a new section (</w:t>
      </w:r>
      <w:r w:rsidR="006A509C" w:rsidRPr="00D35904">
        <w:rPr>
          <w:i/>
          <w:sz w:val="24"/>
          <w:lang w:val="en-GB"/>
        </w:rPr>
        <w:t>vide</w:t>
      </w:r>
      <w:r w:rsidR="006A509C" w:rsidRPr="00D35904">
        <w:rPr>
          <w:sz w:val="24"/>
          <w:lang w:val="en-GB"/>
        </w:rPr>
        <w:t xml:space="preserve"> </w:t>
      </w:r>
      <w:r w:rsidR="006A509C" w:rsidRPr="00D35904">
        <w:rPr>
          <w:i/>
          <w:sz w:val="24"/>
          <w:lang w:val="en-GB"/>
        </w:rPr>
        <w:t>section 21</w:t>
      </w:r>
      <w:r w:rsidR="006A509C" w:rsidRPr="00D35904">
        <w:rPr>
          <w:sz w:val="24"/>
          <w:lang w:val="en-GB"/>
        </w:rPr>
        <w:t xml:space="preserve"> of the </w:t>
      </w:r>
      <w:r w:rsidR="006A509C" w:rsidRPr="00D35904">
        <w:rPr>
          <w:i/>
          <w:sz w:val="24"/>
          <w:lang w:val="en-GB"/>
        </w:rPr>
        <w:t>Amendment Act 2019</w:t>
      </w:r>
      <w:r w:rsidR="006A509C" w:rsidRPr="00D35904">
        <w:rPr>
          <w:sz w:val="24"/>
          <w:lang w:val="en-GB"/>
        </w:rPr>
        <w:t>).</w:t>
      </w:r>
      <w:r w:rsidR="00001C82" w:rsidRPr="00D35904">
        <w:rPr>
          <w:sz w:val="24"/>
          <w:lang w:val="en-GB"/>
        </w:rPr>
        <w:t xml:space="preserve"> </w:t>
      </w:r>
    </w:p>
    <w:p w:rsidR="00072AF7" w:rsidRPr="00D35904" w:rsidRDefault="00072AF7" w:rsidP="007C1D42">
      <w:pPr>
        <w:spacing w:after="0" w:line="276" w:lineRule="auto"/>
        <w:jc w:val="both"/>
        <w:rPr>
          <w:sz w:val="24"/>
          <w:lang w:val="en-GB"/>
        </w:rPr>
      </w:pPr>
    </w:p>
    <w:p w:rsidR="00072AF7" w:rsidRPr="00D35904" w:rsidRDefault="00072AF7" w:rsidP="007C1D42">
      <w:pPr>
        <w:spacing w:after="0" w:line="276" w:lineRule="auto"/>
        <w:jc w:val="both"/>
        <w:rPr>
          <w:sz w:val="24"/>
          <w:lang w:val="en-GB"/>
        </w:rPr>
      </w:pPr>
    </w:p>
    <w:p w:rsidR="0063589B" w:rsidRPr="00D35904" w:rsidRDefault="00001C82" w:rsidP="007C1D42">
      <w:pPr>
        <w:spacing w:after="0" w:line="276" w:lineRule="auto"/>
        <w:ind w:firstLine="720"/>
        <w:jc w:val="both"/>
        <w:rPr>
          <w:sz w:val="24"/>
          <w:lang w:val="en-GB"/>
        </w:rPr>
      </w:pPr>
      <w:r w:rsidRPr="00D35904">
        <w:rPr>
          <w:sz w:val="24"/>
          <w:lang w:val="en-GB"/>
        </w:rPr>
        <w:lastRenderedPageBreak/>
        <w:t xml:space="preserve">The referral letter has also revealed that the matter </w:t>
      </w:r>
      <w:r w:rsidR="00521E30">
        <w:rPr>
          <w:sz w:val="24"/>
          <w:lang w:val="en-GB"/>
        </w:rPr>
        <w:t>w</w:t>
      </w:r>
      <w:r w:rsidRPr="00D35904">
        <w:rPr>
          <w:sz w:val="24"/>
          <w:lang w:val="en-GB"/>
        </w:rPr>
        <w:t>as referred pursuant to</w:t>
      </w:r>
      <w:r w:rsidR="00072AF7" w:rsidRPr="00D35904">
        <w:rPr>
          <w:sz w:val="24"/>
          <w:lang w:val="en-GB"/>
        </w:rPr>
        <w:t xml:space="preserve"> </w:t>
      </w:r>
      <w:r w:rsidR="00072AF7" w:rsidRPr="00D35904">
        <w:rPr>
          <w:i/>
          <w:sz w:val="24"/>
          <w:lang w:val="en-GB"/>
        </w:rPr>
        <w:t xml:space="preserve">section 69(9)(b) </w:t>
      </w:r>
      <w:r w:rsidR="00072AF7" w:rsidRPr="00D35904">
        <w:rPr>
          <w:sz w:val="24"/>
          <w:lang w:val="en-GB"/>
        </w:rPr>
        <w:t xml:space="preserve">of the </w:t>
      </w:r>
      <w:r w:rsidR="00072AF7" w:rsidRPr="00D35904">
        <w:rPr>
          <w:i/>
          <w:sz w:val="24"/>
          <w:lang w:val="en-GB"/>
        </w:rPr>
        <w:t>Act</w:t>
      </w:r>
      <w:r w:rsidR="00072AF7" w:rsidRPr="00D35904">
        <w:rPr>
          <w:sz w:val="24"/>
          <w:lang w:val="en-GB"/>
        </w:rPr>
        <w:t xml:space="preserve">, as amended. It has not been disputed that this particular provision was enacted pursuant to the </w:t>
      </w:r>
      <w:r w:rsidR="00072AF7" w:rsidRPr="00D35904">
        <w:rPr>
          <w:i/>
          <w:sz w:val="24"/>
          <w:lang w:val="en-GB"/>
        </w:rPr>
        <w:t>Amendment Act 2019</w:t>
      </w:r>
      <w:r w:rsidR="00072AF7" w:rsidRPr="00D35904">
        <w:rPr>
          <w:sz w:val="24"/>
          <w:lang w:val="en-GB"/>
        </w:rPr>
        <w:t xml:space="preserve"> and came into force as from 27 August 2019. </w:t>
      </w:r>
    </w:p>
    <w:p w:rsidR="0063589B" w:rsidRPr="00D35904" w:rsidRDefault="0063589B" w:rsidP="007C1D42">
      <w:pPr>
        <w:spacing w:after="0" w:line="276" w:lineRule="auto"/>
        <w:ind w:firstLine="720"/>
        <w:jc w:val="both"/>
        <w:rPr>
          <w:sz w:val="24"/>
          <w:lang w:val="en-GB"/>
        </w:rPr>
      </w:pPr>
    </w:p>
    <w:p w:rsidR="0063589B" w:rsidRPr="00D35904" w:rsidRDefault="0063589B" w:rsidP="007C1D42">
      <w:pPr>
        <w:spacing w:after="0" w:line="276" w:lineRule="auto"/>
        <w:ind w:firstLine="720"/>
        <w:jc w:val="both"/>
        <w:rPr>
          <w:sz w:val="24"/>
          <w:lang w:val="en-GB"/>
        </w:rPr>
      </w:pPr>
    </w:p>
    <w:p w:rsidR="0063589B" w:rsidRPr="00D35904" w:rsidRDefault="0063589B" w:rsidP="007C1D42">
      <w:pPr>
        <w:spacing w:after="0" w:line="276" w:lineRule="auto"/>
        <w:ind w:firstLine="720"/>
        <w:jc w:val="both"/>
        <w:rPr>
          <w:sz w:val="24"/>
          <w:lang w:val="en-GB"/>
        </w:rPr>
      </w:pPr>
      <w:r w:rsidRPr="00D35904">
        <w:rPr>
          <w:sz w:val="24"/>
          <w:lang w:val="en-GB"/>
        </w:rPr>
        <w:t>In circumstances where a matter is already pending before the Commission prior to the coming into force of the 2019 amendments, the</w:t>
      </w:r>
      <w:r w:rsidR="00495218">
        <w:rPr>
          <w:sz w:val="24"/>
          <w:lang w:val="en-GB"/>
        </w:rPr>
        <w:t xml:space="preserve"> new</w:t>
      </w:r>
      <w:r w:rsidRPr="00D35904">
        <w:rPr>
          <w:sz w:val="24"/>
          <w:lang w:val="en-GB"/>
        </w:rPr>
        <w:t xml:space="preserve"> transitional provisions, as introduced by </w:t>
      </w:r>
      <w:r w:rsidRPr="00D35904">
        <w:rPr>
          <w:i/>
          <w:sz w:val="24"/>
          <w:lang w:val="en-GB"/>
        </w:rPr>
        <w:t>section 29</w:t>
      </w:r>
      <w:r w:rsidRPr="00D35904">
        <w:rPr>
          <w:sz w:val="24"/>
          <w:lang w:val="en-GB"/>
        </w:rPr>
        <w:t xml:space="preserve"> of the </w:t>
      </w:r>
      <w:r w:rsidRPr="00D35904">
        <w:rPr>
          <w:i/>
          <w:sz w:val="24"/>
          <w:lang w:val="en-GB"/>
        </w:rPr>
        <w:t>Amendment Act 2019</w:t>
      </w:r>
      <w:r w:rsidRPr="00D35904">
        <w:rPr>
          <w:sz w:val="24"/>
          <w:lang w:val="en-GB"/>
        </w:rPr>
        <w:t>, ha</w:t>
      </w:r>
      <w:r w:rsidR="00495218">
        <w:rPr>
          <w:sz w:val="24"/>
          <w:lang w:val="en-GB"/>
        </w:rPr>
        <w:t>ve</w:t>
      </w:r>
      <w:r w:rsidRPr="00D35904">
        <w:rPr>
          <w:sz w:val="24"/>
          <w:lang w:val="en-GB"/>
        </w:rPr>
        <w:t xml:space="preserve"> notably provided as follows:</w:t>
      </w:r>
    </w:p>
    <w:p w:rsidR="0063589B" w:rsidRPr="00F87A44" w:rsidRDefault="0063589B" w:rsidP="007C1D42">
      <w:pPr>
        <w:spacing w:after="0" w:line="276" w:lineRule="auto"/>
        <w:ind w:firstLine="720"/>
        <w:jc w:val="both"/>
        <w:rPr>
          <w:lang w:val="en-GB"/>
        </w:rPr>
      </w:pPr>
    </w:p>
    <w:p w:rsidR="0063589B" w:rsidRPr="00F87A44" w:rsidRDefault="0063589B" w:rsidP="007C1D42">
      <w:pPr>
        <w:autoSpaceDE w:val="0"/>
        <w:autoSpaceDN w:val="0"/>
        <w:adjustRightInd w:val="0"/>
        <w:spacing w:after="0" w:line="276" w:lineRule="auto"/>
        <w:ind w:right="855" w:firstLine="720"/>
        <w:jc w:val="both"/>
        <w:rPr>
          <w:rFonts w:cstheme="minorHAnsi"/>
          <w:b/>
          <w:bCs/>
          <w:i/>
          <w:lang w:val="en-GB"/>
        </w:rPr>
      </w:pPr>
      <w:r w:rsidRPr="00F87A44">
        <w:rPr>
          <w:rFonts w:cstheme="minorHAnsi"/>
          <w:b/>
          <w:bCs/>
          <w:i/>
          <w:lang w:val="en-GB"/>
        </w:rPr>
        <w:t xml:space="preserve">29. </w:t>
      </w:r>
      <w:r w:rsidRPr="00F87A44">
        <w:rPr>
          <w:rFonts w:cstheme="minorHAnsi"/>
          <w:b/>
          <w:bCs/>
          <w:i/>
          <w:lang w:val="en-GB"/>
        </w:rPr>
        <w:tab/>
        <w:t>Section 108 of principal Act repealed and replaced</w:t>
      </w:r>
    </w:p>
    <w:p w:rsidR="0063589B" w:rsidRPr="00F87A44" w:rsidRDefault="0063589B" w:rsidP="007C1D42">
      <w:pPr>
        <w:autoSpaceDE w:val="0"/>
        <w:autoSpaceDN w:val="0"/>
        <w:adjustRightInd w:val="0"/>
        <w:spacing w:after="0" w:line="276" w:lineRule="auto"/>
        <w:ind w:right="855"/>
        <w:jc w:val="both"/>
        <w:rPr>
          <w:rFonts w:cstheme="minorHAnsi"/>
          <w:i/>
          <w:lang w:val="en-GB"/>
        </w:rPr>
      </w:pPr>
    </w:p>
    <w:p w:rsidR="0063589B" w:rsidRPr="007C1D42" w:rsidRDefault="0063589B" w:rsidP="007C1D42">
      <w:pPr>
        <w:autoSpaceDE w:val="0"/>
        <w:autoSpaceDN w:val="0"/>
        <w:adjustRightInd w:val="0"/>
        <w:spacing w:after="0" w:line="276" w:lineRule="auto"/>
        <w:ind w:left="720" w:right="855" w:firstLine="720"/>
        <w:jc w:val="both"/>
        <w:rPr>
          <w:rFonts w:cstheme="minorHAnsi"/>
          <w:i/>
          <w:lang w:val="en-GB"/>
        </w:rPr>
      </w:pPr>
      <w:r w:rsidRPr="00F87A44">
        <w:rPr>
          <w:rFonts w:cstheme="minorHAnsi"/>
          <w:i/>
          <w:lang w:val="en-GB"/>
        </w:rPr>
        <w:t>Section 108 of the principal Act is repealed and replaced by the following section –</w:t>
      </w:r>
    </w:p>
    <w:p w:rsidR="0063589B" w:rsidRPr="00F87A44" w:rsidRDefault="0063589B" w:rsidP="007C1D42">
      <w:pPr>
        <w:spacing w:after="0" w:line="276" w:lineRule="auto"/>
        <w:ind w:left="1440" w:right="855" w:firstLine="720"/>
        <w:jc w:val="both"/>
        <w:rPr>
          <w:rFonts w:cstheme="minorHAnsi"/>
          <w:i/>
          <w:lang w:val="en-GB"/>
        </w:rPr>
      </w:pPr>
      <w:r w:rsidRPr="00F87A44">
        <w:rPr>
          <w:rFonts w:cstheme="minorHAnsi"/>
          <w:b/>
          <w:bCs/>
          <w:i/>
          <w:lang w:val="en-GB"/>
        </w:rPr>
        <w:t xml:space="preserve">108. </w:t>
      </w:r>
      <w:r w:rsidRPr="00F87A44">
        <w:rPr>
          <w:rFonts w:cstheme="minorHAnsi"/>
          <w:b/>
          <w:bCs/>
          <w:i/>
          <w:lang w:val="en-GB"/>
        </w:rPr>
        <w:tab/>
        <w:t>Savings and transitional provisions</w:t>
      </w:r>
      <w:r w:rsidRPr="00F87A44">
        <w:rPr>
          <w:rFonts w:cstheme="minorHAnsi"/>
          <w:i/>
          <w:lang w:val="en-GB"/>
        </w:rPr>
        <w:t xml:space="preserve">   </w:t>
      </w:r>
      <w:r w:rsidR="00001C82" w:rsidRPr="00F87A44">
        <w:rPr>
          <w:rFonts w:cstheme="minorHAnsi"/>
          <w:i/>
          <w:lang w:val="en-GB"/>
        </w:rPr>
        <w:t xml:space="preserve"> </w:t>
      </w:r>
      <w:r w:rsidR="006A509C" w:rsidRPr="00F87A44">
        <w:rPr>
          <w:rFonts w:cstheme="minorHAnsi"/>
          <w:i/>
          <w:lang w:val="en-GB"/>
        </w:rPr>
        <w:t xml:space="preserve">  </w:t>
      </w:r>
    </w:p>
    <w:p w:rsidR="00DD0057" w:rsidRPr="00F87A44" w:rsidRDefault="00DD0057" w:rsidP="007C1D42">
      <w:pPr>
        <w:autoSpaceDE w:val="0"/>
        <w:autoSpaceDN w:val="0"/>
        <w:adjustRightInd w:val="0"/>
        <w:spacing w:after="0" w:line="276" w:lineRule="auto"/>
        <w:ind w:right="855"/>
        <w:jc w:val="both"/>
        <w:rPr>
          <w:rFonts w:cstheme="minorHAnsi"/>
          <w:i/>
          <w:lang w:val="en-GB"/>
        </w:rPr>
      </w:pPr>
      <w:r w:rsidRPr="00F87A44">
        <w:rPr>
          <w:rFonts w:cstheme="minorHAnsi"/>
          <w:i/>
          <w:lang w:val="en-GB"/>
        </w:rPr>
        <w:tab/>
      </w:r>
      <w:r w:rsidRPr="00F87A44">
        <w:rPr>
          <w:rFonts w:cstheme="minorHAnsi"/>
          <w:i/>
          <w:lang w:val="en-GB"/>
        </w:rPr>
        <w:tab/>
      </w:r>
      <w:r w:rsidRPr="00F87A44">
        <w:rPr>
          <w:rFonts w:cstheme="minorHAnsi"/>
          <w:i/>
          <w:lang w:val="en-GB"/>
        </w:rPr>
        <w:tab/>
        <w:t>…</w:t>
      </w:r>
    </w:p>
    <w:p w:rsidR="0063589B" w:rsidRDefault="0063589B" w:rsidP="007C1D42">
      <w:pPr>
        <w:autoSpaceDE w:val="0"/>
        <w:autoSpaceDN w:val="0"/>
        <w:adjustRightInd w:val="0"/>
        <w:spacing w:after="0" w:line="276" w:lineRule="auto"/>
        <w:ind w:left="2160" w:right="855" w:firstLine="720"/>
        <w:jc w:val="both"/>
        <w:rPr>
          <w:rFonts w:cstheme="minorHAnsi"/>
          <w:i/>
          <w:lang w:val="en-GB"/>
        </w:rPr>
      </w:pPr>
      <w:r w:rsidRPr="00F87A44">
        <w:rPr>
          <w:rFonts w:cstheme="minorHAnsi"/>
          <w:i/>
          <w:lang w:val="en-GB"/>
        </w:rPr>
        <w:t xml:space="preserve">(8) </w:t>
      </w:r>
      <w:r w:rsidRPr="00F87A44">
        <w:rPr>
          <w:rFonts w:cstheme="minorHAnsi"/>
          <w:i/>
          <w:lang w:val="en-GB"/>
        </w:rPr>
        <w:tab/>
        <w:t>Any labour dispute which is reported to the President of the Commission before the commencement of the Employment Relations (Amendment) Act 2019 and which –</w:t>
      </w:r>
    </w:p>
    <w:p w:rsidR="007C1D42" w:rsidRPr="00F87A44" w:rsidRDefault="007C1D42" w:rsidP="007C1D42">
      <w:pPr>
        <w:autoSpaceDE w:val="0"/>
        <w:autoSpaceDN w:val="0"/>
        <w:adjustRightInd w:val="0"/>
        <w:spacing w:after="0" w:line="276" w:lineRule="auto"/>
        <w:ind w:left="2160" w:right="855" w:firstLine="720"/>
        <w:jc w:val="both"/>
        <w:rPr>
          <w:rFonts w:cstheme="minorHAnsi"/>
          <w:i/>
          <w:lang w:val="en-GB"/>
        </w:rPr>
      </w:pPr>
    </w:p>
    <w:p w:rsidR="0063589B" w:rsidRPr="00F87A44" w:rsidRDefault="0063589B" w:rsidP="007C1D42">
      <w:pPr>
        <w:autoSpaceDE w:val="0"/>
        <w:autoSpaceDN w:val="0"/>
        <w:adjustRightInd w:val="0"/>
        <w:spacing w:after="0" w:line="276" w:lineRule="auto"/>
        <w:ind w:left="4320" w:right="855" w:hanging="720"/>
        <w:jc w:val="both"/>
        <w:rPr>
          <w:rFonts w:cstheme="minorHAnsi"/>
          <w:i/>
          <w:lang w:val="en-GB"/>
        </w:rPr>
      </w:pPr>
      <w:r w:rsidRPr="00F87A44">
        <w:rPr>
          <w:rFonts w:cstheme="minorHAnsi"/>
          <w:i/>
          <w:lang w:val="en-GB"/>
        </w:rPr>
        <w:t xml:space="preserve">(a) </w:t>
      </w:r>
      <w:r w:rsidRPr="00F87A44">
        <w:rPr>
          <w:rFonts w:cstheme="minorHAnsi"/>
          <w:i/>
          <w:lang w:val="en-GB"/>
        </w:rPr>
        <w:tab/>
        <w:t>has not been rejected by the President of the Commission or where it has been rejected, the rejection has been revoked on an appeal to the Tribunal under section 66; or</w:t>
      </w:r>
    </w:p>
    <w:p w:rsidR="0063589B" w:rsidRPr="00F87A44" w:rsidRDefault="0063589B" w:rsidP="007C1D42">
      <w:pPr>
        <w:autoSpaceDE w:val="0"/>
        <w:autoSpaceDN w:val="0"/>
        <w:adjustRightInd w:val="0"/>
        <w:spacing w:after="0" w:line="276" w:lineRule="auto"/>
        <w:ind w:right="855"/>
        <w:jc w:val="both"/>
        <w:rPr>
          <w:rFonts w:cstheme="minorHAnsi"/>
          <w:i/>
          <w:lang w:val="en-GB"/>
        </w:rPr>
      </w:pPr>
    </w:p>
    <w:p w:rsidR="0063589B" w:rsidRPr="00F87A44" w:rsidRDefault="0063589B" w:rsidP="007C1D42">
      <w:pPr>
        <w:autoSpaceDE w:val="0"/>
        <w:autoSpaceDN w:val="0"/>
        <w:adjustRightInd w:val="0"/>
        <w:spacing w:after="0" w:line="276" w:lineRule="auto"/>
        <w:ind w:left="2880" w:right="855" w:firstLine="720"/>
        <w:jc w:val="both"/>
        <w:rPr>
          <w:rFonts w:cstheme="minorHAnsi"/>
          <w:i/>
          <w:lang w:val="en-GB"/>
        </w:rPr>
      </w:pPr>
      <w:r w:rsidRPr="00F87A44">
        <w:rPr>
          <w:rFonts w:cstheme="minorHAnsi"/>
          <w:i/>
          <w:lang w:val="en-GB"/>
        </w:rPr>
        <w:t xml:space="preserve">(b) </w:t>
      </w:r>
      <w:r w:rsidRPr="00F87A44">
        <w:rPr>
          <w:rFonts w:cstheme="minorHAnsi"/>
          <w:i/>
          <w:lang w:val="en-GB"/>
        </w:rPr>
        <w:tab/>
        <w:t>is referred to the Tribunal,</w:t>
      </w:r>
    </w:p>
    <w:p w:rsidR="0063589B" w:rsidRPr="00F87A44" w:rsidRDefault="0063589B" w:rsidP="007C1D42">
      <w:pPr>
        <w:autoSpaceDE w:val="0"/>
        <w:autoSpaceDN w:val="0"/>
        <w:adjustRightInd w:val="0"/>
        <w:spacing w:after="0" w:line="276" w:lineRule="auto"/>
        <w:ind w:right="855"/>
        <w:jc w:val="both"/>
        <w:rPr>
          <w:rFonts w:cstheme="minorHAnsi"/>
          <w:i/>
          <w:lang w:val="en-GB"/>
        </w:rPr>
      </w:pPr>
    </w:p>
    <w:p w:rsidR="00716654" w:rsidRPr="00F87A44" w:rsidRDefault="0063589B" w:rsidP="007C1D42">
      <w:pPr>
        <w:autoSpaceDE w:val="0"/>
        <w:autoSpaceDN w:val="0"/>
        <w:adjustRightInd w:val="0"/>
        <w:spacing w:after="0" w:line="276" w:lineRule="auto"/>
        <w:ind w:left="2160" w:right="855"/>
        <w:jc w:val="both"/>
        <w:rPr>
          <w:rFonts w:cstheme="minorHAnsi"/>
          <w:lang w:val="en-GB"/>
        </w:rPr>
      </w:pPr>
      <w:r w:rsidRPr="00F87A44">
        <w:rPr>
          <w:rFonts w:cstheme="minorHAnsi"/>
          <w:i/>
          <w:lang w:val="en-GB"/>
        </w:rPr>
        <w:t>shall be dealt with in accordance with Part VI as if sections 64,</w:t>
      </w:r>
      <w:r w:rsidR="00DD0057" w:rsidRPr="00F87A44">
        <w:rPr>
          <w:rFonts w:cstheme="minorHAnsi"/>
          <w:i/>
          <w:lang w:val="en-GB"/>
        </w:rPr>
        <w:t xml:space="preserve"> 65, 69, 70, 76, 78 </w:t>
      </w:r>
      <w:r w:rsidRPr="00F87A44">
        <w:rPr>
          <w:rFonts w:cstheme="minorHAnsi"/>
          <w:i/>
          <w:lang w:val="en-GB"/>
        </w:rPr>
        <w:t>and 88 have not been amended or repealed</w:t>
      </w:r>
      <w:r w:rsidR="00DD0057" w:rsidRPr="00F87A44">
        <w:rPr>
          <w:rFonts w:cstheme="minorHAnsi"/>
          <w:i/>
          <w:lang w:val="en-GB"/>
        </w:rPr>
        <w:t xml:space="preserve"> </w:t>
      </w:r>
      <w:r w:rsidRPr="00F87A44">
        <w:rPr>
          <w:rFonts w:cstheme="minorHAnsi"/>
          <w:i/>
          <w:lang w:val="en-GB"/>
        </w:rPr>
        <w:t>and replaced.</w:t>
      </w:r>
      <w:r w:rsidR="006A509C" w:rsidRPr="00F87A44">
        <w:rPr>
          <w:rFonts w:cstheme="minorHAnsi"/>
          <w:lang w:val="en-GB"/>
        </w:rPr>
        <w:t xml:space="preserve">     </w:t>
      </w:r>
      <w:r w:rsidR="00716654" w:rsidRPr="00F87A44">
        <w:rPr>
          <w:rFonts w:cstheme="minorHAnsi"/>
          <w:lang w:val="en-GB"/>
        </w:rPr>
        <w:t xml:space="preserve"> </w:t>
      </w:r>
    </w:p>
    <w:p w:rsidR="00DD0057" w:rsidRPr="007C1D42" w:rsidRDefault="00DD0057" w:rsidP="007C1D42">
      <w:pPr>
        <w:autoSpaceDE w:val="0"/>
        <w:autoSpaceDN w:val="0"/>
        <w:adjustRightInd w:val="0"/>
        <w:spacing w:after="0" w:line="276" w:lineRule="auto"/>
        <w:jc w:val="both"/>
        <w:rPr>
          <w:rFonts w:cstheme="minorHAnsi"/>
          <w:sz w:val="24"/>
          <w:lang w:val="en-GB"/>
        </w:rPr>
      </w:pPr>
    </w:p>
    <w:p w:rsidR="00DD0057" w:rsidRPr="00D35904" w:rsidRDefault="00DD0057" w:rsidP="007C1D42">
      <w:pPr>
        <w:autoSpaceDE w:val="0"/>
        <w:autoSpaceDN w:val="0"/>
        <w:adjustRightInd w:val="0"/>
        <w:spacing w:after="0" w:line="276" w:lineRule="auto"/>
        <w:jc w:val="both"/>
        <w:rPr>
          <w:sz w:val="24"/>
          <w:lang w:val="en-GB"/>
        </w:rPr>
      </w:pPr>
    </w:p>
    <w:p w:rsidR="00DD0057" w:rsidRDefault="00DD0057" w:rsidP="007C1D42">
      <w:pPr>
        <w:autoSpaceDE w:val="0"/>
        <w:autoSpaceDN w:val="0"/>
        <w:adjustRightInd w:val="0"/>
        <w:spacing w:after="0" w:line="276" w:lineRule="auto"/>
        <w:jc w:val="both"/>
        <w:rPr>
          <w:sz w:val="24"/>
          <w:lang w:val="en-GB"/>
        </w:rPr>
      </w:pPr>
      <w:r w:rsidRPr="00D35904">
        <w:rPr>
          <w:sz w:val="24"/>
          <w:lang w:val="en-GB"/>
        </w:rPr>
        <w:tab/>
      </w:r>
      <w:r w:rsidR="001A15A7" w:rsidRPr="00D35904">
        <w:rPr>
          <w:sz w:val="24"/>
          <w:lang w:val="en-GB"/>
        </w:rPr>
        <w:t>T</w:t>
      </w:r>
      <w:r w:rsidRPr="00D35904">
        <w:rPr>
          <w:sz w:val="24"/>
          <w:lang w:val="en-GB"/>
        </w:rPr>
        <w:t xml:space="preserve">he present disputes, having been reported to the CCM in January 2019, were clearly notified to the President of the CCM prior to 27 August 2019, which is the commencement date of the </w:t>
      </w:r>
      <w:r w:rsidRPr="00D35904">
        <w:rPr>
          <w:i/>
          <w:sz w:val="24"/>
          <w:lang w:val="en-GB"/>
        </w:rPr>
        <w:t>Amendment Act 2019</w:t>
      </w:r>
      <w:r w:rsidRPr="00D35904">
        <w:rPr>
          <w:sz w:val="24"/>
          <w:lang w:val="en-GB"/>
        </w:rPr>
        <w:t xml:space="preserve">. It was thus incumbent on the CCM to refer the matter in accordance with the relevant provisions of </w:t>
      </w:r>
      <w:r w:rsidRPr="00D35904">
        <w:rPr>
          <w:i/>
          <w:sz w:val="24"/>
          <w:lang w:val="en-GB"/>
        </w:rPr>
        <w:t>section 69</w:t>
      </w:r>
      <w:r w:rsidRPr="00D35904">
        <w:rPr>
          <w:sz w:val="24"/>
          <w:lang w:val="en-GB"/>
        </w:rPr>
        <w:t xml:space="preserve"> of the principal </w:t>
      </w:r>
      <w:r w:rsidRPr="00D35904">
        <w:rPr>
          <w:i/>
          <w:sz w:val="24"/>
          <w:lang w:val="en-GB"/>
        </w:rPr>
        <w:t>Act</w:t>
      </w:r>
      <w:r w:rsidRPr="00D35904">
        <w:rPr>
          <w:sz w:val="24"/>
          <w:lang w:val="en-GB"/>
        </w:rPr>
        <w:t xml:space="preserve"> as if same ha</w:t>
      </w:r>
      <w:r w:rsidR="006979CE">
        <w:rPr>
          <w:sz w:val="24"/>
          <w:lang w:val="en-GB"/>
        </w:rPr>
        <w:t>s not been amended or repealed and</w:t>
      </w:r>
      <w:r w:rsidRPr="00D35904">
        <w:rPr>
          <w:sz w:val="24"/>
          <w:lang w:val="en-GB"/>
        </w:rPr>
        <w:t xml:space="preserve"> replaced. Therefore, the present disputes ought to have been referred pursuant to </w:t>
      </w:r>
      <w:r w:rsidRPr="00D35904">
        <w:rPr>
          <w:i/>
          <w:sz w:val="24"/>
          <w:lang w:val="en-GB"/>
        </w:rPr>
        <w:t>section 69 (7)</w:t>
      </w:r>
      <w:r w:rsidRPr="00D35904">
        <w:rPr>
          <w:sz w:val="24"/>
          <w:lang w:val="en-GB"/>
        </w:rPr>
        <w:t xml:space="preserve"> of </w:t>
      </w:r>
      <w:r w:rsidR="00E03A93" w:rsidRPr="00D35904">
        <w:rPr>
          <w:sz w:val="24"/>
          <w:lang w:val="en-GB"/>
        </w:rPr>
        <w:t xml:space="preserve">the </w:t>
      </w:r>
      <w:r w:rsidR="00E03A93" w:rsidRPr="00D35904">
        <w:rPr>
          <w:i/>
          <w:sz w:val="24"/>
          <w:lang w:val="en-GB"/>
        </w:rPr>
        <w:t xml:space="preserve">Act </w:t>
      </w:r>
      <w:r w:rsidR="00E03A93" w:rsidRPr="00D35904">
        <w:rPr>
          <w:sz w:val="24"/>
          <w:lang w:val="en-GB"/>
        </w:rPr>
        <w:t>as it stood prior to 2019 amendment</w:t>
      </w:r>
      <w:r w:rsidR="0008590A">
        <w:rPr>
          <w:sz w:val="24"/>
          <w:lang w:val="en-GB"/>
        </w:rPr>
        <w:t>s</w:t>
      </w:r>
      <w:r w:rsidR="00E03A93" w:rsidRPr="00D35904">
        <w:rPr>
          <w:sz w:val="24"/>
          <w:lang w:val="en-GB"/>
        </w:rPr>
        <w:t xml:space="preserve">. </w:t>
      </w:r>
      <w:r w:rsidRPr="00D35904">
        <w:rPr>
          <w:sz w:val="24"/>
          <w:lang w:val="en-GB"/>
        </w:rPr>
        <w:t xml:space="preserve">    </w:t>
      </w:r>
    </w:p>
    <w:p w:rsidR="00F87A44" w:rsidRDefault="00F87A44" w:rsidP="007C1D42">
      <w:pPr>
        <w:autoSpaceDE w:val="0"/>
        <w:autoSpaceDN w:val="0"/>
        <w:adjustRightInd w:val="0"/>
        <w:spacing w:after="0" w:line="276" w:lineRule="auto"/>
        <w:jc w:val="both"/>
        <w:rPr>
          <w:sz w:val="24"/>
          <w:lang w:val="en-GB"/>
        </w:rPr>
      </w:pPr>
    </w:p>
    <w:p w:rsidR="00F87A44" w:rsidRDefault="00F87A44" w:rsidP="007C1D42">
      <w:pPr>
        <w:autoSpaceDE w:val="0"/>
        <w:autoSpaceDN w:val="0"/>
        <w:adjustRightInd w:val="0"/>
        <w:spacing w:after="0" w:line="276" w:lineRule="auto"/>
        <w:jc w:val="both"/>
        <w:rPr>
          <w:sz w:val="24"/>
          <w:lang w:val="en-GB"/>
        </w:rPr>
      </w:pPr>
    </w:p>
    <w:p w:rsidR="00C971F2" w:rsidRDefault="00F87A44" w:rsidP="007C1D42">
      <w:pPr>
        <w:autoSpaceDE w:val="0"/>
        <w:autoSpaceDN w:val="0"/>
        <w:adjustRightInd w:val="0"/>
        <w:spacing w:after="0" w:line="276" w:lineRule="auto"/>
        <w:jc w:val="both"/>
        <w:rPr>
          <w:sz w:val="24"/>
        </w:rPr>
      </w:pPr>
      <w:r>
        <w:rPr>
          <w:sz w:val="24"/>
          <w:lang w:val="en-GB"/>
        </w:rPr>
        <w:tab/>
      </w:r>
      <w:r w:rsidRPr="00F87A44">
        <w:rPr>
          <w:sz w:val="24"/>
          <w:lang w:val="en-GB"/>
        </w:rPr>
        <w:t xml:space="preserve">Although, it is </w:t>
      </w:r>
      <w:r w:rsidR="00DE6D27">
        <w:rPr>
          <w:sz w:val="24"/>
          <w:lang w:val="en-GB"/>
        </w:rPr>
        <w:t>understood</w:t>
      </w:r>
      <w:r w:rsidRPr="00F87A44">
        <w:rPr>
          <w:sz w:val="24"/>
          <w:lang w:val="en-GB"/>
        </w:rPr>
        <w:t xml:space="preserve"> that the Tribunal is required to enquire into the substance of the dispute that is referred to it and to make an award thereon (</w:t>
      </w:r>
      <w:r w:rsidRPr="00F87A44">
        <w:rPr>
          <w:i/>
          <w:sz w:val="24"/>
          <w:lang w:val="en-GB"/>
        </w:rPr>
        <w:t xml:space="preserve">vide Air Mauritius Ltd v </w:t>
      </w:r>
      <w:r w:rsidRPr="00F87A44">
        <w:rPr>
          <w:i/>
          <w:sz w:val="24"/>
          <w:lang w:val="en-GB"/>
        </w:rPr>
        <w:lastRenderedPageBreak/>
        <w:t>Employment Relations Tribunal</w:t>
      </w:r>
      <w:r w:rsidRPr="00F87A44">
        <w:rPr>
          <w:sz w:val="24"/>
          <w:lang w:val="en-GB"/>
        </w:rPr>
        <w:t xml:space="preserve"> [</w:t>
      </w:r>
      <w:r w:rsidRPr="00F87A44">
        <w:rPr>
          <w:i/>
          <w:sz w:val="24"/>
          <w:lang w:val="en-GB"/>
        </w:rPr>
        <w:t>2016 SCJ 103</w:t>
      </w:r>
      <w:r w:rsidRPr="00F87A44">
        <w:rPr>
          <w:sz w:val="24"/>
          <w:lang w:val="en-GB"/>
        </w:rPr>
        <w:t xml:space="preserve">]), the Tribunal cannot be precluded from </w:t>
      </w:r>
      <w:r w:rsidR="00170F52" w:rsidRPr="00F87A44">
        <w:rPr>
          <w:sz w:val="24"/>
          <w:lang w:val="en-GB"/>
        </w:rPr>
        <w:t>resolving</w:t>
      </w:r>
      <w:r w:rsidRPr="00F87A44">
        <w:rPr>
          <w:sz w:val="24"/>
          <w:lang w:val="en-GB"/>
        </w:rPr>
        <w:t xml:space="preserve"> as to whether it has the requisite jurisdiction to inquire into a labour dispute.</w:t>
      </w:r>
      <w:r>
        <w:rPr>
          <w:sz w:val="24"/>
          <w:lang w:val="en-GB"/>
        </w:rPr>
        <w:t xml:space="preserve"> </w:t>
      </w:r>
      <w:r w:rsidR="00C93ADD">
        <w:rPr>
          <w:sz w:val="24"/>
          <w:lang w:val="en-GB"/>
        </w:rPr>
        <w:t xml:space="preserve">It would be apposite to note the </w:t>
      </w:r>
      <w:r w:rsidR="00C971F2">
        <w:rPr>
          <w:sz w:val="24"/>
          <w:lang w:val="en-GB"/>
        </w:rPr>
        <w:t xml:space="preserve">following from </w:t>
      </w:r>
      <w:r w:rsidR="00C971F2">
        <w:rPr>
          <w:sz w:val="24"/>
        </w:rPr>
        <w:t>a ruling of the then Permanent Arbitration Tribunal</w:t>
      </w:r>
      <w:r w:rsidR="00C93ADD">
        <w:rPr>
          <w:sz w:val="24"/>
        </w:rPr>
        <w:t xml:space="preserve"> </w:t>
      </w:r>
      <w:r w:rsidR="00C971F2">
        <w:rPr>
          <w:sz w:val="24"/>
        </w:rPr>
        <w:t xml:space="preserve">in </w:t>
      </w:r>
      <w:r w:rsidR="00C971F2" w:rsidRPr="00C929E4">
        <w:rPr>
          <w:i/>
          <w:sz w:val="24"/>
        </w:rPr>
        <w:t xml:space="preserve">Mrs C. M. Tatiah and Development Bank of Mauritius </w:t>
      </w:r>
      <w:r w:rsidR="00C971F2">
        <w:rPr>
          <w:i/>
          <w:sz w:val="24"/>
        </w:rPr>
        <w:t>(</w:t>
      </w:r>
      <w:r w:rsidR="00C971F2" w:rsidRPr="00C929E4">
        <w:rPr>
          <w:i/>
          <w:sz w:val="24"/>
        </w:rPr>
        <w:t>RN 758</w:t>
      </w:r>
      <w:r w:rsidR="00C971F2">
        <w:rPr>
          <w:i/>
          <w:sz w:val="24"/>
        </w:rPr>
        <w:t xml:space="preserve">) </w:t>
      </w:r>
      <w:r w:rsidR="00C971F2" w:rsidRPr="00D04A9E">
        <w:rPr>
          <w:sz w:val="24"/>
        </w:rPr>
        <w:t>delivered on 4 August 2004</w:t>
      </w:r>
      <w:r w:rsidR="00C971F2">
        <w:rPr>
          <w:sz w:val="24"/>
        </w:rPr>
        <w:t xml:space="preserve">: </w:t>
      </w:r>
    </w:p>
    <w:p w:rsidR="00C971F2" w:rsidRPr="00C971F2" w:rsidRDefault="00C971F2" w:rsidP="007C1D42">
      <w:pPr>
        <w:autoSpaceDE w:val="0"/>
        <w:autoSpaceDN w:val="0"/>
        <w:adjustRightInd w:val="0"/>
        <w:spacing w:after="0" w:line="276" w:lineRule="auto"/>
        <w:jc w:val="both"/>
      </w:pPr>
    </w:p>
    <w:p w:rsidR="00C971F2" w:rsidRPr="00834603" w:rsidRDefault="00C971F2" w:rsidP="007C1D42">
      <w:pPr>
        <w:spacing w:after="0" w:line="276" w:lineRule="auto"/>
        <w:ind w:left="720" w:right="855" w:firstLine="720"/>
        <w:jc w:val="both"/>
        <w:rPr>
          <w:rFonts w:eastAsia="Times New Roman" w:cs="Arial"/>
          <w:i/>
          <w:szCs w:val="24"/>
        </w:rPr>
      </w:pPr>
      <w:r w:rsidRPr="00834603">
        <w:rPr>
          <w:rFonts w:eastAsia="Times New Roman" w:cs="Arial"/>
          <w:i/>
          <w:szCs w:val="24"/>
        </w:rPr>
        <w:t xml:space="preserve">The Tribunal wishes to address itself first on whether once a referral is made, it is bound to adjudicate on the dispute. Indeed Section 83 of the Industrial Relations Act 1973 as amended states “Where any dispute is referred to the Tribunal by the Minister under section 82, the Tribunal shall, with all diligence, inquire into the dispute and make an award on it”. Section 5 of the </w:t>
      </w:r>
      <w:r w:rsidRPr="00834603">
        <w:rPr>
          <w:rFonts w:eastAsia="Times New Roman" w:cs="Arial"/>
          <w:b/>
          <w:i/>
          <w:szCs w:val="24"/>
        </w:rPr>
        <w:t>Interpretation and General Clauses Act</w:t>
      </w:r>
      <w:r w:rsidRPr="00834603">
        <w:rPr>
          <w:rFonts w:eastAsia="Times New Roman" w:cs="Arial"/>
          <w:i/>
          <w:szCs w:val="24"/>
        </w:rPr>
        <w:t xml:space="preserve"> defines “shall” as “</w:t>
      </w:r>
      <w:r w:rsidRPr="00834603">
        <w:rPr>
          <w:rFonts w:eastAsia="Times New Roman" w:cs="Arial"/>
          <w:i/>
          <w:szCs w:val="24"/>
          <w:u w:val="single"/>
        </w:rPr>
        <w:t>may</w:t>
      </w:r>
      <w:r w:rsidRPr="00834603">
        <w:rPr>
          <w:rFonts w:eastAsia="Times New Roman" w:cs="Arial"/>
          <w:i/>
          <w:szCs w:val="24"/>
        </w:rPr>
        <w:t xml:space="preserve"> be read as imperative”. (the underlining is ours).</w:t>
      </w:r>
    </w:p>
    <w:p w:rsidR="00C971F2" w:rsidRPr="00834603" w:rsidRDefault="00C971F2" w:rsidP="007C1D42">
      <w:pPr>
        <w:spacing w:after="0" w:line="276" w:lineRule="auto"/>
        <w:ind w:left="720" w:right="855" w:firstLine="720"/>
        <w:jc w:val="both"/>
        <w:rPr>
          <w:rFonts w:ascii="Arial" w:eastAsia="Times New Roman" w:hAnsi="Arial" w:cs="Arial"/>
          <w:i/>
          <w:sz w:val="20"/>
          <w:szCs w:val="30"/>
        </w:rPr>
      </w:pPr>
    </w:p>
    <w:p w:rsidR="00C971F2" w:rsidRPr="00834603" w:rsidRDefault="00C971F2" w:rsidP="007C1D42">
      <w:pPr>
        <w:spacing w:after="0" w:line="276" w:lineRule="auto"/>
        <w:ind w:left="720" w:right="855" w:firstLine="720"/>
        <w:jc w:val="both"/>
        <w:rPr>
          <w:rFonts w:eastAsia="Times New Roman" w:cs="Arial"/>
          <w:i/>
          <w:szCs w:val="24"/>
        </w:rPr>
      </w:pPr>
      <w:r w:rsidRPr="00834603">
        <w:rPr>
          <w:rFonts w:eastAsia="Times New Roman" w:cs="Arial"/>
          <w:i/>
          <w:szCs w:val="24"/>
        </w:rPr>
        <w:t>Are we to hear any dispute referred to us by the Minister if the Tribunal finds that the dispute does not fall within the legal parameters of an industrial dispute as per the Industrial Relations Act 1973 as amended?</w:t>
      </w:r>
    </w:p>
    <w:p w:rsidR="00C971F2" w:rsidRPr="00834603" w:rsidRDefault="00C971F2" w:rsidP="007C1D42">
      <w:pPr>
        <w:spacing w:after="0" w:line="276" w:lineRule="auto"/>
        <w:ind w:right="855"/>
        <w:jc w:val="both"/>
        <w:rPr>
          <w:rFonts w:eastAsia="Times New Roman" w:cs="Arial"/>
          <w:i/>
          <w:szCs w:val="24"/>
        </w:rPr>
      </w:pPr>
    </w:p>
    <w:p w:rsidR="00C971F2" w:rsidRPr="00834603" w:rsidRDefault="00C971F2" w:rsidP="007C1D42">
      <w:pPr>
        <w:spacing w:after="0" w:line="276" w:lineRule="auto"/>
        <w:ind w:left="720" w:right="855" w:firstLine="720"/>
        <w:jc w:val="both"/>
        <w:rPr>
          <w:rFonts w:eastAsia="Times New Roman" w:cs="Arial"/>
          <w:i/>
          <w:szCs w:val="24"/>
        </w:rPr>
      </w:pPr>
      <w:r w:rsidRPr="00834603">
        <w:rPr>
          <w:rFonts w:eastAsia="Times New Roman" w:cs="Arial"/>
          <w:b/>
          <w:i/>
          <w:szCs w:val="24"/>
        </w:rPr>
        <w:t>Russell on Arbitration</w:t>
      </w:r>
      <w:r w:rsidRPr="00834603">
        <w:rPr>
          <w:rFonts w:eastAsia="Times New Roman" w:cs="Arial"/>
          <w:i/>
          <w:szCs w:val="24"/>
        </w:rPr>
        <w:t>, 18</w:t>
      </w:r>
      <w:r w:rsidRPr="00834603">
        <w:rPr>
          <w:rFonts w:eastAsia="Times New Roman" w:cs="Arial"/>
          <w:i/>
          <w:szCs w:val="24"/>
          <w:vertAlign w:val="superscript"/>
        </w:rPr>
        <w:t>th</w:t>
      </w:r>
      <w:r w:rsidRPr="00834603">
        <w:rPr>
          <w:rFonts w:eastAsia="Times New Roman" w:cs="Arial"/>
          <w:i/>
          <w:szCs w:val="24"/>
        </w:rPr>
        <w:t xml:space="preserve"> Edition by Anthony Walton Q.C. at page 73 reads:</w:t>
      </w:r>
    </w:p>
    <w:p w:rsidR="00C971F2" w:rsidRPr="00834603" w:rsidRDefault="00C971F2" w:rsidP="007C1D42">
      <w:pPr>
        <w:spacing w:after="0" w:line="276" w:lineRule="auto"/>
        <w:ind w:right="855"/>
        <w:jc w:val="both"/>
        <w:rPr>
          <w:rFonts w:eastAsia="Times New Roman" w:cs="Arial"/>
          <w:i/>
          <w:sz w:val="20"/>
          <w:szCs w:val="24"/>
        </w:rPr>
      </w:pPr>
    </w:p>
    <w:p w:rsidR="00C971F2" w:rsidRPr="00834603" w:rsidRDefault="00C971F2" w:rsidP="007C1D42">
      <w:pPr>
        <w:spacing w:after="0" w:line="276" w:lineRule="auto"/>
        <w:ind w:left="720" w:right="855"/>
        <w:jc w:val="both"/>
        <w:rPr>
          <w:rFonts w:eastAsia="Times New Roman" w:cs="Arial"/>
          <w:i/>
          <w:szCs w:val="24"/>
        </w:rPr>
      </w:pPr>
      <w:r w:rsidRPr="00834603">
        <w:rPr>
          <w:rFonts w:eastAsia="Times New Roman" w:cs="Arial"/>
          <w:i/>
          <w:szCs w:val="24"/>
        </w:rPr>
        <w:t xml:space="preserve">“It can hardly be within the arbitrator’s jurisdiction to decide whether or not a condition precedent to his jurisdiction has been fulfilled. However, an arbitrator is always entitled to inquire whether or not he has jurisdiction. </w:t>
      </w:r>
      <w:r w:rsidRPr="00834603">
        <w:rPr>
          <w:rFonts w:eastAsia="Times New Roman" w:cs="Arial"/>
          <w:b/>
          <w:i/>
          <w:szCs w:val="24"/>
        </w:rPr>
        <w:t>(see Brown v. Oesterreichischer Waldbesitzer R.G.m.b.h. (1954) (Q.B.8)</w:t>
      </w:r>
      <w:r w:rsidRPr="00834603">
        <w:rPr>
          <w:rFonts w:eastAsia="Times New Roman" w:cs="Arial"/>
          <w:i/>
          <w:szCs w:val="24"/>
        </w:rPr>
        <w:t xml:space="preserve"> An umpire faced with a dispute whether or not there was a contract from which alone his jurisdiction, if any, deal with the matter at all and leave the parties to go to the court, or he can consider the matter and if he forms the view that the contract upon which the claimant is relying and from which, if established, alone his jurisdiction can arise is in truth the contract, he can proceed accordingly. </w:t>
      </w:r>
      <w:r w:rsidRPr="00834603">
        <w:rPr>
          <w:rFonts w:eastAsia="Times New Roman" w:cs="Arial"/>
          <w:b/>
          <w:i/>
          <w:szCs w:val="24"/>
        </w:rPr>
        <w:t>(Per Roskill J. in Lunada Exportadora and others v. Tamari and Sons and Others (1967) L. Lloyd’s Rep. 353 at page 364)</w:t>
      </w:r>
      <w:r w:rsidRPr="00834603">
        <w:rPr>
          <w:rFonts w:eastAsia="Times New Roman" w:cs="Arial"/>
          <w:i/>
          <w:szCs w:val="24"/>
        </w:rPr>
        <w:t>.”</w:t>
      </w:r>
    </w:p>
    <w:p w:rsidR="00AC28C7" w:rsidRDefault="00AC28C7" w:rsidP="007C1D42">
      <w:pPr>
        <w:spacing w:after="0" w:line="276" w:lineRule="auto"/>
        <w:ind w:right="855"/>
        <w:jc w:val="both"/>
        <w:rPr>
          <w:rFonts w:eastAsia="Times New Roman" w:cs="Arial"/>
          <w:sz w:val="24"/>
          <w:szCs w:val="24"/>
        </w:rPr>
      </w:pPr>
    </w:p>
    <w:p w:rsidR="00F5537A" w:rsidRDefault="00F5537A" w:rsidP="007C1D42">
      <w:pPr>
        <w:spacing w:after="0" w:line="276" w:lineRule="auto"/>
        <w:ind w:right="855"/>
        <w:jc w:val="both"/>
        <w:rPr>
          <w:rFonts w:eastAsia="Times New Roman" w:cs="Arial"/>
          <w:sz w:val="24"/>
          <w:szCs w:val="24"/>
        </w:rPr>
      </w:pPr>
    </w:p>
    <w:p w:rsidR="007C36CD" w:rsidRPr="00027D78" w:rsidRDefault="00027D78" w:rsidP="00E129F4">
      <w:pPr>
        <w:autoSpaceDE w:val="0"/>
        <w:autoSpaceDN w:val="0"/>
        <w:adjustRightInd w:val="0"/>
        <w:spacing w:after="0" w:line="276" w:lineRule="auto"/>
        <w:jc w:val="both"/>
        <w:rPr>
          <w:rFonts w:cstheme="minorHAnsi"/>
          <w:sz w:val="24"/>
          <w:szCs w:val="24"/>
        </w:rPr>
      </w:pPr>
      <w:r>
        <w:rPr>
          <w:rFonts w:eastAsia="Times New Roman" w:cs="Arial"/>
          <w:sz w:val="24"/>
          <w:szCs w:val="24"/>
        </w:rPr>
        <w:tab/>
      </w:r>
      <w:r w:rsidRPr="00027D78">
        <w:rPr>
          <w:rFonts w:eastAsia="Times New Roman" w:cstheme="minorHAnsi"/>
          <w:sz w:val="24"/>
          <w:szCs w:val="24"/>
          <w:lang w:val="en-GB"/>
        </w:rPr>
        <w:t xml:space="preserve">The Tribunal, having the principal task of arbitrating labour disputes, is also alive to the doctrine of </w:t>
      </w:r>
      <w:r w:rsidR="008035AA">
        <w:rPr>
          <w:rFonts w:eastAsia="Times New Roman" w:cstheme="minorHAnsi"/>
          <w:sz w:val="24"/>
          <w:szCs w:val="24"/>
          <w:lang w:val="en-GB"/>
        </w:rPr>
        <w:t>C</w:t>
      </w:r>
      <w:r w:rsidR="007164DE" w:rsidRPr="007164DE">
        <w:rPr>
          <w:rFonts w:eastAsia="Times New Roman" w:cstheme="minorHAnsi"/>
          <w:sz w:val="24"/>
          <w:szCs w:val="24"/>
          <w:lang w:val="en-GB"/>
        </w:rPr>
        <w:t>ompetence-</w:t>
      </w:r>
      <w:r w:rsidR="008035AA">
        <w:rPr>
          <w:rFonts w:eastAsia="Times New Roman" w:cstheme="minorHAnsi"/>
          <w:sz w:val="24"/>
          <w:szCs w:val="24"/>
          <w:lang w:val="en-GB"/>
        </w:rPr>
        <w:t>C</w:t>
      </w:r>
      <w:r w:rsidR="007164DE" w:rsidRPr="007164DE">
        <w:rPr>
          <w:rFonts w:eastAsia="Times New Roman" w:cstheme="minorHAnsi"/>
          <w:sz w:val="24"/>
          <w:szCs w:val="24"/>
          <w:lang w:val="en-GB"/>
        </w:rPr>
        <w:t>ompetence</w:t>
      </w:r>
      <w:r w:rsidR="007164DE">
        <w:rPr>
          <w:rFonts w:eastAsia="Times New Roman" w:cstheme="minorHAnsi"/>
          <w:sz w:val="24"/>
          <w:szCs w:val="24"/>
          <w:lang w:val="en-GB"/>
        </w:rPr>
        <w:t xml:space="preserve"> (or </w:t>
      </w:r>
      <w:r w:rsidR="007164DE" w:rsidRPr="00243325">
        <w:rPr>
          <w:rFonts w:eastAsia="Times New Roman" w:cstheme="minorHAnsi"/>
          <w:i/>
          <w:sz w:val="24"/>
          <w:szCs w:val="24"/>
        </w:rPr>
        <w:t xml:space="preserve">compétence de la </w:t>
      </w:r>
      <w:r w:rsidR="008035AA" w:rsidRPr="00243325">
        <w:rPr>
          <w:rFonts w:eastAsia="Times New Roman" w:cstheme="minorHAnsi"/>
          <w:i/>
          <w:sz w:val="24"/>
          <w:szCs w:val="24"/>
        </w:rPr>
        <w:t>compétence</w:t>
      </w:r>
      <w:r w:rsidR="007164DE">
        <w:rPr>
          <w:rFonts w:eastAsia="Times New Roman" w:cstheme="minorHAnsi"/>
          <w:sz w:val="24"/>
          <w:szCs w:val="24"/>
          <w:lang w:val="en-GB"/>
        </w:rPr>
        <w:t xml:space="preserve"> as known in French)</w:t>
      </w:r>
      <w:r w:rsidRPr="00027D78">
        <w:rPr>
          <w:rFonts w:eastAsia="Times New Roman" w:cstheme="minorHAnsi"/>
          <w:sz w:val="24"/>
          <w:szCs w:val="24"/>
          <w:lang w:val="en-GB"/>
        </w:rPr>
        <w:t>, which is well established in arbitration laws</w:t>
      </w:r>
      <w:r w:rsidR="009F2DED">
        <w:rPr>
          <w:rFonts w:eastAsia="Times New Roman" w:cstheme="minorHAnsi"/>
          <w:sz w:val="24"/>
          <w:szCs w:val="24"/>
          <w:lang w:val="en-GB"/>
        </w:rPr>
        <w:t>, as reflected</w:t>
      </w:r>
      <w:r w:rsidR="006942FF">
        <w:rPr>
          <w:rFonts w:eastAsia="Times New Roman" w:cstheme="minorHAnsi"/>
          <w:sz w:val="24"/>
          <w:szCs w:val="24"/>
          <w:lang w:val="en-GB"/>
        </w:rPr>
        <w:t xml:space="preserve"> </w:t>
      </w:r>
      <w:r w:rsidR="0008590A">
        <w:rPr>
          <w:rFonts w:eastAsia="Times New Roman" w:cstheme="minorHAnsi"/>
          <w:sz w:val="24"/>
          <w:szCs w:val="24"/>
          <w:lang w:val="en-GB"/>
        </w:rPr>
        <w:t xml:space="preserve">in </w:t>
      </w:r>
      <w:r w:rsidR="006942FF" w:rsidRPr="006942FF">
        <w:rPr>
          <w:rFonts w:eastAsia="Times New Roman" w:cstheme="minorHAnsi"/>
          <w:i/>
          <w:sz w:val="24"/>
          <w:szCs w:val="24"/>
          <w:lang w:val="en-GB"/>
        </w:rPr>
        <w:t xml:space="preserve">section 20 (1) </w:t>
      </w:r>
      <w:r w:rsidR="006942FF">
        <w:rPr>
          <w:rFonts w:eastAsia="Times New Roman" w:cstheme="minorHAnsi"/>
          <w:sz w:val="24"/>
          <w:szCs w:val="24"/>
          <w:lang w:val="en-GB"/>
        </w:rPr>
        <w:t xml:space="preserve">of the </w:t>
      </w:r>
      <w:r w:rsidR="006942FF" w:rsidRPr="006942FF">
        <w:rPr>
          <w:rFonts w:eastAsia="Times New Roman" w:cstheme="minorHAnsi"/>
          <w:i/>
          <w:sz w:val="24"/>
          <w:szCs w:val="24"/>
          <w:lang w:val="en-GB"/>
        </w:rPr>
        <w:t>International Arbitration Act</w:t>
      </w:r>
      <w:r w:rsidR="006942FF">
        <w:rPr>
          <w:rFonts w:eastAsia="Times New Roman" w:cstheme="minorHAnsi"/>
          <w:sz w:val="24"/>
          <w:szCs w:val="24"/>
          <w:lang w:val="en-GB"/>
        </w:rPr>
        <w:t xml:space="preserve"> (</w:t>
      </w:r>
      <w:r w:rsidR="006942FF" w:rsidRPr="006942FF">
        <w:rPr>
          <w:rFonts w:eastAsia="Times New Roman" w:cstheme="minorHAnsi"/>
          <w:i/>
          <w:sz w:val="24"/>
          <w:szCs w:val="24"/>
          <w:lang w:val="en-GB"/>
        </w:rPr>
        <w:t>Act 37 of 2008</w:t>
      </w:r>
      <w:r w:rsidR="006942FF">
        <w:rPr>
          <w:rFonts w:eastAsia="Times New Roman" w:cstheme="minorHAnsi"/>
          <w:sz w:val="24"/>
          <w:szCs w:val="24"/>
          <w:lang w:val="en-GB"/>
        </w:rPr>
        <w:t>)</w:t>
      </w:r>
      <w:r w:rsidRPr="00027D78">
        <w:rPr>
          <w:rFonts w:eastAsia="Times New Roman" w:cstheme="minorHAnsi"/>
          <w:sz w:val="24"/>
          <w:szCs w:val="24"/>
          <w:lang w:val="en-GB"/>
        </w:rPr>
        <w:t xml:space="preserve">. This </w:t>
      </w:r>
      <w:r w:rsidR="00083311">
        <w:rPr>
          <w:rFonts w:eastAsia="Times New Roman" w:cstheme="minorHAnsi"/>
          <w:sz w:val="24"/>
          <w:szCs w:val="24"/>
          <w:lang w:val="en-GB"/>
        </w:rPr>
        <w:t xml:space="preserve">doctrine </w:t>
      </w:r>
      <w:r w:rsidRPr="00027D78">
        <w:rPr>
          <w:rFonts w:eastAsia="Times New Roman" w:cstheme="minorHAnsi"/>
          <w:sz w:val="24"/>
          <w:szCs w:val="24"/>
          <w:lang w:val="en-GB"/>
        </w:rPr>
        <w:t xml:space="preserve">allows an arbitral tribunal to rule on its own jurisdiction. In the </w:t>
      </w:r>
      <w:r w:rsidR="006942FF">
        <w:rPr>
          <w:rFonts w:eastAsia="Times New Roman" w:cstheme="minorHAnsi"/>
          <w:sz w:val="24"/>
          <w:szCs w:val="24"/>
          <w:lang w:val="en-GB"/>
        </w:rPr>
        <w:t>English</w:t>
      </w:r>
      <w:r w:rsidRPr="00027D78">
        <w:rPr>
          <w:rFonts w:eastAsia="Times New Roman" w:cstheme="minorHAnsi"/>
          <w:sz w:val="24"/>
          <w:szCs w:val="24"/>
          <w:lang w:val="en-GB"/>
        </w:rPr>
        <w:t xml:space="preserve"> Court of Appeal case of </w:t>
      </w:r>
      <w:r w:rsidRPr="00027D78">
        <w:rPr>
          <w:rFonts w:eastAsia="Times New Roman" w:cstheme="minorHAnsi"/>
          <w:i/>
          <w:sz w:val="24"/>
          <w:szCs w:val="24"/>
          <w:lang w:val="en-GB"/>
        </w:rPr>
        <w:t xml:space="preserve">Fiona Trust </w:t>
      </w:r>
      <w:r w:rsidR="00CA1B98">
        <w:rPr>
          <w:rFonts w:eastAsia="Times New Roman" w:cstheme="minorHAnsi"/>
          <w:i/>
          <w:sz w:val="24"/>
          <w:szCs w:val="24"/>
          <w:lang w:val="en-GB"/>
        </w:rPr>
        <w:t>&amp;</w:t>
      </w:r>
      <w:r w:rsidRPr="00027D78">
        <w:rPr>
          <w:rFonts w:eastAsia="Times New Roman" w:cstheme="minorHAnsi"/>
          <w:i/>
          <w:sz w:val="24"/>
          <w:szCs w:val="24"/>
          <w:lang w:val="en-GB"/>
        </w:rPr>
        <w:t xml:space="preserve"> H</w:t>
      </w:r>
      <w:r w:rsidR="00CA1B98">
        <w:rPr>
          <w:rFonts w:eastAsia="Times New Roman" w:cstheme="minorHAnsi"/>
          <w:i/>
          <w:sz w:val="24"/>
          <w:szCs w:val="24"/>
          <w:lang w:val="en-GB"/>
        </w:rPr>
        <w:t>olding</w:t>
      </w:r>
      <w:r w:rsidRPr="00027D78">
        <w:rPr>
          <w:rFonts w:eastAsia="Times New Roman" w:cstheme="minorHAnsi"/>
          <w:i/>
          <w:sz w:val="24"/>
          <w:szCs w:val="24"/>
          <w:lang w:val="en-GB"/>
        </w:rPr>
        <w:t xml:space="preserve"> Corporation </w:t>
      </w:r>
      <w:r w:rsidR="00CA1B98">
        <w:rPr>
          <w:rFonts w:eastAsia="Times New Roman" w:cstheme="minorHAnsi"/>
          <w:i/>
          <w:sz w:val="24"/>
          <w:szCs w:val="24"/>
          <w:lang w:val="en-GB"/>
        </w:rPr>
        <w:t>and</w:t>
      </w:r>
      <w:r w:rsidRPr="00027D78">
        <w:rPr>
          <w:rFonts w:eastAsia="Times New Roman" w:cstheme="minorHAnsi"/>
          <w:i/>
          <w:sz w:val="24"/>
          <w:szCs w:val="24"/>
          <w:lang w:val="en-GB"/>
        </w:rPr>
        <w:t xml:space="preserve"> Ors. v Privalov </w:t>
      </w:r>
      <w:r w:rsidR="00CA1B98">
        <w:rPr>
          <w:rFonts w:eastAsia="Times New Roman" w:cstheme="minorHAnsi"/>
          <w:i/>
          <w:sz w:val="24"/>
          <w:szCs w:val="24"/>
          <w:lang w:val="en-GB"/>
        </w:rPr>
        <w:t>and</w:t>
      </w:r>
      <w:r w:rsidRPr="00027D78">
        <w:rPr>
          <w:rFonts w:eastAsia="Times New Roman" w:cstheme="minorHAnsi"/>
          <w:i/>
          <w:sz w:val="24"/>
          <w:szCs w:val="24"/>
          <w:lang w:val="en-GB"/>
        </w:rPr>
        <w:t xml:space="preserve"> Ors.</w:t>
      </w:r>
      <w:r w:rsidRPr="00027D78">
        <w:rPr>
          <w:rFonts w:eastAsia="Times New Roman" w:cstheme="minorHAnsi"/>
          <w:sz w:val="24"/>
          <w:szCs w:val="24"/>
          <w:lang w:val="en-GB"/>
        </w:rPr>
        <w:t xml:space="preserve"> </w:t>
      </w:r>
      <w:r w:rsidRPr="00027D78">
        <w:rPr>
          <w:rFonts w:cstheme="minorHAnsi"/>
          <w:bCs/>
          <w:sz w:val="24"/>
          <w:szCs w:val="24"/>
        </w:rPr>
        <w:t>[</w:t>
      </w:r>
      <w:r w:rsidRPr="00027D78">
        <w:rPr>
          <w:rFonts w:cstheme="minorHAnsi"/>
          <w:bCs/>
          <w:i/>
          <w:sz w:val="24"/>
          <w:szCs w:val="24"/>
        </w:rPr>
        <w:t>2007</w:t>
      </w:r>
      <w:r w:rsidRPr="00027D78">
        <w:rPr>
          <w:rFonts w:cstheme="minorHAnsi"/>
          <w:bCs/>
          <w:sz w:val="24"/>
          <w:szCs w:val="24"/>
        </w:rPr>
        <w:t xml:space="preserve">] </w:t>
      </w:r>
      <w:r w:rsidRPr="00027D78">
        <w:rPr>
          <w:rFonts w:cstheme="minorHAnsi"/>
          <w:bCs/>
          <w:i/>
          <w:sz w:val="24"/>
          <w:szCs w:val="24"/>
        </w:rPr>
        <w:t>EWCA Civ 20</w:t>
      </w:r>
      <w:r w:rsidRPr="00027D78">
        <w:rPr>
          <w:rFonts w:cstheme="minorHAnsi"/>
          <w:bCs/>
          <w:sz w:val="24"/>
          <w:szCs w:val="24"/>
        </w:rPr>
        <w:t xml:space="preserve">, </w:t>
      </w:r>
      <w:r w:rsidRPr="00027D78">
        <w:rPr>
          <w:rFonts w:cstheme="minorHAnsi"/>
          <w:sz w:val="24"/>
          <w:szCs w:val="24"/>
        </w:rPr>
        <w:t>it was</w:t>
      </w:r>
      <w:r w:rsidR="00083311">
        <w:rPr>
          <w:rFonts w:cstheme="minorHAnsi"/>
          <w:sz w:val="24"/>
          <w:szCs w:val="24"/>
        </w:rPr>
        <w:t xml:space="preserve"> notably</w:t>
      </w:r>
      <w:r w:rsidRPr="00027D78">
        <w:rPr>
          <w:rFonts w:cstheme="minorHAnsi"/>
          <w:sz w:val="24"/>
          <w:szCs w:val="24"/>
        </w:rPr>
        <w:t xml:space="preserve"> held </w:t>
      </w:r>
      <w:r w:rsidRPr="00027D78">
        <w:rPr>
          <w:rFonts w:cstheme="minorHAnsi"/>
          <w:i/>
          <w:sz w:val="24"/>
          <w:szCs w:val="24"/>
        </w:rPr>
        <w:t xml:space="preserve">per curiam </w:t>
      </w:r>
      <w:r w:rsidRPr="00027D78">
        <w:rPr>
          <w:rFonts w:cstheme="minorHAnsi"/>
          <w:sz w:val="24"/>
          <w:szCs w:val="24"/>
        </w:rPr>
        <w:t>that ‘</w:t>
      </w:r>
      <w:r w:rsidRPr="00027D78">
        <w:rPr>
          <w:rFonts w:cstheme="minorHAnsi"/>
          <w:i/>
          <w:sz w:val="24"/>
          <w:szCs w:val="24"/>
        </w:rPr>
        <w:t>the arbitrators should, in general, be the first tribunal to consider whether there is a valid arbitration agreement and whether the arbitrators have juris</w:t>
      </w:r>
      <w:r w:rsidR="00083311">
        <w:rPr>
          <w:rFonts w:cstheme="minorHAnsi"/>
          <w:i/>
          <w:sz w:val="24"/>
          <w:szCs w:val="24"/>
        </w:rPr>
        <w:t>diction to determine the dispute</w:t>
      </w:r>
      <w:r w:rsidRPr="00027D78">
        <w:rPr>
          <w:rFonts w:cstheme="minorHAnsi"/>
          <w:sz w:val="24"/>
          <w:szCs w:val="24"/>
        </w:rPr>
        <w:t>’</w:t>
      </w:r>
      <w:r>
        <w:rPr>
          <w:rFonts w:cstheme="minorHAnsi"/>
          <w:sz w:val="24"/>
          <w:szCs w:val="24"/>
        </w:rPr>
        <w:t>.</w:t>
      </w:r>
      <w:r w:rsidR="00276DB7">
        <w:rPr>
          <w:rFonts w:cstheme="minorHAnsi"/>
          <w:sz w:val="24"/>
          <w:szCs w:val="24"/>
        </w:rPr>
        <w:t xml:space="preserve"> </w:t>
      </w:r>
      <w:r>
        <w:rPr>
          <w:rFonts w:cstheme="minorHAnsi"/>
          <w:sz w:val="24"/>
          <w:szCs w:val="24"/>
        </w:rPr>
        <w:t xml:space="preserve"> </w:t>
      </w:r>
      <w:r w:rsidRPr="00027D78">
        <w:rPr>
          <w:rFonts w:cstheme="minorHAnsi"/>
          <w:sz w:val="24"/>
          <w:szCs w:val="24"/>
        </w:rPr>
        <w:t xml:space="preserve"> </w:t>
      </w:r>
      <w:r w:rsidRPr="00027D78">
        <w:rPr>
          <w:rFonts w:eastAsia="Times New Roman" w:cstheme="minorHAnsi"/>
          <w:sz w:val="24"/>
          <w:szCs w:val="24"/>
          <w:lang w:val="en-GB"/>
        </w:rPr>
        <w:t xml:space="preserve">  </w:t>
      </w:r>
    </w:p>
    <w:p w:rsidR="00F5537A" w:rsidRDefault="00992470" w:rsidP="00E129F4">
      <w:pPr>
        <w:spacing w:after="0" w:line="276" w:lineRule="auto"/>
        <w:ind w:right="4"/>
        <w:jc w:val="both"/>
        <w:rPr>
          <w:rFonts w:eastAsia="Times New Roman" w:cstheme="minorHAnsi"/>
          <w:sz w:val="24"/>
          <w:szCs w:val="24"/>
          <w:lang w:val="en-GB"/>
        </w:rPr>
      </w:pPr>
      <w:r w:rsidRPr="00027D78">
        <w:rPr>
          <w:rFonts w:eastAsia="Times New Roman" w:cstheme="minorHAnsi"/>
          <w:sz w:val="24"/>
          <w:szCs w:val="24"/>
          <w:lang w:val="en-GB"/>
        </w:rPr>
        <w:tab/>
      </w:r>
    </w:p>
    <w:p w:rsidR="009F2DED" w:rsidRDefault="009F2DED" w:rsidP="00E129F4">
      <w:pPr>
        <w:spacing w:after="0" w:line="276" w:lineRule="auto"/>
        <w:ind w:right="4"/>
        <w:jc w:val="both"/>
        <w:rPr>
          <w:rFonts w:eastAsia="Times New Roman" w:cstheme="minorHAnsi"/>
          <w:sz w:val="24"/>
          <w:szCs w:val="24"/>
          <w:lang w:val="en-GB"/>
        </w:rPr>
      </w:pPr>
    </w:p>
    <w:p w:rsidR="009F2DED" w:rsidRDefault="009F2DED" w:rsidP="00E129F4">
      <w:pPr>
        <w:spacing w:after="0" w:line="276" w:lineRule="auto"/>
        <w:ind w:right="4"/>
        <w:jc w:val="both"/>
        <w:rPr>
          <w:rFonts w:eastAsia="Times New Roman" w:cstheme="minorHAnsi"/>
          <w:sz w:val="24"/>
          <w:szCs w:val="24"/>
          <w:lang w:val="en-GB"/>
        </w:rPr>
      </w:pPr>
      <w:r>
        <w:rPr>
          <w:rFonts w:eastAsia="Times New Roman" w:cstheme="minorHAnsi"/>
          <w:sz w:val="24"/>
          <w:szCs w:val="24"/>
          <w:lang w:val="en-GB"/>
        </w:rPr>
        <w:lastRenderedPageBreak/>
        <w:tab/>
        <w:t xml:space="preserve">It </w:t>
      </w:r>
      <w:r w:rsidR="004C3D20">
        <w:rPr>
          <w:rFonts w:eastAsia="Times New Roman" w:cstheme="minorHAnsi"/>
          <w:sz w:val="24"/>
          <w:szCs w:val="24"/>
          <w:lang w:val="en-GB"/>
        </w:rPr>
        <w:t>would</w:t>
      </w:r>
      <w:r>
        <w:rPr>
          <w:rFonts w:eastAsia="Times New Roman" w:cstheme="minorHAnsi"/>
          <w:sz w:val="24"/>
          <w:szCs w:val="24"/>
          <w:lang w:val="en-GB"/>
        </w:rPr>
        <w:t xml:space="preserve"> also</w:t>
      </w:r>
      <w:r w:rsidR="003D09A9">
        <w:rPr>
          <w:rFonts w:eastAsia="Times New Roman" w:cstheme="minorHAnsi"/>
          <w:sz w:val="24"/>
          <w:szCs w:val="24"/>
          <w:lang w:val="en-GB"/>
        </w:rPr>
        <w:t xml:space="preserve"> be</w:t>
      </w:r>
      <w:r>
        <w:rPr>
          <w:rFonts w:eastAsia="Times New Roman" w:cstheme="minorHAnsi"/>
          <w:sz w:val="24"/>
          <w:szCs w:val="24"/>
          <w:lang w:val="en-GB"/>
        </w:rPr>
        <w:t xml:space="preserve"> pertinent to note the following from </w:t>
      </w:r>
      <w:r w:rsidRPr="009F2DED">
        <w:rPr>
          <w:rFonts w:eastAsia="Times New Roman" w:cstheme="minorHAnsi"/>
          <w:i/>
          <w:sz w:val="24"/>
          <w:szCs w:val="24"/>
          <w:lang w:val="en-GB"/>
        </w:rPr>
        <w:t>Redfern and Hunter on International Arbitration</w:t>
      </w:r>
      <w:r>
        <w:rPr>
          <w:rFonts w:eastAsia="Times New Roman" w:cstheme="minorHAnsi"/>
          <w:sz w:val="24"/>
          <w:szCs w:val="24"/>
          <w:lang w:val="en-GB"/>
        </w:rPr>
        <w:t xml:space="preserve">, </w:t>
      </w:r>
      <w:r w:rsidRPr="009F2DED">
        <w:rPr>
          <w:rFonts w:eastAsia="Times New Roman" w:cstheme="minorHAnsi"/>
          <w:i/>
          <w:sz w:val="24"/>
          <w:szCs w:val="24"/>
          <w:lang w:val="en-GB"/>
        </w:rPr>
        <w:t>6</w:t>
      </w:r>
      <w:r w:rsidRPr="009F2DED">
        <w:rPr>
          <w:rFonts w:eastAsia="Times New Roman" w:cstheme="minorHAnsi"/>
          <w:i/>
          <w:sz w:val="24"/>
          <w:szCs w:val="24"/>
          <w:vertAlign w:val="superscript"/>
          <w:lang w:val="en-GB"/>
        </w:rPr>
        <w:t>th</w:t>
      </w:r>
      <w:r w:rsidRPr="009F2DED">
        <w:rPr>
          <w:rFonts w:eastAsia="Times New Roman" w:cstheme="minorHAnsi"/>
          <w:i/>
          <w:sz w:val="24"/>
          <w:szCs w:val="24"/>
          <w:lang w:val="en-GB"/>
        </w:rPr>
        <w:t xml:space="preserve"> edition</w:t>
      </w:r>
      <w:r>
        <w:rPr>
          <w:rFonts w:eastAsia="Times New Roman" w:cstheme="minorHAnsi"/>
          <w:sz w:val="24"/>
          <w:szCs w:val="24"/>
          <w:lang w:val="en-GB"/>
        </w:rPr>
        <w:t>,</w:t>
      </w:r>
      <w:r w:rsidR="004C3D20">
        <w:rPr>
          <w:rFonts w:eastAsia="Times New Roman" w:cstheme="minorHAnsi"/>
          <w:sz w:val="24"/>
          <w:szCs w:val="24"/>
          <w:lang w:val="en-GB"/>
        </w:rPr>
        <w:t xml:space="preserve"> by </w:t>
      </w:r>
      <w:r w:rsidR="004C3D20" w:rsidRPr="004C3D20">
        <w:rPr>
          <w:rFonts w:eastAsia="Times New Roman" w:cstheme="minorHAnsi"/>
          <w:i/>
          <w:sz w:val="24"/>
          <w:szCs w:val="24"/>
          <w:lang w:val="en-GB"/>
        </w:rPr>
        <w:t>N. Blackaby and C. Partasides QC</w:t>
      </w:r>
      <w:r w:rsidR="004C3D20">
        <w:rPr>
          <w:rFonts w:eastAsia="Times New Roman" w:cstheme="minorHAnsi"/>
          <w:sz w:val="24"/>
          <w:szCs w:val="24"/>
          <w:lang w:val="en-GB"/>
        </w:rPr>
        <w:t>,</w:t>
      </w:r>
      <w:r>
        <w:rPr>
          <w:rFonts w:eastAsia="Times New Roman" w:cstheme="minorHAnsi"/>
          <w:sz w:val="24"/>
          <w:szCs w:val="24"/>
          <w:lang w:val="en-GB"/>
        </w:rPr>
        <w:t xml:space="preserve"> </w:t>
      </w:r>
      <w:r w:rsidRPr="009F2DED">
        <w:rPr>
          <w:rFonts w:eastAsia="Times New Roman" w:cstheme="minorHAnsi"/>
          <w:i/>
          <w:sz w:val="24"/>
          <w:szCs w:val="24"/>
          <w:lang w:val="en-GB"/>
        </w:rPr>
        <w:t>p.339 – 340</w:t>
      </w:r>
      <w:r>
        <w:rPr>
          <w:rFonts w:eastAsia="Times New Roman" w:cstheme="minorHAnsi"/>
          <w:sz w:val="24"/>
          <w:szCs w:val="24"/>
          <w:lang w:val="en-GB"/>
        </w:rPr>
        <w:t>, on the power of an arbitral tribunal to rule on its jurisdiction:</w:t>
      </w:r>
    </w:p>
    <w:p w:rsidR="009F2DED" w:rsidRPr="009F2DED" w:rsidRDefault="009F2DED" w:rsidP="00E129F4">
      <w:pPr>
        <w:spacing w:after="0" w:line="276" w:lineRule="auto"/>
        <w:ind w:right="4"/>
        <w:jc w:val="both"/>
        <w:rPr>
          <w:rFonts w:eastAsia="Times New Roman" w:cstheme="minorHAnsi"/>
          <w:szCs w:val="24"/>
          <w:lang w:val="en-GB"/>
        </w:rPr>
      </w:pPr>
    </w:p>
    <w:p w:rsidR="009F2DED" w:rsidRPr="009F2DED" w:rsidRDefault="009F2DED" w:rsidP="0014749D">
      <w:pPr>
        <w:spacing w:after="0" w:line="276" w:lineRule="auto"/>
        <w:ind w:left="720" w:right="855"/>
        <w:jc w:val="both"/>
        <w:rPr>
          <w:rFonts w:eastAsia="Times New Roman" w:cstheme="minorHAnsi"/>
          <w:i/>
          <w:szCs w:val="24"/>
          <w:lang w:val="en-GB"/>
        </w:rPr>
      </w:pPr>
      <w:r w:rsidRPr="009F2DED">
        <w:rPr>
          <w:rFonts w:eastAsia="Times New Roman" w:cstheme="minorHAnsi"/>
          <w:i/>
          <w:szCs w:val="24"/>
          <w:lang w:val="en-GB"/>
        </w:rPr>
        <w:t>It is generally accepted that an arbitral tribunal has the power to investigate its own jurisdiction. This is a power inherent in the appointment of an arbitral tribunal. Indeed, it is an essential power if the arbitral tribunal is to carry out its task properly. […]</w:t>
      </w:r>
      <w:r w:rsidR="004C3D20">
        <w:rPr>
          <w:rFonts w:eastAsia="Times New Roman" w:cstheme="minorHAnsi"/>
          <w:i/>
          <w:szCs w:val="24"/>
          <w:lang w:val="en-GB"/>
        </w:rPr>
        <w:t xml:space="preserve"> </w:t>
      </w:r>
      <w:r w:rsidRPr="009F2DED">
        <w:rPr>
          <w:rFonts w:eastAsia="Times New Roman" w:cstheme="minorHAnsi"/>
          <w:i/>
          <w:szCs w:val="24"/>
          <w:lang w:val="en-GB"/>
        </w:rPr>
        <w:t xml:space="preserve">The arbitral tribunal’s decision on the issue may be reviewed subsequently by a competent national court – but it is commonly accepted that this does not prevent the tribunal from making the decision in the first place. </w:t>
      </w:r>
    </w:p>
    <w:p w:rsidR="009F2DED" w:rsidRPr="00027D78" w:rsidRDefault="009F2DED" w:rsidP="00E129F4">
      <w:pPr>
        <w:spacing w:after="0" w:line="276" w:lineRule="auto"/>
        <w:ind w:right="4"/>
        <w:jc w:val="both"/>
        <w:rPr>
          <w:rFonts w:eastAsia="Times New Roman" w:cstheme="minorHAnsi"/>
          <w:sz w:val="24"/>
          <w:szCs w:val="24"/>
          <w:lang w:val="en-GB"/>
        </w:rPr>
      </w:pPr>
    </w:p>
    <w:p w:rsidR="00027D78" w:rsidRPr="004C3D20" w:rsidRDefault="00027D78" w:rsidP="007C1D42">
      <w:pPr>
        <w:spacing w:after="0" w:line="276" w:lineRule="auto"/>
        <w:ind w:right="4"/>
        <w:jc w:val="both"/>
        <w:rPr>
          <w:rFonts w:eastAsia="Times New Roman" w:cs="Arial"/>
          <w:sz w:val="24"/>
          <w:szCs w:val="24"/>
          <w:lang w:val="en-GB"/>
        </w:rPr>
      </w:pPr>
    </w:p>
    <w:p w:rsidR="00025407" w:rsidRDefault="00170F52" w:rsidP="007C1D42">
      <w:pPr>
        <w:spacing w:after="0" w:line="276" w:lineRule="auto"/>
        <w:ind w:right="4"/>
        <w:jc w:val="both"/>
        <w:rPr>
          <w:rFonts w:eastAsia="Times New Roman" w:cs="Arial"/>
          <w:sz w:val="24"/>
          <w:szCs w:val="24"/>
        </w:rPr>
      </w:pPr>
      <w:r>
        <w:rPr>
          <w:rFonts w:eastAsia="Times New Roman" w:cs="Arial"/>
          <w:sz w:val="24"/>
          <w:szCs w:val="24"/>
        </w:rPr>
        <w:tab/>
      </w:r>
      <w:r w:rsidR="003E558B">
        <w:rPr>
          <w:rFonts w:eastAsia="Times New Roman" w:cs="Arial"/>
          <w:sz w:val="24"/>
          <w:szCs w:val="24"/>
        </w:rPr>
        <w:t>The Tribunal has noted the</w:t>
      </w:r>
      <w:r>
        <w:rPr>
          <w:rFonts w:eastAsia="Times New Roman" w:cs="Arial"/>
          <w:sz w:val="24"/>
          <w:szCs w:val="24"/>
        </w:rPr>
        <w:t xml:space="preserve"> stance of Counsel for the Disputants in submitting that the Disputants are being prejudiced through no fault of their own. </w:t>
      </w:r>
      <w:r w:rsidR="008D433B">
        <w:rPr>
          <w:rFonts w:eastAsia="Times New Roman" w:cs="Arial"/>
          <w:sz w:val="24"/>
          <w:szCs w:val="24"/>
        </w:rPr>
        <w:t>He even proposed that the Tribunal liaise with the Commission</w:t>
      </w:r>
      <w:r w:rsidR="00025407">
        <w:rPr>
          <w:rFonts w:eastAsia="Times New Roman" w:cs="Arial"/>
          <w:sz w:val="24"/>
          <w:szCs w:val="24"/>
        </w:rPr>
        <w:t xml:space="preserve"> regarding any adjustments that may have to be made. However, he could not point to any provision </w:t>
      </w:r>
      <w:r w:rsidR="001A1961">
        <w:rPr>
          <w:rFonts w:eastAsia="Times New Roman" w:cs="Arial"/>
          <w:sz w:val="24"/>
          <w:szCs w:val="24"/>
        </w:rPr>
        <w:t>which would</w:t>
      </w:r>
      <w:r w:rsidR="00025407">
        <w:rPr>
          <w:rFonts w:eastAsia="Times New Roman" w:cs="Arial"/>
          <w:sz w:val="24"/>
          <w:szCs w:val="24"/>
        </w:rPr>
        <w:t xml:space="preserve"> allow the Tribunal to </w:t>
      </w:r>
      <w:r w:rsidR="00006171">
        <w:rPr>
          <w:rFonts w:eastAsia="Times New Roman" w:cs="Arial"/>
          <w:sz w:val="24"/>
          <w:szCs w:val="24"/>
        </w:rPr>
        <w:t>revert</w:t>
      </w:r>
      <w:r w:rsidR="00025407">
        <w:rPr>
          <w:rFonts w:eastAsia="Times New Roman" w:cs="Arial"/>
          <w:sz w:val="24"/>
          <w:szCs w:val="24"/>
        </w:rPr>
        <w:t xml:space="preserve"> a dispute to the CCM </w:t>
      </w:r>
      <w:r w:rsidR="00006171">
        <w:rPr>
          <w:rFonts w:eastAsia="Times New Roman" w:cs="Arial"/>
          <w:sz w:val="24"/>
          <w:szCs w:val="24"/>
        </w:rPr>
        <w:t>following its</w:t>
      </w:r>
      <w:r w:rsidR="00025407">
        <w:rPr>
          <w:rFonts w:eastAsia="Times New Roman" w:cs="Arial"/>
          <w:sz w:val="24"/>
          <w:szCs w:val="24"/>
        </w:rPr>
        <w:t xml:space="preserve"> referr</w:t>
      </w:r>
      <w:r w:rsidR="00006171">
        <w:rPr>
          <w:rFonts w:eastAsia="Times New Roman" w:cs="Arial"/>
          <w:sz w:val="24"/>
          <w:szCs w:val="24"/>
        </w:rPr>
        <w:t>al</w:t>
      </w:r>
      <w:r w:rsidR="00025407">
        <w:rPr>
          <w:rFonts w:eastAsia="Times New Roman" w:cs="Arial"/>
          <w:sz w:val="24"/>
          <w:szCs w:val="24"/>
        </w:rPr>
        <w:t xml:space="preserve"> for arbitration.</w:t>
      </w:r>
      <w:r w:rsidR="00006171">
        <w:rPr>
          <w:rFonts w:eastAsia="Times New Roman" w:cs="Arial"/>
          <w:sz w:val="24"/>
          <w:szCs w:val="24"/>
        </w:rPr>
        <w:t xml:space="preserve"> </w:t>
      </w:r>
      <w:r w:rsidR="00025407">
        <w:rPr>
          <w:rFonts w:eastAsia="Times New Roman" w:cs="Arial"/>
          <w:sz w:val="24"/>
          <w:szCs w:val="24"/>
        </w:rPr>
        <w:t xml:space="preserve"> </w:t>
      </w:r>
    </w:p>
    <w:p w:rsidR="00025407" w:rsidRDefault="00025407" w:rsidP="007C1D42">
      <w:pPr>
        <w:spacing w:after="0" w:line="276" w:lineRule="auto"/>
        <w:ind w:right="4"/>
        <w:jc w:val="both"/>
        <w:rPr>
          <w:rFonts w:eastAsia="Times New Roman" w:cs="Arial"/>
          <w:sz w:val="24"/>
          <w:szCs w:val="24"/>
        </w:rPr>
      </w:pPr>
    </w:p>
    <w:p w:rsidR="00025407" w:rsidRDefault="00025407" w:rsidP="007C1D42">
      <w:pPr>
        <w:spacing w:after="0" w:line="276" w:lineRule="auto"/>
        <w:ind w:right="4"/>
        <w:jc w:val="both"/>
        <w:rPr>
          <w:rFonts w:eastAsia="Times New Roman" w:cs="Arial"/>
          <w:sz w:val="24"/>
          <w:szCs w:val="24"/>
        </w:rPr>
      </w:pPr>
    </w:p>
    <w:p w:rsidR="00025407" w:rsidRDefault="00025407" w:rsidP="007C1D42">
      <w:pPr>
        <w:spacing w:after="0" w:line="276" w:lineRule="auto"/>
        <w:ind w:right="4"/>
        <w:jc w:val="both"/>
        <w:rPr>
          <w:sz w:val="24"/>
          <w:lang w:val="en-GB"/>
        </w:rPr>
      </w:pPr>
      <w:r>
        <w:rPr>
          <w:rFonts w:eastAsia="Times New Roman" w:cs="Arial"/>
          <w:sz w:val="24"/>
          <w:szCs w:val="24"/>
        </w:rPr>
        <w:tab/>
        <w:t xml:space="preserve">Although, </w:t>
      </w:r>
      <w:r w:rsidRPr="00025407">
        <w:rPr>
          <w:rFonts w:eastAsia="Times New Roman" w:cs="Arial"/>
          <w:i/>
          <w:sz w:val="24"/>
          <w:szCs w:val="24"/>
        </w:rPr>
        <w:t>paragraph 6</w:t>
      </w:r>
      <w:r>
        <w:rPr>
          <w:rFonts w:eastAsia="Times New Roman" w:cs="Arial"/>
          <w:sz w:val="24"/>
          <w:szCs w:val="24"/>
        </w:rPr>
        <w:t xml:space="preserve"> of the </w:t>
      </w:r>
      <w:r w:rsidRPr="00025407">
        <w:rPr>
          <w:rFonts w:eastAsia="Times New Roman" w:cs="Arial"/>
          <w:i/>
          <w:sz w:val="24"/>
          <w:szCs w:val="24"/>
        </w:rPr>
        <w:t>Second Schedule</w:t>
      </w:r>
      <w:r>
        <w:rPr>
          <w:rFonts w:eastAsia="Times New Roman" w:cs="Arial"/>
          <w:sz w:val="24"/>
          <w:szCs w:val="24"/>
        </w:rPr>
        <w:t xml:space="preserve"> of the </w:t>
      </w:r>
      <w:r w:rsidRPr="00025407">
        <w:rPr>
          <w:rFonts w:eastAsia="Times New Roman" w:cs="Arial"/>
          <w:i/>
          <w:sz w:val="24"/>
          <w:szCs w:val="24"/>
        </w:rPr>
        <w:t>Act</w:t>
      </w:r>
      <w:r>
        <w:rPr>
          <w:rFonts w:eastAsia="Times New Roman" w:cs="Arial"/>
          <w:sz w:val="24"/>
          <w:szCs w:val="24"/>
        </w:rPr>
        <w:t xml:space="preserve"> provides that the Tribunal ‘</w:t>
      </w:r>
      <w:r w:rsidRPr="00025407">
        <w:rPr>
          <w:rFonts w:eastAsia="Times New Roman" w:cs="Arial"/>
          <w:i/>
          <w:sz w:val="24"/>
          <w:szCs w:val="24"/>
        </w:rPr>
        <w:t>shall exercise its jurisdiction in any proceedings in such manner as to enable the parties to the proceedings to avail themselves of the conciliation and mediation services</w:t>
      </w:r>
      <w:r>
        <w:rPr>
          <w:rFonts w:eastAsia="Times New Roman" w:cs="Arial"/>
          <w:sz w:val="24"/>
          <w:szCs w:val="24"/>
        </w:rPr>
        <w:t xml:space="preserve">’ of the CCM, the issue is not whether the process of conciliation and mediation has been applied to the present disputes </w:t>
      </w:r>
      <w:r w:rsidR="001B7A06">
        <w:rPr>
          <w:rFonts w:eastAsia="Times New Roman" w:cs="Arial"/>
          <w:sz w:val="24"/>
          <w:szCs w:val="24"/>
        </w:rPr>
        <w:t>The referral letters clearly show that</w:t>
      </w:r>
      <w:r>
        <w:rPr>
          <w:rFonts w:eastAsia="Times New Roman" w:cs="Arial"/>
          <w:sz w:val="24"/>
          <w:szCs w:val="24"/>
        </w:rPr>
        <w:t xml:space="preserve"> </w:t>
      </w:r>
      <w:r>
        <w:rPr>
          <w:sz w:val="24"/>
          <w:lang w:val="en-GB"/>
        </w:rPr>
        <w:t>c</w:t>
      </w:r>
      <w:r w:rsidRPr="00025407">
        <w:rPr>
          <w:sz w:val="24"/>
          <w:lang w:val="en-GB"/>
        </w:rPr>
        <w:t>onciliation meetings were held at the</w:t>
      </w:r>
      <w:r>
        <w:rPr>
          <w:sz w:val="24"/>
          <w:lang w:val="en-GB"/>
        </w:rPr>
        <w:t xml:space="preserve"> level of the</w:t>
      </w:r>
      <w:r w:rsidR="005B5227">
        <w:rPr>
          <w:sz w:val="24"/>
          <w:lang w:val="en-GB"/>
        </w:rPr>
        <w:t xml:space="preserve"> Commission and that no settlement w</w:t>
      </w:r>
      <w:r w:rsidR="00E074F8">
        <w:rPr>
          <w:sz w:val="24"/>
          <w:lang w:val="en-GB"/>
        </w:rPr>
        <w:t>as</w:t>
      </w:r>
      <w:r>
        <w:rPr>
          <w:sz w:val="24"/>
          <w:lang w:val="en-GB"/>
        </w:rPr>
        <w:t xml:space="preserve"> reached </w:t>
      </w:r>
      <w:r w:rsidR="001B7A06">
        <w:rPr>
          <w:sz w:val="24"/>
          <w:lang w:val="en-GB"/>
        </w:rPr>
        <w:t>prior to the matters being referred to the Tribunal</w:t>
      </w:r>
      <w:r>
        <w:rPr>
          <w:sz w:val="24"/>
          <w:lang w:val="en-GB"/>
        </w:rPr>
        <w:t xml:space="preserve">. </w:t>
      </w:r>
    </w:p>
    <w:p w:rsidR="00025407" w:rsidRDefault="00025407" w:rsidP="007C1D42">
      <w:pPr>
        <w:spacing w:after="0" w:line="276" w:lineRule="auto"/>
        <w:ind w:right="4"/>
        <w:jc w:val="both"/>
        <w:rPr>
          <w:sz w:val="24"/>
          <w:lang w:val="en-GB"/>
        </w:rPr>
      </w:pPr>
    </w:p>
    <w:p w:rsidR="00025407" w:rsidRDefault="00025407" w:rsidP="007C1D42">
      <w:pPr>
        <w:spacing w:after="0" w:line="276" w:lineRule="auto"/>
        <w:ind w:right="4"/>
        <w:jc w:val="both"/>
        <w:rPr>
          <w:sz w:val="24"/>
          <w:lang w:val="en-GB"/>
        </w:rPr>
      </w:pPr>
    </w:p>
    <w:p w:rsidR="005D0EDD" w:rsidRDefault="00025407" w:rsidP="007C1D42">
      <w:pPr>
        <w:spacing w:after="0" w:line="276" w:lineRule="auto"/>
        <w:ind w:right="4"/>
        <w:jc w:val="both"/>
        <w:rPr>
          <w:sz w:val="24"/>
          <w:lang w:val="en-GB"/>
        </w:rPr>
      </w:pPr>
      <w:r>
        <w:rPr>
          <w:sz w:val="24"/>
          <w:lang w:val="en-GB"/>
        </w:rPr>
        <w:tab/>
        <w:t>The Tribunal can only sympathise with the plight of the Disputants</w:t>
      </w:r>
      <w:r w:rsidR="00417CC4">
        <w:rPr>
          <w:sz w:val="24"/>
          <w:lang w:val="en-GB"/>
        </w:rPr>
        <w:t>, but notes</w:t>
      </w:r>
      <w:r w:rsidR="0014749D">
        <w:rPr>
          <w:sz w:val="24"/>
          <w:lang w:val="en-GB"/>
        </w:rPr>
        <w:t xml:space="preserve"> that it is bound to rule on any</w:t>
      </w:r>
      <w:r w:rsidR="00417CC4">
        <w:rPr>
          <w:sz w:val="24"/>
          <w:lang w:val="en-GB"/>
        </w:rPr>
        <w:t xml:space="preserve"> objection raised in a dispute.</w:t>
      </w:r>
      <w:r w:rsidR="005D0EDD">
        <w:rPr>
          <w:sz w:val="24"/>
          <w:lang w:val="en-GB"/>
        </w:rPr>
        <w:t xml:space="preserve"> </w:t>
      </w:r>
      <w:r w:rsidR="00417CC4">
        <w:rPr>
          <w:sz w:val="24"/>
          <w:lang w:val="en-GB"/>
        </w:rPr>
        <w:t>G</w:t>
      </w:r>
      <w:r w:rsidR="005D0EDD">
        <w:rPr>
          <w:sz w:val="24"/>
          <w:lang w:val="en-GB"/>
        </w:rPr>
        <w:t xml:space="preserve">iven that the objection </w:t>
      </w:r>
      <w:r w:rsidR="00417CC4">
        <w:rPr>
          <w:sz w:val="24"/>
          <w:lang w:val="en-GB"/>
        </w:rPr>
        <w:t xml:space="preserve">taken by the Respondent </w:t>
      </w:r>
      <w:r w:rsidR="005D0EDD">
        <w:rPr>
          <w:sz w:val="24"/>
          <w:lang w:val="en-GB"/>
        </w:rPr>
        <w:t>goes to the root of the Tribunal’</w:t>
      </w:r>
      <w:r w:rsidR="00196282">
        <w:rPr>
          <w:sz w:val="24"/>
          <w:lang w:val="en-GB"/>
        </w:rPr>
        <w:t>s jurisdiction to inquire into</w:t>
      </w:r>
      <w:r w:rsidR="005D0EDD">
        <w:rPr>
          <w:sz w:val="24"/>
          <w:lang w:val="en-GB"/>
        </w:rPr>
        <w:t xml:space="preserve"> the present</w:t>
      </w:r>
      <w:r w:rsidR="00417CC4">
        <w:rPr>
          <w:sz w:val="24"/>
          <w:lang w:val="en-GB"/>
        </w:rPr>
        <w:t xml:space="preserve"> consolidated</w:t>
      </w:r>
      <w:r w:rsidR="005D0EDD">
        <w:rPr>
          <w:sz w:val="24"/>
          <w:lang w:val="en-GB"/>
        </w:rPr>
        <w:t xml:space="preserve"> disputes, the T</w:t>
      </w:r>
      <w:r w:rsidR="00196282">
        <w:rPr>
          <w:sz w:val="24"/>
          <w:lang w:val="en-GB"/>
        </w:rPr>
        <w:t>ribunal</w:t>
      </w:r>
      <w:r w:rsidR="005D0EDD">
        <w:rPr>
          <w:sz w:val="24"/>
          <w:lang w:val="en-GB"/>
        </w:rPr>
        <w:t xml:space="preserve"> cannot proceed to arbitrate </w:t>
      </w:r>
      <w:r w:rsidR="00196282">
        <w:rPr>
          <w:sz w:val="24"/>
          <w:lang w:val="en-GB"/>
        </w:rPr>
        <w:t xml:space="preserve">on </w:t>
      </w:r>
      <w:r w:rsidR="005D0EDD">
        <w:rPr>
          <w:sz w:val="24"/>
          <w:lang w:val="en-GB"/>
        </w:rPr>
        <w:t xml:space="preserve">them based on the referrals wrongly made in law by the CCM. </w:t>
      </w:r>
    </w:p>
    <w:p w:rsidR="005D0EDD" w:rsidRDefault="005D0EDD" w:rsidP="007C1D42">
      <w:pPr>
        <w:spacing w:after="0" w:line="276" w:lineRule="auto"/>
        <w:ind w:right="4"/>
        <w:jc w:val="both"/>
        <w:rPr>
          <w:sz w:val="24"/>
          <w:lang w:val="en-GB"/>
        </w:rPr>
      </w:pPr>
    </w:p>
    <w:p w:rsidR="005D0EDD" w:rsidRDefault="005D0EDD" w:rsidP="007C1D42">
      <w:pPr>
        <w:spacing w:after="0" w:line="276" w:lineRule="auto"/>
        <w:ind w:right="4"/>
        <w:jc w:val="both"/>
        <w:rPr>
          <w:sz w:val="24"/>
          <w:lang w:val="en-GB"/>
        </w:rPr>
      </w:pPr>
    </w:p>
    <w:p w:rsidR="00F5537A" w:rsidRDefault="00C2439B" w:rsidP="007C1D42">
      <w:pPr>
        <w:spacing w:after="0" w:line="276" w:lineRule="auto"/>
        <w:ind w:right="4"/>
        <w:jc w:val="both"/>
        <w:rPr>
          <w:rFonts w:eastAsia="Times New Roman" w:cs="Arial"/>
          <w:sz w:val="28"/>
          <w:szCs w:val="24"/>
        </w:rPr>
      </w:pPr>
      <w:r>
        <w:rPr>
          <w:sz w:val="24"/>
          <w:lang w:val="en-GB"/>
        </w:rPr>
        <w:tab/>
        <w:t>The dispute</w:t>
      </w:r>
      <w:r w:rsidR="005D0EDD">
        <w:rPr>
          <w:sz w:val="24"/>
          <w:lang w:val="en-GB"/>
        </w:rPr>
        <w:t xml:space="preserve"> in each case </w:t>
      </w:r>
      <w:r>
        <w:rPr>
          <w:sz w:val="24"/>
          <w:lang w:val="en-GB"/>
        </w:rPr>
        <w:t>is</w:t>
      </w:r>
      <w:r w:rsidR="005D0EDD">
        <w:rPr>
          <w:sz w:val="24"/>
          <w:lang w:val="en-GB"/>
        </w:rPr>
        <w:t xml:space="preserve"> therefore set aside.</w:t>
      </w:r>
      <w:r>
        <w:rPr>
          <w:sz w:val="24"/>
          <w:lang w:val="en-GB"/>
        </w:rPr>
        <w:t xml:space="preserve"> </w:t>
      </w:r>
      <w:r w:rsidR="005D0EDD">
        <w:rPr>
          <w:sz w:val="24"/>
          <w:lang w:val="en-GB"/>
        </w:rPr>
        <w:t xml:space="preserve">  </w:t>
      </w:r>
      <w:r w:rsidR="00025407">
        <w:rPr>
          <w:sz w:val="24"/>
          <w:lang w:val="en-GB"/>
        </w:rPr>
        <w:t xml:space="preserve">  </w:t>
      </w:r>
      <w:r w:rsidR="00025407" w:rsidRPr="00025407">
        <w:rPr>
          <w:rFonts w:eastAsia="Times New Roman" w:cs="Arial"/>
          <w:sz w:val="28"/>
          <w:szCs w:val="24"/>
        </w:rPr>
        <w:t xml:space="preserve">   </w:t>
      </w:r>
      <w:r w:rsidR="008D433B" w:rsidRPr="00025407">
        <w:rPr>
          <w:rFonts w:eastAsia="Times New Roman" w:cs="Arial"/>
          <w:sz w:val="28"/>
          <w:szCs w:val="24"/>
        </w:rPr>
        <w:t xml:space="preserve"> </w:t>
      </w:r>
    </w:p>
    <w:p w:rsidR="00F41671" w:rsidRDefault="00F41671" w:rsidP="007C1D42">
      <w:pPr>
        <w:spacing w:after="0" w:line="276" w:lineRule="auto"/>
        <w:ind w:right="4"/>
        <w:jc w:val="both"/>
        <w:rPr>
          <w:rFonts w:eastAsia="Times New Roman" w:cs="Arial"/>
          <w:sz w:val="28"/>
          <w:szCs w:val="24"/>
        </w:rPr>
      </w:pPr>
    </w:p>
    <w:p w:rsidR="00F41671" w:rsidRDefault="00F41671" w:rsidP="007C1D42">
      <w:pPr>
        <w:spacing w:after="0" w:line="276" w:lineRule="auto"/>
        <w:ind w:right="4"/>
        <w:jc w:val="both"/>
        <w:rPr>
          <w:rFonts w:eastAsia="Times New Roman" w:cs="Arial"/>
          <w:sz w:val="28"/>
          <w:szCs w:val="24"/>
        </w:rPr>
      </w:pPr>
    </w:p>
    <w:p w:rsidR="00F41671" w:rsidRDefault="00F41671" w:rsidP="007C1D42">
      <w:pPr>
        <w:spacing w:after="0" w:line="276" w:lineRule="auto"/>
        <w:ind w:right="4"/>
        <w:jc w:val="both"/>
        <w:rPr>
          <w:rFonts w:eastAsia="Times New Roman" w:cs="Arial"/>
          <w:sz w:val="28"/>
          <w:szCs w:val="24"/>
        </w:rPr>
      </w:pPr>
    </w:p>
    <w:p w:rsidR="00F41671" w:rsidRDefault="00F41671" w:rsidP="00B351DF">
      <w:pPr>
        <w:spacing w:after="0" w:line="276" w:lineRule="auto"/>
        <w:jc w:val="both"/>
        <w:rPr>
          <w:sz w:val="25"/>
          <w:szCs w:val="25"/>
        </w:rPr>
      </w:pPr>
    </w:p>
    <w:p w:rsidR="00F41671" w:rsidRDefault="00F41671" w:rsidP="00B351DF">
      <w:pPr>
        <w:spacing w:after="0" w:line="276" w:lineRule="auto"/>
        <w:jc w:val="both"/>
        <w:rPr>
          <w:sz w:val="25"/>
          <w:szCs w:val="25"/>
        </w:rPr>
      </w:pPr>
    </w:p>
    <w:p w:rsidR="00F41671" w:rsidRDefault="00F41671" w:rsidP="00B351DF">
      <w:pPr>
        <w:spacing w:after="0" w:line="276" w:lineRule="auto"/>
        <w:jc w:val="both"/>
        <w:rPr>
          <w:sz w:val="25"/>
          <w:szCs w:val="25"/>
        </w:rPr>
      </w:pPr>
    </w:p>
    <w:p w:rsidR="00F41671" w:rsidRPr="00B527AB" w:rsidRDefault="00F41671" w:rsidP="00B351DF">
      <w:pPr>
        <w:spacing w:after="0" w:line="276" w:lineRule="auto"/>
        <w:jc w:val="both"/>
        <w:rPr>
          <w:sz w:val="25"/>
          <w:szCs w:val="25"/>
        </w:rPr>
      </w:pPr>
    </w:p>
    <w:p w:rsidR="00F41671" w:rsidRPr="00B527AB" w:rsidRDefault="00F41671" w:rsidP="00B351DF">
      <w:pPr>
        <w:spacing w:after="0" w:line="276" w:lineRule="auto"/>
        <w:ind w:right="26"/>
        <w:jc w:val="both"/>
        <w:rPr>
          <w:rFonts w:eastAsia="Calibri" w:cstheme="minorHAnsi"/>
          <w:b/>
          <w:bCs/>
          <w:sz w:val="25"/>
          <w:szCs w:val="25"/>
        </w:rPr>
      </w:pPr>
      <w:r w:rsidRPr="00B527AB">
        <w:rPr>
          <w:rFonts w:eastAsia="Calibri" w:cstheme="minorHAnsi"/>
          <w:b/>
          <w:bCs/>
          <w:sz w:val="25"/>
          <w:szCs w:val="25"/>
        </w:rPr>
        <w:t>..........................................</w:t>
      </w:r>
    </w:p>
    <w:p w:rsidR="00F41671" w:rsidRPr="00B527AB" w:rsidRDefault="00516430" w:rsidP="00B351DF">
      <w:pPr>
        <w:spacing w:after="0" w:line="276" w:lineRule="auto"/>
        <w:ind w:right="831"/>
        <w:rPr>
          <w:rFonts w:cstheme="minorHAnsi"/>
          <w:b/>
          <w:bCs/>
          <w:sz w:val="25"/>
          <w:szCs w:val="25"/>
        </w:rPr>
      </w:pPr>
      <w:r>
        <w:rPr>
          <w:rFonts w:cstheme="minorHAnsi"/>
          <w:b/>
          <w:bCs/>
          <w:sz w:val="25"/>
          <w:szCs w:val="25"/>
        </w:rPr>
        <w:t xml:space="preserve">SD </w:t>
      </w:r>
      <w:r w:rsidR="00F41671" w:rsidRPr="00B527AB">
        <w:rPr>
          <w:rFonts w:cstheme="minorHAnsi"/>
          <w:b/>
          <w:bCs/>
          <w:sz w:val="25"/>
          <w:szCs w:val="25"/>
        </w:rPr>
        <w:t>Shameer Janhangeer</w:t>
      </w:r>
    </w:p>
    <w:p w:rsidR="00F41671" w:rsidRPr="00B527AB" w:rsidRDefault="00F41671" w:rsidP="00B351DF">
      <w:pPr>
        <w:spacing w:after="0" w:line="276" w:lineRule="auto"/>
        <w:ind w:right="831"/>
        <w:rPr>
          <w:rFonts w:cstheme="minorHAnsi"/>
          <w:b/>
          <w:bCs/>
          <w:sz w:val="25"/>
          <w:szCs w:val="25"/>
        </w:rPr>
      </w:pPr>
      <w:r w:rsidRPr="00B527AB">
        <w:rPr>
          <w:rFonts w:cstheme="minorHAnsi"/>
          <w:b/>
          <w:bCs/>
          <w:sz w:val="25"/>
          <w:szCs w:val="25"/>
        </w:rPr>
        <w:t>(Vice-President)</w:t>
      </w:r>
    </w:p>
    <w:p w:rsidR="00F41671" w:rsidRPr="00B527AB" w:rsidRDefault="00F41671" w:rsidP="00B351DF">
      <w:pPr>
        <w:spacing w:after="0" w:line="276" w:lineRule="auto"/>
        <w:ind w:right="831"/>
        <w:rPr>
          <w:rFonts w:cstheme="minorHAnsi"/>
          <w:b/>
          <w:bCs/>
          <w:sz w:val="25"/>
          <w:szCs w:val="25"/>
        </w:rPr>
      </w:pPr>
    </w:p>
    <w:p w:rsidR="00F41671" w:rsidRPr="00B527AB" w:rsidRDefault="00F41671" w:rsidP="00B351DF">
      <w:pPr>
        <w:spacing w:after="0" w:line="276" w:lineRule="auto"/>
        <w:ind w:right="831"/>
        <w:rPr>
          <w:rFonts w:cstheme="minorHAnsi"/>
          <w:b/>
          <w:bCs/>
          <w:sz w:val="25"/>
          <w:szCs w:val="25"/>
        </w:rPr>
      </w:pPr>
    </w:p>
    <w:p w:rsidR="00F41671" w:rsidRPr="00B527AB" w:rsidRDefault="00F41671" w:rsidP="00B351DF">
      <w:pPr>
        <w:spacing w:after="0" w:line="276" w:lineRule="auto"/>
        <w:ind w:right="831"/>
        <w:rPr>
          <w:rFonts w:cstheme="minorHAnsi"/>
          <w:b/>
          <w:bCs/>
          <w:sz w:val="25"/>
          <w:szCs w:val="25"/>
        </w:rPr>
      </w:pPr>
    </w:p>
    <w:p w:rsidR="00F41671" w:rsidRPr="00B527AB" w:rsidRDefault="00F41671" w:rsidP="00B351DF">
      <w:pPr>
        <w:spacing w:after="0" w:line="276" w:lineRule="auto"/>
        <w:ind w:right="831"/>
        <w:rPr>
          <w:rFonts w:cstheme="minorHAnsi"/>
          <w:b/>
          <w:bCs/>
          <w:sz w:val="25"/>
          <w:szCs w:val="25"/>
        </w:rPr>
      </w:pPr>
      <w:r w:rsidRPr="00B527AB">
        <w:rPr>
          <w:rFonts w:cstheme="minorHAnsi"/>
          <w:b/>
          <w:bCs/>
          <w:sz w:val="25"/>
          <w:szCs w:val="25"/>
        </w:rPr>
        <w:t>..........................................</w:t>
      </w:r>
    </w:p>
    <w:p w:rsidR="00F41671" w:rsidRPr="00B527AB" w:rsidRDefault="00516430" w:rsidP="00B351DF">
      <w:pPr>
        <w:spacing w:after="0" w:line="276" w:lineRule="auto"/>
        <w:ind w:right="831"/>
        <w:rPr>
          <w:rFonts w:cstheme="minorHAnsi"/>
          <w:b/>
          <w:bCs/>
          <w:sz w:val="25"/>
          <w:szCs w:val="25"/>
        </w:rPr>
      </w:pPr>
      <w:r>
        <w:rPr>
          <w:rFonts w:cstheme="minorHAnsi"/>
          <w:b/>
          <w:bCs/>
          <w:sz w:val="25"/>
          <w:szCs w:val="25"/>
        </w:rPr>
        <w:t xml:space="preserve">SD </w:t>
      </w:r>
      <w:r w:rsidR="00F41671">
        <w:rPr>
          <w:rFonts w:cstheme="minorHAnsi"/>
          <w:b/>
          <w:bCs/>
          <w:sz w:val="25"/>
          <w:szCs w:val="25"/>
        </w:rPr>
        <w:t>Francis Supparayen</w:t>
      </w:r>
      <w:r w:rsidR="00F41671" w:rsidRPr="00B527AB">
        <w:rPr>
          <w:rFonts w:cstheme="minorHAnsi"/>
          <w:b/>
          <w:bCs/>
          <w:sz w:val="25"/>
          <w:szCs w:val="25"/>
        </w:rPr>
        <w:t xml:space="preserve"> </w:t>
      </w:r>
    </w:p>
    <w:p w:rsidR="00F41671" w:rsidRPr="00B527AB" w:rsidRDefault="00F41671" w:rsidP="00B351DF">
      <w:pPr>
        <w:spacing w:after="0" w:line="276" w:lineRule="auto"/>
        <w:ind w:right="831"/>
        <w:rPr>
          <w:rFonts w:cstheme="minorHAnsi"/>
          <w:b/>
          <w:bCs/>
          <w:sz w:val="25"/>
          <w:szCs w:val="25"/>
        </w:rPr>
      </w:pPr>
      <w:r w:rsidRPr="00B527AB">
        <w:rPr>
          <w:rFonts w:cstheme="minorHAnsi"/>
          <w:b/>
          <w:bCs/>
          <w:sz w:val="25"/>
          <w:szCs w:val="25"/>
        </w:rPr>
        <w:t>(Member)</w:t>
      </w:r>
    </w:p>
    <w:p w:rsidR="00F41671" w:rsidRPr="00B527AB" w:rsidRDefault="00F41671" w:rsidP="00B351DF">
      <w:pPr>
        <w:spacing w:after="0" w:line="276" w:lineRule="auto"/>
        <w:ind w:right="831"/>
        <w:rPr>
          <w:rFonts w:cstheme="minorHAnsi"/>
          <w:b/>
          <w:bCs/>
          <w:sz w:val="25"/>
          <w:szCs w:val="25"/>
        </w:rPr>
      </w:pPr>
    </w:p>
    <w:p w:rsidR="00F41671" w:rsidRPr="00B527AB" w:rsidRDefault="00F41671" w:rsidP="00B351DF">
      <w:pPr>
        <w:spacing w:after="0" w:line="276" w:lineRule="auto"/>
        <w:ind w:right="831"/>
        <w:rPr>
          <w:rFonts w:cstheme="minorHAnsi"/>
          <w:b/>
          <w:bCs/>
          <w:sz w:val="25"/>
          <w:szCs w:val="25"/>
        </w:rPr>
      </w:pPr>
    </w:p>
    <w:p w:rsidR="00F41671" w:rsidRPr="00B527AB" w:rsidRDefault="00F41671" w:rsidP="00B351DF">
      <w:pPr>
        <w:spacing w:after="0" w:line="276" w:lineRule="auto"/>
        <w:ind w:right="831"/>
        <w:rPr>
          <w:rFonts w:cstheme="minorHAnsi"/>
          <w:b/>
          <w:bCs/>
          <w:sz w:val="25"/>
          <w:szCs w:val="25"/>
        </w:rPr>
      </w:pPr>
    </w:p>
    <w:p w:rsidR="00F41671" w:rsidRPr="00B527AB" w:rsidRDefault="00F41671" w:rsidP="00B351DF">
      <w:pPr>
        <w:spacing w:after="0" w:line="276" w:lineRule="auto"/>
        <w:ind w:right="831"/>
        <w:rPr>
          <w:rFonts w:cstheme="minorHAnsi"/>
          <w:b/>
          <w:bCs/>
          <w:sz w:val="25"/>
          <w:szCs w:val="25"/>
        </w:rPr>
      </w:pPr>
      <w:r w:rsidRPr="00B527AB">
        <w:rPr>
          <w:rFonts w:cstheme="minorHAnsi"/>
          <w:b/>
          <w:bCs/>
          <w:sz w:val="25"/>
          <w:szCs w:val="25"/>
        </w:rPr>
        <w:t>..........................................</w:t>
      </w:r>
    </w:p>
    <w:p w:rsidR="00F41671" w:rsidRPr="00B527AB" w:rsidRDefault="00516430" w:rsidP="00B351DF">
      <w:pPr>
        <w:spacing w:after="0" w:line="276" w:lineRule="auto"/>
        <w:ind w:right="831"/>
        <w:rPr>
          <w:b/>
          <w:bCs/>
          <w:sz w:val="25"/>
          <w:szCs w:val="25"/>
        </w:rPr>
      </w:pPr>
      <w:r>
        <w:rPr>
          <w:b/>
          <w:bCs/>
          <w:sz w:val="25"/>
          <w:szCs w:val="25"/>
        </w:rPr>
        <w:t xml:space="preserve">SD </w:t>
      </w:r>
      <w:r w:rsidR="00F41671">
        <w:rPr>
          <w:b/>
          <w:bCs/>
          <w:sz w:val="25"/>
          <w:szCs w:val="25"/>
        </w:rPr>
        <w:t>Rabin Gungoo</w:t>
      </w:r>
    </w:p>
    <w:p w:rsidR="00F41671" w:rsidRPr="00B527AB" w:rsidRDefault="00F41671" w:rsidP="00B351DF">
      <w:pPr>
        <w:spacing w:after="0" w:line="276" w:lineRule="auto"/>
        <w:ind w:right="831"/>
        <w:rPr>
          <w:rFonts w:cstheme="minorHAnsi"/>
          <w:b/>
          <w:bCs/>
          <w:sz w:val="25"/>
          <w:szCs w:val="25"/>
        </w:rPr>
      </w:pPr>
      <w:r w:rsidRPr="00B527AB">
        <w:rPr>
          <w:rFonts w:cstheme="minorHAnsi"/>
          <w:b/>
          <w:bCs/>
          <w:sz w:val="25"/>
          <w:szCs w:val="25"/>
        </w:rPr>
        <w:t>(Member)</w:t>
      </w:r>
    </w:p>
    <w:p w:rsidR="00F41671" w:rsidRPr="00B527AB" w:rsidRDefault="00F41671" w:rsidP="00B351DF">
      <w:pPr>
        <w:spacing w:after="0" w:line="276" w:lineRule="auto"/>
        <w:ind w:right="831"/>
        <w:rPr>
          <w:rFonts w:cstheme="minorHAnsi"/>
          <w:b/>
          <w:bCs/>
          <w:sz w:val="25"/>
          <w:szCs w:val="25"/>
        </w:rPr>
      </w:pPr>
    </w:p>
    <w:p w:rsidR="00F41671" w:rsidRPr="00B527AB" w:rsidRDefault="00F41671" w:rsidP="00B351DF">
      <w:pPr>
        <w:spacing w:after="0" w:line="276" w:lineRule="auto"/>
        <w:ind w:right="831"/>
        <w:rPr>
          <w:rFonts w:cstheme="minorHAnsi"/>
          <w:b/>
          <w:bCs/>
          <w:sz w:val="25"/>
          <w:szCs w:val="25"/>
        </w:rPr>
      </w:pPr>
    </w:p>
    <w:p w:rsidR="00F41671" w:rsidRPr="00B527AB" w:rsidRDefault="00F41671" w:rsidP="00B351DF">
      <w:pPr>
        <w:spacing w:after="0" w:line="276" w:lineRule="auto"/>
        <w:ind w:right="831"/>
        <w:rPr>
          <w:rFonts w:cstheme="minorHAnsi"/>
          <w:b/>
          <w:bCs/>
          <w:sz w:val="25"/>
          <w:szCs w:val="25"/>
        </w:rPr>
      </w:pPr>
    </w:p>
    <w:p w:rsidR="00F41671" w:rsidRPr="00B527AB" w:rsidRDefault="00F41671" w:rsidP="00B351DF">
      <w:pPr>
        <w:spacing w:after="0" w:line="276" w:lineRule="auto"/>
        <w:ind w:right="831"/>
        <w:rPr>
          <w:rFonts w:cstheme="minorHAnsi"/>
          <w:b/>
          <w:bCs/>
          <w:sz w:val="25"/>
          <w:szCs w:val="25"/>
        </w:rPr>
      </w:pPr>
      <w:r w:rsidRPr="00B527AB">
        <w:rPr>
          <w:rFonts w:cstheme="minorHAnsi"/>
          <w:b/>
          <w:bCs/>
          <w:sz w:val="25"/>
          <w:szCs w:val="25"/>
        </w:rPr>
        <w:t>..........................................</w:t>
      </w:r>
    </w:p>
    <w:p w:rsidR="00F41671" w:rsidRPr="00B527AB" w:rsidRDefault="00516430" w:rsidP="00B351DF">
      <w:pPr>
        <w:spacing w:after="0" w:line="276" w:lineRule="auto"/>
        <w:ind w:right="831"/>
        <w:rPr>
          <w:rFonts w:cstheme="minorHAnsi"/>
          <w:b/>
          <w:bCs/>
          <w:sz w:val="25"/>
          <w:szCs w:val="25"/>
        </w:rPr>
      </w:pPr>
      <w:r>
        <w:rPr>
          <w:b/>
          <w:sz w:val="25"/>
          <w:szCs w:val="25"/>
        </w:rPr>
        <w:t xml:space="preserve">SD </w:t>
      </w:r>
      <w:r w:rsidR="00F41671">
        <w:rPr>
          <w:b/>
          <w:sz w:val="25"/>
          <w:szCs w:val="25"/>
        </w:rPr>
        <w:t>Kevin C. Lukeeram</w:t>
      </w:r>
      <w:r w:rsidR="00F41671" w:rsidRPr="00B527AB">
        <w:rPr>
          <w:b/>
          <w:sz w:val="25"/>
          <w:szCs w:val="25"/>
        </w:rPr>
        <w:tab/>
      </w:r>
    </w:p>
    <w:p w:rsidR="00F41671" w:rsidRPr="00B527AB" w:rsidRDefault="00F41671" w:rsidP="00B351DF">
      <w:pPr>
        <w:spacing w:after="0" w:line="276" w:lineRule="auto"/>
        <w:ind w:right="831"/>
        <w:rPr>
          <w:rFonts w:cstheme="minorHAnsi"/>
          <w:b/>
          <w:bCs/>
          <w:sz w:val="25"/>
          <w:szCs w:val="25"/>
        </w:rPr>
      </w:pPr>
      <w:r w:rsidRPr="00B527AB">
        <w:rPr>
          <w:rFonts w:cstheme="minorHAnsi"/>
          <w:b/>
          <w:bCs/>
          <w:sz w:val="25"/>
          <w:szCs w:val="25"/>
        </w:rPr>
        <w:t>(Member)</w:t>
      </w:r>
    </w:p>
    <w:p w:rsidR="00F41671" w:rsidRPr="00B527AB" w:rsidRDefault="00F41671" w:rsidP="00B351DF">
      <w:pPr>
        <w:spacing w:after="0" w:line="276" w:lineRule="auto"/>
        <w:jc w:val="both"/>
        <w:rPr>
          <w:sz w:val="25"/>
          <w:szCs w:val="25"/>
        </w:rPr>
      </w:pPr>
    </w:p>
    <w:p w:rsidR="00F41671" w:rsidRPr="00B527AB" w:rsidRDefault="00F41671" w:rsidP="00B351DF">
      <w:pPr>
        <w:spacing w:after="0" w:line="276" w:lineRule="auto"/>
        <w:jc w:val="both"/>
        <w:rPr>
          <w:sz w:val="25"/>
          <w:szCs w:val="25"/>
        </w:rPr>
      </w:pPr>
    </w:p>
    <w:p w:rsidR="00F41671" w:rsidRPr="00B527AB" w:rsidRDefault="00F41671" w:rsidP="00B351DF">
      <w:pPr>
        <w:spacing w:after="0" w:line="276" w:lineRule="auto"/>
        <w:jc w:val="both"/>
        <w:rPr>
          <w:b/>
          <w:sz w:val="25"/>
          <w:szCs w:val="25"/>
        </w:rPr>
      </w:pPr>
      <w:r w:rsidRPr="00B527AB">
        <w:rPr>
          <w:b/>
          <w:sz w:val="25"/>
          <w:szCs w:val="25"/>
        </w:rPr>
        <w:t>Date:</w:t>
      </w:r>
      <w:r w:rsidRPr="00B527AB">
        <w:rPr>
          <w:b/>
          <w:sz w:val="25"/>
          <w:szCs w:val="25"/>
        </w:rPr>
        <w:tab/>
      </w:r>
      <w:r>
        <w:rPr>
          <w:b/>
          <w:sz w:val="25"/>
          <w:szCs w:val="25"/>
        </w:rPr>
        <w:t>1</w:t>
      </w:r>
      <w:r w:rsidR="00B351DF">
        <w:rPr>
          <w:b/>
          <w:sz w:val="25"/>
          <w:szCs w:val="25"/>
        </w:rPr>
        <w:t>1</w:t>
      </w:r>
      <w:r w:rsidRPr="001D6B66">
        <w:rPr>
          <w:b/>
          <w:sz w:val="25"/>
          <w:szCs w:val="25"/>
          <w:vertAlign w:val="superscript"/>
        </w:rPr>
        <w:t>th</w:t>
      </w:r>
      <w:r>
        <w:rPr>
          <w:b/>
          <w:sz w:val="25"/>
          <w:szCs w:val="25"/>
        </w:rPr>
        <w:t xml:space="preserve"> </w:t>
      </w:r>
      <w:r w:rsidR="00B351DF">
        <w:rPr>
          <w:b/>
          <w:sz w:val="25"/>
          <w:szCs w:val="25"/>
        </w:rPr>
        <w:t>August</w:t>
      </w:r>
      <w:r w:rsidRPr="00B527AB">
        <w:rPr>
          <w:b/>
          <w:sz w:val="25"/>
          <w:szCs w:val="25"/>
        </w:rPr>
        <w:t xml:space="preserve"> 20</w:t>
      </w:r>
      <w:r w:rsidR="00B351DF">
        <w:rPr>
          <w:b/>
          <w:sz w:val="25"/>
          <w:szCs w:val="25"/>
        </w:rPr>
        <w:t>20</w:t>
      </w:r>
      <w:r w:rsidRPr="00B527AB">
        <w:rPr>
          <w:b/>
          <w:sz w:val="25"/>
          <w:szCs w:val="25"/>
        </w:rPr>
        <w:tab/>
      </w:r>
    </w:p>
    <w:p w:rsidR="00F41671" w:rsidRPr="00B527AB" w:rsidRDefault="00F41671" w:rsidP="00B351DF">
      <w:pPr>
        <w:spacing w:after="0" w:line="276" w:lineRule="auto"/>
        <w:jc w:val="both"/>
        <w:rPr>
          <w:sz w:val="25"/>
          <w:szCs w:val="25"/>
        </w:rPr>
      </w:pPr>
    </w:p>
    <w:p w:rsidR="00F41671" w:rsidRPr="00025407" w:rsidRDefault="00F41671" w:rsidP="007C1D42">
      <w:pPr>
        <w:spacing w:after="0" w:line="276" w:lineRule="auto"/>
        <w:ind w:right="4"/>
        <w:jc w:val="both"/>
        <w:rPr>
          <w:rFonts w:eastAsia="Times New Roman" w:cs="Arial"/>
          <w:sz w:val="24"/>
          <w:szCs w:val="24"/>
        </w:rPr>
      </w:pPr>
    </w:p>
    <w:p w:rsidR="00F5537A" w:rsidRDefault="00F5537A" w:rsidP="007C1D42">
      <w:pPr>
        <w:spacing w:after="0" w:line="276" w:lineRule="auto"/>
        <w:ind w:right="4"/>
        <w:jc w:val="both"/>
        <w:rPr>
          <w:rFonts w:eastAsia="Times New Roman" w:cs="Arial"/>
          <w:sz w:val="24"/>
          <w:szCs w:val="24"/>
        </w:rPr>
      </w:pPr>
    </w:p>
    <w:p w:rsidR="00F5537A" w:rsidRPr="00AC28C7" w:rsidRDefault="00F5537A" w:rsidP="007C1D42">
      <w:pPr>
        <w:spacing w:after="0" w:line="276" w:lineRule="auto"/>
        <w:ind w:right="4"/>
        <w:jc w:val="both"/>
        <w:rPr>
          <w:rFonts w:eastAsia="Times New Roman" w:cs="Arial"/>
          <w:sz w:val="24"/>
          <w:szCs w:val="24"/>
        </w:rPr>
      </w:pPr>
    </w:p>
    <w:sectPr w:rsidR="00F5537A" w:rsidRPr="00AC28C7" w:rsidSect="00286CE6">
      <w:headerReference w:type="default" r:id="rId6"/>
      <w:footerReference w:type="default" r:id="rId7"/>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5A7" w:rsidRDefault="007565A7" w:rsidP="00E2740F">
      <w:pPr>
        <w:spacing w:after="0" w:line="240" w:lineRule="auto"/>
      </w:pPr>
      <w:r>
        <w:separator/>
      </w:r>
    </w:p>
  </w:endnote>
  <w:endnote w:type="continuationSeparator" w:id="0">
    <w:p w:rsidR="007565A7" w:rsidRDefault="007565A7" w:rsidP="00E27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987207"/>
      <w:docPartObj>
        <w:docPartGallery w:val="Page Numbers (Bottom of Page)"/>
        <w:docPartUnique/>
      </w:docPartObj>
    </w:sdtPr>
    <w:sdtEndPr>
      <w:rPr>
        <w:noProof/>
      </w:rPr>
    </w:sdtEndPr>
    <w:sdtContent>
      <w:p w:rsidR="001511CB" w:rsidRDefault="001511CB">
        <w:pPr>
          <w:pStyle w:val="Footer"/>
          <w:jc w:val="right"/>
        </w:pPr>
        <w:r>
          <w:fldChar w:fldCharType="begin"/>
        </w:r>
        <w:r>
          <w:instrText xml:space="preserve"> PAGE   \* MERGEFORMAT </w:instrText>
        </w:r>
        <w:r>
          <w:fldChar w:fldCharType="separate"/>
        </w:r>
        <w:r w:rsidR="007E7FE7">
          <w:rPr>
            <w:noProof/>
          </w:rPr>
          <w:t>1</w:t>
        </w:r>
        <w:r>
          <w:rPr>
            <w:noProof/>
          </w:rPr>
          <w:fldChar w:fldCharType="end"/>
        </w:r>
      </w:p>
    </w:sdtContent>
  </w:sdt>
  <w:p w:rsidR="001511CB" w:rsidRDefault="001511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5A7" w:rsidRDefault="007565A7" w:rsidP="00E2740F">
      <w:pPr>
        <w:spacing w:after="0" w:line="240" w:lineRule="auto"/>
      </w:pPr>
      <w:r>
        <w:separator/>
      </w:r>
    </w:p>
  </w:footnote>
  <w:footnote w:type="continuationSeparator" w:id="0">
    <w:p w:rsidR="007565A7" w:rsidRDefault="007565A7" w:rsidP="00E27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40F" w:rsidRPr="00E2740F" w:rsidRDefault="00E2740F" w:rsidP="00E2740F">
    <w:pPr>
      <w:pStyle w:val="Header"/>
      <w:jc w:val="right"/>
      <w:rPr>
        <w:color w:val="2E74B5" w:themeColor="accent1" w:themeShade="BF"/>
        <w:sz w:val="4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83"/>
    <w:rsid w:val="00001C82"/>
    <w:rsid w:val="00006171"/>
    <w:rsid w:val="00010D8D"/>
    <w:rsid w:val="00014CED"/>
    <w:rsid w:val="00024E68"/>
    <w:rsid w:val="00025407"/>
    <w:rsid w:val="00027D78"/>
    <w:rsid w:val="00072AF7"/>
    <w:rsid w:val="00082445"/>
    <w:rsid w:val="00083311"/>
    <w:rsid w:val="0008590A"/>
    <w:rsid w:val="00086F11"/>
    <w:rsid w:val="0009291A"/>
    <w:rsid w:val="000B7565"/>
    <w:rsid w:val="000D3CE9"/>
    <w:rsid w:val="000D70C0"/>
    <w:rsid w:val="000E1869"/>
    <w:rsid w:val="0014749D"/>
    <w:rsid w:val="001511CB"/>
    <w:rsid w:val="00161814"/>
    <w:rsid w:val="00170F52"/>
    <w:rsid w:val="00172930"/>
    <w:rsid w:val="00196282"/>
    <w:rsid w:val="0019712F"/>
    <w:rsid w:val="001A15A7"/>
    <w:rsid w:val="001A1961"/>
    <w:rsid w:val="001A2063"/>
    <w:rsid w:val="001B0577"/>
    <w:rsid w:val="001B7A06"/>
    <w:rsid w:val="001D56B4"/>
    <w:rsid w:val="00211396"/>
    <w:rsid w:val="00216EDE"/>
    <w:rsid w:val="002274FD"/>
    <w:rsid w:val="00230135"/>
    <w:rsid w:val="00243325"/>
    <w:rsid w:val="00276DB7"/>
    <w:rsid w:val="002810D8"/>
    <w:rsid w:val="00283CB6"/>
    <w:rsid w:val="00286CE6"/>
    <w:rsid w:val="002A7B21"/>
    <w:rsid w:val="00311783"/>
    <w:rsid w:val="00315C9E"/>
    <w:rsid w:val="00365096"/>
    <w:rsid w:val="003B5C63"/>
    <w:rsid w:val="003D09A9"/>
    <w:rsid w:val="003E558B"/>
    <w:rsid w:val="004070A7"/>
    <w:rsid w:val="00417CC4"/>
    <w:rsid w:val="0046010B"/>
    <w:rsid w:val="004872F0"/>
    <w:rsid w:val="00495218"/>
    <w:rsid w:val="004A44B1"/>
    <w:rsid w:val="004C3D20"/>
    <w:rsid w:val="004C585A"/>
    <w:rsid w:val="004E47D3"/>
    <w:rsid w:val="00516430"/>
    <w:rsid w:val="00521E30"/>
    <w:rsid w:val="005A33C6"/>
    <w:rsid w:val="005B5227"/>
    <w:rsid w:val="005D0EDD"/>
    <w:rsid w:val="00630DA3"/>
    <w:rsid w:val="0063589B"/>
    <w:rsid w:val="006942FF"/>
    <w:rsid w:val="006979CE"/>
    <w:rsid w:val="006A509C"/>
    <w:rsid w:val="007164DE"/>
    <w:rsid w:val="00716654"/>
    <w:rsid w:val="00733EFB"/>
    <w:rsid w:val="007444B0"/>
    <w:rsid w:val="00747CAB"/>
    <w:rsid w:val="007565A7"/>
    <w:rsid w:val="007A7F5E"/>
    <w:rsid w:val="007C1D42"/>
    <w:rsid w:val="007C36CD"/>
    <w:rsid w:val="007E7FE7"/>
    <w:rsid w:val="008035AA"/>
    <w:rsid w:val="008328D1"/>
    <w:rsid w:val="00845924"/>
    <w:rsid w:val="008B6F25"/>
    <w:rsid w:val="008D433B"/>
    <w:rsid w:val="00953058"/>
    <w:rsid w:val="00992470"/>
    <w:rsid w:val="0099615B"/>
    <w:rsid w:val="009B0CAB"/>
    <w:rsid w:val="009B282A"/>
    <w:rsid w:val="009C4796"/>
    <w:rsid w:val="009F2DED"/>
    <w:rsid w:val="00A16942"/>
    <w:rsid w:val="00A17871"/>
    <w:rsid w:val="00A36820"/>
    <w:rsid w:val="00A97B34"/>
    <w:rsid w:val="00AB3FCD"/>
    <w:rsid w:val="00AC28C7"/>
    <w:rsid w:val="00B0160C"/>
    <w:rsid w:val="00B02F12"/>
    <w:rsid w:val="00B351DF"/>
    <w:rsid w:val="00B4441C"/>
    <w:rsid w:val="00B97A0C"/>
    <w:rsid w:val="00C2439B"/>
    <w:rsid w:val="00C93ADD"/>
    <w:rsid w:val="00C971F2"/>
    <w:rsid w:val="00CA1B98"/>
    <w:rsid w:val="00CA4D54"/>
    <w:rsid w:val="00CE1A0B"/>
    <w:rsid w:val="00CE7974"/>
    <w:rsid w:val="00CF3C6A"/>
    <w:rsid w:val="00D0651D"/>
    <w:rsid w:val="00D135BF"/>
    <w:rsid w:val="00D35904"/>
    <w:rsid w:val="00D84FF4"/>
    <w:rsid w:val="00D94527"/>
    <w:rsid w:val="00DB623C"/>
    <w:rsid w:val="00DD0057"/>
    <w:rsid w:val="00DE6D27"/>
    <w:rsid w:val="00DF37AF"/>
    <w:rsid w:val="00E03A93"/>
    <w:rsid w:val="00E074F8"/>
    <w:rsid w:val="00E129F4"/>
    <w:rsid w:val="00E2740F"/>
    <w:rsid w:val="00E634D3"/>
    <w:rsid w:val="00EA6C05"/>
    <w:rsid w:val="00F41671"/>
    <w:rsid w:val="00F5537A"/>
    <w:rsid w:val="00F8166A"/>
    <w:rsid w:val="00F87A44"/>
    <w:rsid w:val="00FB2C90"/>
    <w:rsid w:val="00FE675C"/>
    <w:rsid w:val="00FE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D3556-64C1-4FCD-8E53-CF2191F2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40F"/>
  </w:style>
  <w:style w:type="paragraph" w:styleId="Footer">
    <w:name w:val="footer"/>
    <w:basedOn w:val="Normal"/>
    <w:link w:val="FooterChar"/>
    <w:uiPriority w:val="99"/>
    <w:unhideWhenUsed/>
    <w:rsid w:val="00E27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40F"/>
  </w:style>
  <w:style w:type="paragraph" w:styleId="BalloonText">
    <w:name w:val="Balloon Text"/>
    <w:basedOn w:val="Normal"/>
    <w:link w:val="BalloonTextChar"/>
    <w:uiPriority w:val="99"/>
    <w:semiHidden/>
    <w:unhideWhenUsed/>
    <w:rsid w:val="00243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3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69DAF2-F3DC-4454-AB01-D93312D0C795}"/>
</file>

<file path=customXml/itemProps2.xml><?xml version="1.0" encoding="utf-8"?>
<ds:datastoreItem xmlns:ds="http://schemas.openxmlformats.org/officeDocument/2006/customXml" ds:itemID="{3E8E77C0-B324-4F36-99E6-D7FF928A72E5}"/>
</file>

<file path=customXml/itemProps3.xml><?xml version="1.0" encoding="utf-8"?>
<ds:datastoreItem xmlns:ds="http://schemas.openxmlformats.org/officeDocument/2006/customXml" ds:itemID="{25DBDD21-087F-4146-980B-E987AE6D7B26}"/>
</file>

<file path=docProps/app.xml><?xml version="1.0" encoding="utf-8"?>
<Properties xmlns="http://schemas.openxmlformats.org/officeDocument/2006/extended-properties" xmlns:vt="http://schemas.openxmlformats.org/officeDocument/2006/docPropsVTypes">
  <Template>Normal</Template>
  <TotalTime>0</TotalTime>
  <Pages>8</Pages>
  <Words>1904</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dc:creator>
  <cp:keywords/>
  <dc:description/>
  <cp:lastModifiedBy>Mrs Jugroo</cp:lastModifiedBy>
  <cp:revision>2</cp:revision>
  <cp:lastPrinted>2020-08-11T11:23:00Z</cp:lastPrinted>
  <dcterms:created xsi:type="dcterms:W3CDTF">2020-11-09T08:54:00Z</dcterms:created>
  <dcterms:modified xsi:type="dcterms:W3CDTF">2020-11-09T08:54:00Z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