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9C03"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1B7A0E49" w14:textId="77777777" w:rsidR="00AB3DEA" w:rsidRPr="005B080A" w:rsidRDefault="00142789" w:rsidP="00AB3DEA">
      <w:pPr>
        <w:jc w:val="center"/>
        <w:rPr>
          <w:rFonts w:ascii="Arial" w:hAnsi="Arial" w:cs="Arial"/>
          <w:b/>
          <w:sz w:val="24"/>
          <w:szCs w:val="24"/>
        </w:rPr>
      </w:pPr>
      <w:r>
        <w:rPr>
          <w:rFonts w:ascii="Arial" w:hAnsi="Arial" w:cs="Arial"/>
          <w:b/>
          <w:sz w:val="24"/>
          <w:szCs w:val="24"/>
        </w:rPr>
        <w:t>RULING</w:t>
      </w:r>
    </w:p>
    <w:p w14:paraId="3482CF47"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8010A0">
        <w:rPr>
          <w:rFonts w:ascii="Arial" w:hAnsi="Arial" w:cs="Arial"/>
          <w:b/>
          <w:sz w:val="24"/>
          <w:szCs w:val="24"/>
        </w:rPr>
        <w:t>69</w:t>
      </w:r>
      <w:r w:rsidRPr="005B080A">
        <w:rPr>
          <w:rFonts w:ascii="Arial" w:hAnsi="Arial" w:cs="Arial"/>
          <w:b/>
          <w:sz w:val="24"/>
          <w:szCs w:val="24"/>
        </w:rPr>
        <w:t>/</w:t>
      </w:r>
      <w:r w:rsidR="00440780">
        <w:rPr>
          <w:rFonts w:ascii="Arial" w:hAnsi="Arial" w:cs="Arial"/>
          <w:b/>
          <w:sz w:val="24"/>
          <w:szCs w:val="24"/>
        </w:rPr>
        <w:t>20</w:t>
      </w:r>
      <w:r w:rsidR="008010A0">
        <w:rPr>
          <w:rFonts w:ascii="Arial" w:hAnsi="Arial" w:cs="Arial"/>
          <w:b/>
          <w:sz w:val="24"/>
          <w:szCs w:val="24"/>
        </w:rPr>
        <w:t xml:space="preserve">-71/20 </w:t>
      </w:r>
    </w:p>
    <w:p w14:paraId="19569895" w14:textId="77777777" w:rsidR="00AB3DEA" w:rsidRPr="005B080A" w:rsidRDefault="00AB3DEA" w:rsidP="00AB3DEA">
      <w:pPr>
        <w:ind w:firstLine="720"/>
        <w:rPr>
          <w:rFonts w:ascii="Arial" w:hAnsi="Arial" w:cs="Arial"/>
          <w:b/>
          <w:sz w:val="24"/>
          <w:szCs w:val="24"/>
        </w:rPr>
      </w:pPr>
    </w:p>
    <w:p w14:paraId="2A28520A"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67E00F2A"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19B2ADAE" w14:textId="77777777" w:rsidR="00AB3DEA" w:rsidRPr="005B080A" w:rsidRDefault="00620BAC" w:rsidP="00AB3DEA">
      <w:pPr>
        <w:ind w:left="1440" w:firstLine="720"/>
        <w:jc w:val="both"/>
        <w:rPr>
          <w:rFonts w:ascii="Arial" w:hAnsi="Arial" w:cs="Arial"/>
          <w:b/>
          <w:sz w:val="24"/>
          <w:szCs w:val="24"/>
        </w:rPr>
      </w:pPr>
      <w:r>
        <w:rPr>
          <w:rFonts w:ascii="Arial" w:hAnsi="Arial" w:cs="Arial"/>
          <w:b/>
          <w:sz w:val="24"/>
          <w:szCs w:val="24"/>
        </w:rPr>
        <w:t>Francis Supparayen</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76BDA381" w14:textId="77777777" w:rsidR="00AB3DEA" w:rsidRPr="005B080A" w:rsidRDefault="00C746BE"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4368E03"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C746BE">
        <w:rPr>
          <w:rFonts w:ascii="Arial" w:hAnsi="Arial" w:cs="Arial"/>
          <w:b/>
          <w:sz w:val="24"/>
          <w:szCs w:val="24"/>
        </w:rPr>
        <w:t>Kevin C. Lukeeram</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2E9B440" w14:textId="77777777" w:rsidR="00840B0B" w:rsidRPr="005B080A" w:rsidRDefault="00840B0B" w:rsidP="00AB3DEA">
      <w:pPr>
        <w:rPr>
          <w:rFonts w:ascii="Arial" w:hAnsi="Arial" w:cs="Arial"/>
          <w:b/>
          <w:sz w:val="24"/>
          <w:szCs w:val="24"/>
        </w:rPr>
      </w:pPr>
    </w:p>
    <w:p w14:paraId="6AB4CF18"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In the matter </w:t>
      </w:r>
      <w:proofErr w:type="gramStart"/>
      <w:r w:rsidRPr="005B080A">
        <w:rPr>
          <w:rFonts w:ascii="Arial" w:hAnsi="Arial" w:cs="Arial"/>
          <w:b/>
          <w:sz w:val="24"/>
          <w:szCs w:val="24"/>
        </w:rPr>
        <w:t>of:-</w:t>
      </w:r>
      <w:proofErr w:type="gramEnd"/>
    </w:p>
    <w:p w14:paraId="3579AF60" w14:textId="77777777" w:rsidR="00AB3DEA" w:rsidRPr="005B080A" w:rsidRDefault="00620BAC" w:rsidP="00AB3DEA">
      <w:pPr>
        <w:ind w:firstLine="720"/>
        <w:jc w:val="center"/>
        <w:rPr>
          <w:rFonts w:ascii="Arial" w:hAnsi="Arial" w:cs="Arial"/>
          <w:b/>
          <w:sz w:val="24"/>
          <w:szCs w:val="24"/>
        </w:rPr>
      </w:pPr>
      <w:r>
        <w:rPr>
          <w:rFonts w:ascii="Arial" w:hAnsi="Arial" w:cs="Arial"/>
          <w:b/>
          <w:sz w:val="24"/>
          <w:szCs w:val="24"/>
        </w:rPr>
        <w:t xml:space="preserve">Mrs </w:t>
      </w:r>
      <w:proofErr w:type="spellStart"/>
      <w:r>
        <w:rPr>
          <w:rFonts w:ascii="Arial" w:hAnsi="Arial" w:cs="Arial"/>
          <w:b/>
          <w:sz w:val="24"/>
          <w:szCs w:val="24"/>
        </w:rPr>
        <w:t>Anuradha</w:t>
      </w:r>
      <w:proofErr w:type="spellEnd"/>
      <w:r>
        <w:rPr>
          <w:rFonts w:ascii="Arial" w:hAnsi="Arial" w:cs="Arial"/>
          <w:b/>
          <w:sz w:val="24"/>
          <w:szCs w:val="24"/>
        </w:rPr>
        <w:t xml:space="preserve"> </w:t>
      </w:r>
      <w:proofErr w:type="spellStart"/>
      <w:r>
        <w:rPr>
          <w:rFonts w:ascii="Arial" w:hAnsi="Arial" w:cs="Arial"/>
          <w:b/>
          <w:sz w:val="24"/>
          <w:szCs w:val="24"/>
        </w:rPr>
        <w:t>Bundhun</w:t>
      </w:r>
      <w:proofErr w:type="spellEnd"/>
      <w:r w:rsidR="00AB3DEA" w:rsidRPr="005B080A">
        <w:rPr>
          <w:rFonts w:ascii="Arial" w:hAnsi="Arial" w:cs="Arial"/>
          <w:b/>
          <w:sz w:val="24"/>
          <w:szCs w:val="24"/>
        </w:rPr>
        <w:t xml:space="preserve"> (</w:t>
      </w:r>
      <w:r>
        <w:rPr>
          <w:rFonts w:ascii="Arial" w:hAnsi="Arial" w:cs="Arial"/>
          <w:b/>
          <w:sz w:val="24"/>
          <w:szCs w:val="24"/>
        </w:rPr>
        <w:t>Disputant No 1</w:t>
      </w:r>
      <w:r w:rsidR="00AB3DEA" w:rsidRPr="005B080A">
        <w:rPr>
          <w:rFonts w:ascii="Arial" w:hAnsi="Arial" w:cs="Arial"/>
          <w:b/>
          <w:sz w:val="24"/>
          <w:szCs w:val="24"/>
        </w:rPr>
        <w:t>)</w:t>
      </w:r>
    </w:p>
    <w:p w14:paraId="1849BFAF"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04B4CD4" w14:textId="77777777" w:rsidR="00AB3DEA" w:rsidRDefault="00620BAC" w:rsidP="00AB3DEA">
      <w:pPr>
        <w:ind w:left="1440" w:firstLine="720"/>
        <w:jc w:val="center"/>
        <w:rPr>
          <w:rFonts w:ascii="Arial" w:hAnsi="Arial" w:cs="Arial"/>
          <w:b/>
          <w:sz w:val="28"/>
          <w:szCs w:val="28"/>
        </w:rPr>
      </w:pPr>
      <w:r>
        <w:rPr>
          <w:rFonts w:ascii="Arial" w:hAnsi="Arial" w:cs="Arial"/>
          <w:b/>
          <w:sz w:val="24"/>
          <w:szCs w:val="24"/>
        </w:rPr>
        <w:t>ABSA Bank (Mauritius)</w:t>
      </w:r>
      <w:r w:rsidR="00440780">
        <w:rPr>
          <w:rFonts w:ascii="Arial" w:hAnsi="Arial" w:cs="Arial"/>
          <w:b/>
          <w:sz w:val="24"/>
          <w:szCs w:val="24"/>
        </w:rPr>
        <w:t xml:space="preserve"> Ltd</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14:paraId="43CF39F5" w14:textId="00A0110A" w:rsidR="00620BAC" w:rsidRDefault="009D6A71" w:rsidP="00AB3DEA">
      <w:pPr>
        <w:ind w:left="1440" w:firstLine="720"/>
        <w:jc w:val="center"/>
        <w:rPr>
          <w:rFonts w:ascii="Arial" w:hAnsi="Arial" w:cs="Arial"/>
          <w:b/>
          <w:sz w:val="28"/>
          <w:szCs w:val="28"/>
        </w:rPr>
      </w:pPr>
      <w:proofErr w:type="spellStart"/>
      <w:r w:rsidRPr="002C17A0">
        <w:rPr>
          <w:rFonts w:ascii="Arial" w:hAnsi="Arial" w:cs="Arial"/>
          <w:b/>
          <w:sz w:val="24"/>
          <w:szCs w:val="24"/>
        </w:rPr>
        <w:t>i.p.o</w:t>
      </w:r>
      <w:proofErr w:type="spellEnd"/>
      <w:r w:rsidRPr="002C17A0">
        <w:rPr>
          <w:rFonts w:ascii="Arial" w:hAnsi="Arial" w:cs="Arial"/>
          <w:b/>
          <w:sz w:val="24"/>
          <w:szCs w:val="24"/>
        </w:rPr>
        <w:t xml:space="preserve"> Barclays Bank </w:t>
      </w:r>
      <w:r>
        <w:rPr>
          <w:rFonts w:ascii="Arial" w:hAnsi="Arial" w:cs="Arial"/>
          <w:b/>
          <w:sz w:val="24"/>
          <w:szCs w:val="24"/>
        </w:rPr>
        <w:t>Mauritius Staff Association (Co-Respondent)</w:t>
      </w:r>
    </w:p>
    <w:p w14:paraId="7FEF36C7" w14:textId="77777777" w:rsidR="00620BAC" w:rsidRPr="005B080A" w:rsidRDefault="00620BAC" w:rsidP="00620BAC">
      <w:pPr>
        <w:ind w:firstLine="720"/>
        <w:jc w:val="center"/>
        <w:rPr>
          <w:rFonts w:ascii="Arial" w:hAnsi="Arial" w:cs="Arial"/>
          <w:b/>
          <w:sz w:val="24"/>
          <w:szCs w:val="24"/>
        </w:rPr>
      </w:pPr>
      <w:r>
        <w:rPr>
          <w:rFonts w:ascii="Arial" w:hAnsi="Arial" w:cs="Arial"/>
          <w:b/>
          <w:sz w:val="24"/>
          <w:szCs w:val="24"/>
        </w:rPr>
        <w:t xml:space="preserve">Mrs </w:t>
      </w:r>
      <w:proofErr w:type="spellStart"/>
      <w:r>
        <w:rPr>
          <w:rFonts w:ascii="Arial" w:hAnsi="Arial" w:cs="Arial"/>
          <w:b/>
          <w:sz w:val="24"/>
          <w:szCs w:val="24"/>
        </w:rPr>
        <w:t>Bhojraj</w:t>
      </w:r>
      <w:proofErr w:type="spellEnd"/>
      <w:r>
        <w:rPr>
          <w:rFonts w:ascii="Arial" w:hAnsi="Arial" w:cs="Arial"/>
          <w:b/>
          <w:sz w:val="24"/>
          <w:szCs w:val="24"/>
        </w:rPr>
        <w:t xml:space="preserve"> Daby</w:t>
      </w:r>
      <w:r w:rsidRPr="005B080A">
        <w:rPr>
          <w:rFonts w:ascii="Arial" w:hAnsi="Arial" w:cs="Arial"/>
          <w:b/>
          <w:sz w:val="24"/>
          <w:szCs w:val="24"/>
        </w:rPr>
        <w:t xml:space="preserve"> (</w:t>
      </w:r>
      <w:r>
        <w:rPr>
          <w:rFonts w:ascii="Arial" w:hAnsi="Arial" w:cs="Arial"/>
          <w:b/>
          <w:sz w:val="24"/>
          <w:szCs w:val="24"/>
        </w:rPr>
        <w:t>Disputant No 2</w:t>
      </w:r>
      <w:r w:rsidRPr="005B080A">
        <w:rPr>
          <w:rFonts w:ascii="Arial" w:hAnsi="Arial" w:cs="Arial"/>
          <w:b/>
          <w:sz w:val="24"/>
          <w:szCs w:val="24"/>
        </w:rPr>
        <w:t>)</w:t>
      </w:r>
    </w:p>
    <w:p w14:paraId="17157B23" w14:textId="77777777" w:rsidR="00620BAC" w:rsidRPr="005B080A" w:rsidRDefault="00620BAC" w:rsidP="00620BAC">
      <w:pPr>
        <w:jc w:val="center"/>
        <w:rPr>
          <w:rFonts w:ascii="Arial" w:hAnsi="Arial" w:cs="Arial"/>
          <w:b/>
          <w:sz w:val="24"/>
          <w:szCs w:val="24"/>
        </w:rPr>
      </w:pPr>
      <w:r w:rsidRPr="005B080A">
        <w:rPr>
          <w:rFonts w:ascii="Arial" w:hAnsi="Arial" w:cs="Arial"/>
          <w:b/>
          <w:sz w:val="24"/>
          <w:szCs w:val="24"/>
        </w:rPr>
        <w:t>And</w:t>
      </w:r>
    </w:p>
    <w:p w14:paraId="2E21B785" w14:textId="77777777" w:rsidR="00620BAC" w:rsidRDefault="00620BAC" w:rsidP="00620BAC">
      <w:pPr>
        <w:ind w:left="1440" w:firstLine="720"/>
        <w:jc w:val="center"/>
        <w:rPr>
          <w:rFonts w:ascii="Arial" w:hAnsi="Arial" w:cs="Arial"/>
          <w:b/>
          <w:sz w:val="28"/>
          <w:szCs w:val="28"/>
        </w:rPr>
      </w:pPr>
      <w:r>
        <w:rPr>
          <w:rFonts w:ascii="Arial" w:hAnsi="Arial" w:cs="Arial"/>
          <w:b/>
          <w:sz w:val="24"/>
          <w:szCs w:val="24"/>
        </w:rPr>
        <w:t>ABSA Bank (Mauritius) Ltd</w:t>
      </w:r>
      <w:r w:rsidRPr="005B080A">
        <w:rPr>
          <w:rFonts w:ascii="Arial" w:hAnsi="Arial" w:cs="Arial"/>
          <w:b/>
          <w:sz w:val="24"/>
          <w:szCs w:val="24"/>
        </w:rPr>
        <w:t xml:space="preserve"> (Respondent</w:t>
      </w:r>
      <w:r w:rsidRPr="00906543">
        <w:rPr>
          <w:rFonts w:ascii="Arial" w:hAnsi="Arial" w:cs="Arial"/>
          <w:b/>
          <w:sz w:val="28"/>
          <w:szCs w:val="28"/>
        </w:rPr>
        <w:t>)</w:t>
      </w:r>
    </w:p>
    <w:p w14:paraId="5E8A3FEF" w14:textId="17BA5180" w:rsidR="00620BAC" w:rsidRDefault="009D6A71" w:rsidP="00620BAC">
      <w:pPr>
        <w:ind w:left="1440" w:firstLine="720"/>
        <w:jc w:val="center"/>
        <w:rPr>
          <w:rFonts w:ascii="Arial" w:hAnsi="Arial" w:cs="Arial"/>
          <w:b/>
          <w:sz w:val="28"/>
          <w:szCs w:val="28"/>
        </w:rPr>
      </w:pPr>
      <w:proofErr w:type="spellStart"/>
      <w:r w:rsidRPr="002C17A0">
        <w:rPr>
          <w:rFonts w:ascii="Arial" w:hAnsi="Arial" w:cs="Arial"/>
          <w:b/>
          <w:sz w:val="24"/>
          <w:szCs w:val="24"/>
        </w:rPr>
        <w:t>i.p.o</w:t>
      </w:r>
      <w:proofErr w:type="spellEnd"/>
      <w:r w:rsidRPr="002C17A0">
        <w:rPr>
          <w:rFonts w:ascii="Arial" w:hAnsi="Arial" w:cs="Arial"/>
          <w:b/>
          <w:sz w:val="24"/>
          <w:szCs w:val="24"/>
        </w:rPr>
        <w:t xml:space="preserve"> Barclays Bank </w:t>
      </w:r>
      <w:r>
        <w:rPr>
          <w:rFonts w:ascii="Arial" w:hAnsi="Arial" w:cs="Arial"/>
          <w:b/>
          <w:sz w:val="24"/>
          <w:szCs w:val="24"/>
        </w:rPr>
        <w:t>Mauritius Staff Association (Co-Respondent)</w:t>
      </w:r>
    </w:p>
    <w:p w14:paraId="78C38CC3" w14:textId="77777777" w:rsidR="00620BAC" w:rsidRPr="005B080A" w:rsidRDefault="00620BAC" w:rsidP="00620BAC">
      <w:pPr>
        <w:ind w:firstLine="720"/>
        <w:jc w:val="center"/>
        <w:rPr>
          <w:rFonts w:ascii="Arial" w:hAnsi="Arial" w:cs="Arial"/>
          <w:b/>
          <w:sz w:val="24"/>
          <w:szCs w:val="24"/>
        </w:rPr>
      </w:pPr>
      <w:r>
        <w:rPr>
          <w:rFonts w:ascii="Arial" w:hAnsi="Arial" w:cs="Arial"/>
          <w:b/>
          <w:sz w:val="24"/>
          <w:szCs w:val="24"/>
        </w:rPr>
        <w:t xml:space="preserve">Mrs Sujata </w:t>
      </w:r>
      <w:proofErr w:type="spellStart"/>
      <w:r>
        <w:rPr>
          <w:rFonts w:ascii="Arial" w:hAnsi="Arial" w:cs="Arial"/>
          <w:b/>
          <w:sz w:val="24"/>
          <w:szCs w:val="24"/>
        </w:rPr>
        <w:t>Retif</w:t>
      </w:r>
      <w:proofErr w:type="spellEnd"/>
      <w:r>
        <w:rPr>
          <w:rFonts w:ascii="Arial" w:hAnsi="Arial" w:cs="Arial"/>
          <w:b/>
          <w:sz w:val="24"/>
          <w:szCs w:val="24"/>
        </w:rPr>
        <w:t xml:space="preserve"> (Disputant No 3</w:t>
      </w:r>
      <w:r w:rsidRPr="005B080A">
        <w:rPr>
          <w:rFonts w:ascii="Arial" w:hAnsi="Arial" w:cs="Arial"/>
          <w:b/>
          <w:sz w:val="24"/>
          <w:szCs w:val="24"/>
        </w:rPr>
        <w:t>)</w:t>
      </w:r>
    </w:p>
    <w:p w14:paraId="00FC05FC" w14:textId="77777777" w:rsidR="00620BAC" w:rsidRPr="005B080A" w:rsidRDefault="00620BAC" w:rsidP="00620BAC">
      <w:pPr>
        <w:jc w:val="center"/>
        <w:rPr>
          <w:rFonts w:ascii="Arial" w:hAnsi="Arial" w:cs="Arial"/>
          <w:b/>
          <w:sz w:val="24"/>
          <w:szCs w:val="24"/>
        </w:rPr>
      </w:pPr>
      <w:r w:rsidRPr="005B080A">
        <w:rPr>
          <w:rFonts w:ascii="Arial" w:hAnsi="Arial" w:cs="Arial"/>
          <w:b/>
          <w:sz w:val="24"/>
          <w:szCs w:val="24"/>
        </w:rPr>
        <w:t>And</w:t>
      </w:r>
    </w:p>
    <w:p w14:paraId="5F7E52D0" w14:textId="77777777" w:rsidR="00620BAC" w:rsidRDefault="00620BAC" w:rsidP="00620BAC">
      <w:pPr>
        <w:ind w:left="1440" w:firstLine="720"/>
        <w:jc w:val="center"/>
        <w:rPr>
          <w:rFonts w:ascii="Arial" w:hAnsi="Arial" w:cs="Arial"/>
          <w:b/>
          <w:sz w:val="28"/>
          <w:szCs w:val="28"/>
        </w:rPr>
      </w:pPr>
      <w:r>
        <w:rPr>
          <w:rFonts w:ascii="Arial" w:hAnsi="Arial" w:cs="Arial"/>
          <w:b/>
          <w:sz w:val="24"/>
          <w:szCs w:val="24"/>
        </w:rPr>
        <w:t>ABSA Bank (Mauritius) Ltd</w:t>
      </w:r>
      <w:r w:rsidRPr="005B080A">
        <w:rPr>
          <w:rFonts w:ascii="Arial" w:hAnsi="Arial" w:cs="Arial"/>
          <w:b/>
          <w:sz w:val="24"/>
          <w:szCs w:val="24"/>
        </w:rPr>
        <w:t xml:space="preserve"> (Respondent</w:t>
      </w:r>
      <w:r w:rsidRPr="00906543">
        <w:rPr>
          <w:rFonts w:ascii="Arial" w:hAnsi="Arial" w:cs="Arial"/>
          <w:b/>
          <w:sz w:val="28"/>
          <w:szCs w:val="28"/>
        </w:rPr>
        <w:t>)</w:t>
      </w:r>
    </w:p>
    <w:p w14:paraId="0C3BCD3C" w14:textId="77777777" w:rsidR="00620BAC" w:rsidRPr="002C17A0" w:rsidRDefault="002C17A0" w:rsidP="00620BAC">
      <w:pPr>
        <w:ind w:left="1440" w:firstLine="720"/>
        <w:jc w:val="center"/>
        <w:rPr>
          <w:rFonts w:ascii="Arial" w:hAnsi="Arial" w:cs="Arial"/>
          <w:b/>
          <w:sz w:val="24"/>
          <w:szCs w:val="24"/>
        </w:rPr>
      </w:pPr>
      <w:proofErr w:type="spellStart"/>
      <w:r w:rsidRPr="002C17A0">
        <w:rPr>
          <w:rFonts w:ascii="Arial" w:hAnsi="Arial" w:cs="Arial"/>
          <w:b/>
          <w:sz w:val="24"/>
          <w:szCs w:val="24"/>
        </w:rPr>
        <w:t>i.p.o</w:t>
      </w:r>
      <w:proofErr w:type="spellEnd"/>
      <w:r w:rsidRPr="002C17A0">
        <w:rPr>
          <w:rFonts w:ascii="Arial" w:hAnsi="Arial" w:cs="Arial"/>
          <w:b/>
          <w:sz w:val="24"/>
          <w:szCs w:val="24"/>
        </w:rPr>
        <w:t xml:space="preserve"> Barclays Bank </w:t>
      </w:r>
      <w:r>
        <w:rPr>
          <w:rFonts w:ascii="Arial" w:hAnsi="Arial" w:cs="Arial"/>
          <w:b/>
          <w:sz w:val="24"/>
          <w:szCs w:val="24"/>
        </w:rPr>
        <w:t>Mauritius Staff Association (Co-Respondent)</w:t>
      </w:r>
    </w:p>
    <w:p w14:paraId="3B82F830" w14:textId="77777777" w:rsidR="00DA6430" w:rsidRDefault="00DA6430" w:rsidP="00D81ACB">
      <w:pPr>
        <w:jc w:val="both"/>
        <w:rPr>
          <w:rFonts w:ascii="Arial" w:hAnsi="Arial" w:cs="Arial"/>
          <w:sz w:val="24"/>
          <w:szCs w:val="24"/>
        </w:rPr>
      </w:pPr>
    </w:p>
    <w:p w14:paraId="6D3D234D" w14:textId="7CC51D63" w:rsidR="00D81ACB" w:rsidRDefault="00D81ACB" w:rsidP="00D81ACB">
      <w:pPr>
        <w:jc w:val="both"/>
        <w:rPr>
          <w:rFonts w:ascii="Arial" w:hAnsi="Arial" w:cs="Arial"/>
          <w:sz w:val="24"/>
          <w:szCs w:val="24"/>
        </w:rPr>
      </w:pPr>
      <w:r>
        <w:rPr>
          <w:rFonts w:ascii="Arial" w:hAnsi="Arial" w:cs="Arial"/>
          <w:sz w:val="24"/>
          <w:szCs w:val="24"/>
        </w:rPr>
        <w:t>The above cases have been referred to the Tribunal by the Commission for Conciliation and Mediation under Section 69(</w:t>
      </w:r>
      <w:r w:rsidR="00071E28">
        <w:rPr>
          <w:rFonts w:ascii="Arial" w:hAnsi="Arial" w:cs="Arial"/>
          <w:sz w:val="24"/>
          <w:szCs w:val="24"/>
        </w:rPr>
        <w:t>9</w:t>
      </w:r>
      <w:r>
        <w:rPr>
          <w:rFonts w:ascii="Arial" w:hAnsi="Arial" w:cs="Arial"/>
          <w:sz w:val="24"/>
          <w:szCs w:val="24"/>
        </w:rPr>
        <w:t>)</w:t>
      </w:r>
      <w:r w:rsidR="00071E28">
        <w:rPr>
          <w:rFonts w:ascii="Arial" w:hAnsi="Arial" w:cs="Arial"/>
          <w:sz w:val="24"/>
          <w:szCs w:val="24"/>
        </w:rPr>
        <w:t>(b)</w:t>
      </w:r>
      <w:r>
        <w:rPr>
          <w:rFonts w:ascii="Arial" w:hAnsi="Arial" w:cs="Arial"/>
          <w:sz w:val="24"/>
          <w:szCs w:val="24"/>
        </w:rPr>
        <w:t xml:space="preserve"> of the Employment Relations Act</w:t>
      </w:r>
      <w:r w:rsidR="00071E28">
        <w:rPr>
          <w:rFonts w:ascii="Arial" w:hAnsi="Arial" w:cs="Arial"/>
          <w:sz w:val="24"/>
          <w:szCs w:val="24"/>
        </w:rPr>
        <w:t xml:space="preserve"> 2008, as amended</w:t>
      </w:r>
      <w:r>
        <w:rPr>
          <w:rFonts w:ascii="Arial" w:hAnsi="Arial" w:cs="Arial"/>
          <w:sz w:val="24"/>
          <w:szCs w:val="24"/>
        </w:rPr>
        <w:t xml:space="preserve"> (hereinafter referred to as “the Act”).  </w:t>
      </w:r>
      <w:r w:rsidR="0092405A">
        <w:rPr>
          <w:rFonts w:ascii="Arial" w:hAnsi="Arial" w:cs="Arial"/>
          <w:sz w:val="24"/>
          <w:szCs w:val="24"/>
        </w:rPr>
        <w:t xml:space="preserve">The Co-Respondent has been joined as a party </w:t>
      </w:r>
      <w:r w:rsidR="001274A3">
        <w:rPr>
          <w:rFonts w:ascii="Arial" w:hAnsi="Arial" w:cs="Arial"/>
          <w:sz w:val="24"/>
          <w:szCs w:val="24"/>
        </w:rPr>
        <w:t>in the present matter in the interests</w:t>
      </w:r>
      <w:r w:rsidR="00B03FBA">
        <w:rPr>
          <w:rFonts w:ascii="Arial" w:hAnsi="Arial" w:cs="Arial"/>
          <w:sz w:val="24"/>
          <w:szCs w:val="24"/>
        </w:rPr>
        <w:t xml:space="preserve"> of justice and a</w:t>
      </w:r>
      <w:r>
        <w:rPr>
          <w:rFonts w:ascii="Arial" w:hAnsi="Arial" w:cs="Arial"/>
          <w:sz w:val="24"/>
          <w:szCs w:val="24"/>
        </w:rPr>
        <w:t>ll th</w:t>
      </w:r>
      <w:r w:rsidR="00593DD7">
        <w:rPr>
          <w:rFonts w:ascii="Arial" w:hAnsi="Arial" w:cs="Arial"/>
          <w:sz w:val="24"/>
          <w:szCs w:val="24"/>
        </w:rPr>
        <w:t>r</w:t>
      </w:r>
      <w:r>
        <w:rPr>
          <w:rFonts w:ascii="Arial" w:hAnsi="Arial" w:cs="Arial"/>
          <w:sz w:val="24"/>
          <w:szCs w:val="24"/>
        </w:rPr>
        <w:t>e</w:t>
      </w:r>
      <w:r w:rsidR="00593DD7">
        <w:rPr>
          <w:rFonts w:ascii="Arial" w:hAnsi="Arial" w:cs="Arial"/>
          <w:sz w:val="24"/>
          <w:szCs w:val="24"/>
        </w:rPr>
        <w:t>e</w:t>
      </w:r>
      <w:r>
        <w:rPr>
          <w:rFonts w:ascii="Arial" w:hAnsi="Arial" w:cs="Arial"/>
          <w:sz w:val="24"/>
          <w:szCs w:val="24"/>
        </w:rPr>
        <w:t xml:space="preserve"> cases were consolidated </w:t>
      </w:r>
      <w:r w:rsidR="00593DD7">
        <w:rPr>
          <w:rFonts w:ascii="Arial" w:hAnsi="Arial" w:cs="Arial"/>
          <w:sz w:val="24"/>
          <w:szCs w:val="24"/>
        </w:rPr>
        <w:t>with the agreement of parties.</w:t>
      </w:r>
      <w:r>
        <w:rPr>
          <w:rFonts w:ascii="Arial" w:hAnsi="Arial" w:cs="Arial"/>
          <w:sz w:val="24"/>
          <w:szCs w:val="24"/>
        </w:rPr>
        <w:t xml:space="preserve">  All th</w:t>
      </w:r>
      <w:r w:rsidR="00AF17A7">
        <w:rPr>
          <w:rFonts w:ascii="Arial" w:hAnsi="Arial" w:cs="Arial"/>
          <w:sz w:val="24"/>
          <w:szCs w:val="24"/>
        </w:rPr>
        <w:t>r</w:t>
      </w:r>
      <w:r>
        <w:rPr>
          <w:rFonts w:ascii="Arial" w:hAnsi="Arial" w:cs="Arial"/>
          <w:sz w:val="24"/>
          <w:szCs w:val="24"/>
        </w:rPr>
        <w:t>e</w:t>
      </w:r>
      <w:r w:rsidR="00AF17A7">
        <w:rPr>
          <w:rFonts w:ascii="Arial" w:hAnsi="Arial" w:cs="Arial"/>
          <w:sz w:val="24"/>
          <w:szCs w:val="24"/>
        </w:rPr>
        <w:t>e</w:t>
      </w:r>
      <w:r>
        <w:rPr>
          <w:rFonts w:ascii="Arial" w:hAnsi="Arial" w:cs="Arial"/>
          <w:sz w:val="24"/>
          <w:szCs w:val="24"/>
        </w:rPr>
        <w:t xml:space="preserve"> </w:t>
      </w:r>
      <w:r w:rsidR="00AF17A7">
        <w:rPr>
          <w:rFonts w:ascii="Arial" w:hAnsi="Arial" w:cs="Arial"/>
          <w:sz w:val="24"/>
          <w:szCs w:val="24"/>
        </w:rPr>
        <w:t>disputants</w:t>
      </w:r>
      <w:r w:rsidR="00B03FBA">
        <w:rPr>
          <w:rFonts w:ascii="Arial" w:hAnsi="Arial" w:cs="Arial"/>
          <w:sz w:val="24"/>
          <w:szCs w:val="24"/>
        </w:rPr>
        <w:t>,</w:t>
      </w:r>
      <w:r w:rsidR="00AF17A7">
        <w:rPr>
          <w:rFonts w:ascii="Arial" w:hAnsi="Arial" w:cs="Arial"/>
          <w:sz w:val="24"/>
          <w:szCs w:val="24"/>
        </w:rPr>
        <w:t xml:space="preserve"> the Respondent</w:t>
      </w:r>
      <w:r>
        <w:rPr>
          <w:rFonts w:ascii="Arial" w:hAnsi="Arial" w:cs="Arial"/>
          <w:sz w:val="24"/>
          <w:szCs w:val="24"/>
        </w:rPr>
        <w:t xml:space="preserve"> </w:t>
      </w:r>
      <w:r w:rsidR="00B03FBA">
        <w:rPr>
          <w:rFonts w:ascii="Arial" w:hAnsi="Arial" w:cs="Arial"/>
          <w:sz w:val="24"/>
          <w:szCs w:val="24"/>
        </w:rPr>
        <w:t xml:space="preserve">and the Co-Respondent </w:t>
      </w:r>
      <w:r>
        <w:rPr>
          <w:rFonts w:ascii="Arial" w:hAnsi="Arial" w:cs="Arial"/>
          <w:sz w:val="24"/>
          <w:szCs w:val="24"/>
        </w:rPr>
        <w:t>were assisted by Counsel</w:t>
      </w:r>
      <w:r w:rsidR="00AF17A7">
        <w:rPr>
          <w:rFonts w:ascii="Arial" w:hAnsi="Arial" w:cs="Arial"/>
          <w:sz w:val="24"/>
          <w:szCs w:val="24"/>
        </w:rPr>
        <w:t>.</w:t>
      </w:r>
      <w:r>
        <w:rPr>
          <w:rFonts w:ascii="Arial" w:hAnsi="Arial" w:cs="Arial"/>
          <w:sz w:val="24"/>
          <w:szCs w:val="24"/>
        </w:rPr>
        <w:t xml:space="preserve">  The terms of reference are identical in all th</w:t>
      </w:r>
      <w:r w:rsidR="00AF17A7">
        <w:rPr>
          <w:rFonts w:ascii="Arial" w:hAnsi="Arial" w:cs="Arial"/>
          <w:sz w:val="24"/>
          <w:szCs w:val="24"/>
        </w:rPr>
        <w:t>r</w:t>
      </w:r>
      <w:r>
        <w:rPr>
          <w:rFonts w:ascii="Arial" w:hAnsi="Arial" w:cs="Arial"/>
          <w:sz w:val="24"/>
          <w:szCs w:val="24"/>
        </w:rPr>
        <w:t>e</w:t>
      </w:r>
      <w:r w:rsidR="00AF17A7">
        <w:rPr>
          <w:rFonts w:ascii="Arial" w:hAnsi="Arial" w:cs="Arial"/>
          <w:sz w:val="24"/>
          <w:szCs w:val="24"/>
        </w:rPr>
        <w:t>e</w:t>
      </w:r>
      <w:r>
        <w:rPr>
          <w:rFonts w:ascii="Arial" w:hAnsi="Arial" w:cs="Arial"/>
          <w:sz w:val="24"/>
          <w:szCs w:val="24"/>
        </w:rPr>
        <w:t xml:space="preserve"> cases</w:t>
      </w:r>
      <w:r w:rsidR="00593DD7">
        <w:rPr>
          <w:rFonts w:ascii="Arial" w:hAnsi="Arial" w:cs="Arial"/>
          <w:sz w:val="24"/>
          <w:szCs w:val="24"/>
        </w:rPr>
        <w:t>,</w:t>
      </w:r>
      <w:r>
        <w:rPr>
          <w:rFonts w:ascii="Arial" w:hAnsi="Arial" w:cs="Arial"/>
          <w:sz w:val="24"/>
          <w:szCs w:val="24"/>
        </w:rPr>
        <w:t xml:space="preserve"> </w:t>
      </w:r>
      <w:r w:rsidR="00593DD7">
        <w:rPr>
          <w:rFonts w:ascii="Arial" w:hAnsi="Arial" w:cs="Arial"/>
          <w:sz w:val="24"/>
          <w:szCs w:val="24"/>
        </w:rPr>
        <w:t xml:space="preserve">except in the case of Disputant </w:t>
      </w:r>
      <w:r w:rsidR="00E31EC3">
        <w:rPr>
          <w:rFonts w:ascii="Arial" w:hAnsi="Arial" w:cs="Arial"/>
          <w:sz w:val="24"/>
          <w:szCs w:val="24"/>
        </w:rPr>
        <w:t xml:space="preserve">No 3 </w:t>
      </w:r>
      <w:r w:rsidR="00593DD7">
        <w:rPr>
          <w:rFonts w:ascii="Arial" w:hAnsi="Arial" w:cs="Arial"/>
          <w:sz w:val="24"/>
          <w:szCs w:val="24"/>
        </w:rPr>
        <w:t xml:space="preserve">where the effective period mentioned was as from November 2016 (instead of July 2017), </w:t>
      </w:r>
      <w:r>
        <w:rPr>
          <w:rFonts w:ascii="Arial" w:hAnsi="Arial" w:cs="Arial"/>
          <w:sz w:val="24"/>
          <w:szCs w:val="24"/>
        </w:rPr>
        <w:t xml:space="preserve">and read as follows: </w:t>
      </w:r>
    </w:p>
    <w:p w14:paraId="5D803D21" w14:textId="77777777" w:rsidR="00AF17A7" w:rsidRPr="00071E28" w:rsidRDefault="00AF17A7" w:rsidP="00D81ACB">
      <w:pPr>
        <w:jc w:val="both"/>
        <w:rPr>
          <w:rFonts w:ascii="Arial" w:hAnsi="Arial" w:cs="Arial"/>
          <w:i/>
          <w:sz w:val="24"/>
          <w:szCs w:val="24"/>
        </w:rPr>
      </w:pPr>
      <w:r w:rsidRPr="00071E28">
        <w:rPr>
          <w:rFonts w:ascii="Arial" w:hAnsi="Arial" w:cs="Arial"/>
          <w:i/>
          <w:sz w:val="24"/>
          <w:szCs w:val="24"/>
        </w:rPr>
        <w:t>“</w:t>
      </w:r>
      <w:r w:rsidR="00071E28" w:rsidRPr="00071E28">
        <w:rPr>
          <w:rFonts w:ascii="Arial" w:hAnsi="Arial" w:cs="Arial"/>
          <w:i/>
          <w:sz w:val="24"/>
          <w:szCs w:val="24"/>
        </w:rPr>
        <w:t>Whether the terms and conditions of employment (salaries, end of year bonus, financial bonus, travelling, travel grant, leave entitlement, merit increase among others) following my promotion to the grade of AVP should be realigned with those of staff which have been promoted prior to January 2016 with effect from July 2017 or otherwise.”</w:t>
      </w:r>
    </w:p>
    <w:p w14:paraId="1BB5F415" w14:textId="77777777" w:rsidR="00AF17A7" w:rsidRDefault="00AF17A7" w:rsidP="00D81ACB">
      <w:pPr>
        <w:jc w:val="both"/>
        <w:rPr>
          <w:rFonts w:ascii="Arial" w:hAnsi="Arial" w:cs="Arial"/>
          <w:sz w:val="24"/>
          <w:szCs w:val="24"/>
        </w:rPr>
      </w:pPr>
      <w:r>
        <w:rPr>
          <w:rFonts w:ascii="Arial" w:hAnsi="Arial" w:cs="Arial"/>
          <w:sz w:val="24"/>
          <w:szCs w:val="24"/>
        </w:rPr>
        <w:t xml:space="preserve">The </w:t>
      </w:r>
      <w:r w:rsidRPr="00791173">
        <w:rPr>
          <w:rFonts w:ascii="Arial" w:hAnsi="Arial" w:cs="Arial"/>
          <w:i/>
          <w:sz w:val="24"/>
          <w:szCs w:val="24"/>
        </w:rPr>
        <w:t>Respondent</w:t>
      </w:r>
      <w:r>
        <w:rPr>
          <w:rFonts w:ascii="Arial" w:hAnsi="Arial" w:cs="Arial"/>
          <w:sz w:val="24"/>
          <w:szCs w:val="24"/>
        </w:rPr>
        <w:t xml:space="preserve"> has taken a p</w:t>
      </w:r>
      <w:r w:rsidR="00071E28">
        <w:rPr>
          <w:rFonts w:ascii="Arial" w:hAnsi="Arial" w:cs="Arial"/>
          <w:sz w:val="24"/>
          <w:szCs w:val="24"/>
        </w:rPr>
        <w:t xml:space="preserve">lea </w:t>
      </w:r>
      <w:r w:rsidR="00071E28" w:rsidRPr="00791173">
        <w:rPr>
          <w:rFonts w:ascii="Arial" w:hAnsi="Arial" w:cs="Arial"/>
          <w:i/>
          <w:sz w:val="24"/>
          <w:szCs w:val="24"/>
        </w:rPr>
        <w:t xml:space="preserve">in </w:t>
      </w:r>
      <w:proofErr w:type="spellStart"/>
      <w:r w:rsidR="00071E28" w:rsidRPr="00791173">
        <w:rPr>
          <w:rFonts w:ascii="Arial" w:hAnsi="Arial" w:cs="Arial"/>
          <w:i/>
          <w:sz w:val="24"/>
          <w:szCs w:val="24"/>
        </w:rPr>
        <w:t>limin</w:t>
      </w:r>
      <w:r w:rsidRPr="00791173">
        <w:rPr>
          <w:rFonts w:ascii="Arial" w:hAnsi="Arial" w:cs="Arial"/>
          <w:i/>
          <w:sz w:val="24"/>
          <w:szCs w:val="24"/>
        </w:rPr>
        <w:t>e</w:t>
      </w:r>
      <w:proofErr w:type="spellEnd"/>
      <w:r w:rsidR="00071E28">
        <w:rPr>
          <w:rFonts w:ascii="Arial" w:hAnsi="Arial" w:cs="Arial"/>
          <w:sz w:val="24"/>
          <w:szCs w:val="24"/>
        </w:rPr>
        <w:t xml:space="preserve"> </w:t>
      </w:r>
      <w:r>
        <w:rPr>
          <w:rFonts w:ascii="Arial" w:hAnsi="Arial" w:cs="Arial"/>
          <w:sz w:val="24"/>
          <w:szCs w:val="24"/>
        </w:rPr>
        <w:t>which reads as follows:</w:t>
      </w:r>
    </w:p>
    <w:p w14:paraId="2E617BFB" w14:textId="77777777" w:rsidR="000A5A1B" w:rsidRPr="00593DD7" w:rsidRDefault="00AF17A7" w:rsidP="00D81ACB">
      <w:pPr>
        <w:jc w:val="both"/>
        <w:rPr>
          <w:rFonts w:ascii="Arial" w:hAnsi="Arial" w:cs="Arial"/>
          <w:i/>
          <w:sz w:val="24"/>
          <w:szCs w:val="24"/>
        </w:rPr>
      </w:pPr>
      <w:r w:rsidRPr="00593DD7">
        <w:rPr>
          <w:rFonts w:ascii="Arial" w:hAnsi="Arial" w:cs="Arial"/>
          <w:i/>
          <w:sz w:val="24"/>
          <w:szCs w:val="24"/>
        </w:rPr>
        <w:t>“</w:t>
      </w:r>
      <w:r w:rsidR="000A5A1B" w:rsidRPr="00593DD7">
        <w:rPr>
          <w:rFonts w:ascii="Arial" w:hAnsi="Arial" w:cs="Arial"/>
          <w:i/>
          <w:sz w:val="24"/>
          <w:szCs w:val="24"/>
        </w:rPr>
        <w:t xml:space="preserve">(1) </w:t>
      </w:r>
      <w:r w:rsidR="00973ADD">
        <w:rPr>
          <w:rFonts w:ascii="Arial" w:hAnsi="Arial" w:cs="Arial"/>
          <w:i/>
          <w:sz w:val="24"/>
          <w:szCs w:val="24"/>
        </w:rPr>
        <w:t>All three d</w:t>
      </w:r>
      <w:r w:rsidR="000A5A1B" w:rsidRPr="00593DD7">
        <w:rPr>
          <w:rFonts w:ascii="Arial" w:hAnsi="Arial" w:cs="Arial"/>
          <w:i/>
          <w:sz w:val="24"/>
          <w:szCs w:val="24"/>
        </w:rPr>
        <w:t xml:space="preserve">isputants are bound by the terms and conditions of </w:t>
      </w:r>
      <w:r w:rsidR="00973ADD">
        <w:rPr>
          <w:rFonts w:ascii="Arial" w:hAnsi="Arial" w:cs="Arial"/>
          <w:i/>
          <w:sz w:val="24"/>
          <w:szCs w:val="24"/>
        </w:rPr>
        <w:t>a</w:t>
      </w:r>
      <w:r w:rsidR="000A5A1B" w:rsidRPr="00593DD7">
        <w:rPr>
          <w:rFonts w:ascii="Arial" w:hAnsi="Arial" w:cs="Arial"/>
          <w:i/>
          <w:sz w:val="24"/>
          <w:szCs w:val="24"/>
        </w:rPr>
        <w:t xml:space="preserve"> contract of employment </w:t>
      </w:r>
      <w:r w:rsidR="00973ADD">
        <w:rPr>
          <w:rFonts w:ascii="Arial" w:hAnsi="Arial" w:cs="Arial"/>
          <w:i/>
          <w:sz w:val="24"/>
          <w:szCs w:val="24"/>
        </w:rPr>
        <w:t>that they have voluntarily signed and are</w:t>
      </w:r>
      <w:r w:rsidR="000A5A1B" w:rsidRPr="00593DD7">
        <w:rPr>
          <w:rFonts w:ascii="Arial" w:hAnsi="Arial" w:cs="Arial"/>
          <w:i/>
          <w:sz w:val="24"/>
          <w:szCs w:val="24"/>
        </w:rPr>
        <w:t xml:space="preserve"> therefore stopped from raising a dispute before the Tribunal.</w:t>
      </w:r>
    </w:p>
    <w:p w14:paraId="6CDE286B" w14:textId="77777777" w:rsidR="00593DD7" w:rsidRPr="00593DD7" w:rsidRDefault="000A5A1B" w:rsidP="00D81ACB">
      <w:pPr>
        <w:jc w:val="both"/>
        <w:rPr>
          <w:rFonts w:ascii="Arial" w:hAnsi="Arial" w:cs="Arial"/>
          <w:i/>
          <w:sz w:val="24"/>
          <w:szCs w:val="24"/>
        </w:rPr>
      </w:pPr>
      <w:r w:rsidRPr="00593DD7">
        <w:rPr>
          <w:rFonts w:ascii="Arial" w:hAnsi="Arial" w:cs="Arial"/>
          <w:i/>
          <w:sz w:val="24"/>
          <w:szCs w:val="24"/>
        </w:rPr>
        <w:t xml:space="preserve"> (2) </w:t>
      </w:r>
      <w:r w:rsidR="00973ADD">
        <w:rPr>
          <w:rFonts w:ascii="Arial" w:hAnsi="Arial" w:cs="Arial"/>
          <w:i/>
          <w:sz w:val="24"/>
          <w:szCs w:val="24"/>
        </w:rPr>
        <w:t>The d</w:t>
      </w:r>
      <w:r w:rsidRPr="00593DD7">
        <w:rPr>
          <w:rFonts w:ascii="Arial" w:hAnsi="Arial" w:cs="Arial"/>
          <w:i/>
          <w:sz w:val="24"/>
          <w:szCs w:val="24"/>
        </w:rPr>
        <w:t xml:space="preserve">isputants are relying on a collective agreement </w:t>
      </w:r>
      <w:r w:rsidR="00973ADD">
        <w:rPr>
          <w:rFonts w:ascii="Arial" w:hAnsi="Arial" w:cs="Arial"/>
          <w:i/>
          <w:sz w:val="24"/>
          <w:szCs w:val="24"/>
        </w:rPr>
        <w:t xml:space="preserve">between the bank and the union </w:t>
      </w:r>
      <w:r w:rsidR="00593DD7" w:rsidRPr="00593DD7">
        <w:rPr>
          <w:rFonts w:ascii="Arial" w:hAnsi="Arial" w:cs="Arial"/>
          <w:i/>
          <w:sz w:val="24"/>
          <w:szCs w:val="24"/>
        </w:rPr>
        <w:t xml:space="preserve">which had already expired </w:t>
      </w:r>
      <w:r w:rsidR="00973ADD">
        <w:rPr>
          <w:rFonts w:ascii="Arial" w:hAnsi="Arial" w:cs="Arial"/>
          <w:i/>
          <w:sz w:val="24"/>
          <w:szCs w:val="24"/>
        </w:rPr>
        <w:t>at</w:t>
      </w:r>
      <w:r w:rsidR="00593DD7" w:rsidRPr="00593DD7">
        <w:rPr>
          <w:rFonts w:ascii="Arial" w:hAnsi="Arial" w:cs="Arial"/>
          <w:i/>
          <w:sz w:val="24"/>
          <w:szCs w:val="24"/>
        </w:rPr>
        <w:t xml:space="preserve"> the time </w:t>
      </w:r>
      <w:r w:rsidR="00973ADD">
        <w:rPr>
          <w:rFonts w:ascii="Arial" w:hAnsi="Arial" w:cs="Arial"/>
          <w:i/>
          <w:sz w:val="24"/>
          <w:szCs w:val="24"/>
        </w:rPr>
        <w:t xml:space="preserve">that </w:t>
      </w:r>
      <w:r w:rsidR="00593DD7" w:rsidRPr="00593DD7">
        <w:rPr>
          <w:rFonts w:ascii="Arial" w:hAnsi="Arial" w:cs="Arial"/>
          <w:i/>
          <w:sz w:val="24"/>
          <w:szCs w:val="24"/>
        </w:rPr>
        <w:t xml:space="preserve">they </w:t>
      </w:r>
      <w:r w:rsidR="00973ADD">
        <w:rPr>
          <w:rFonts w:ascii="Arial" w:hAnsi="Arial" w:cs="Arial"/>
          <w:i/>
          <w:sz w:val="24"/>
          <w:szCs w:val="24"/>
        </w:rPr>
        <w:t xml:space="preserve">had </w:t>
      </w:r>
      <w:r w:rsidR="00593DD7" w:rsidRPr="00593DD7">
        <w:rPr>
          <w:rFonts w:ascii="Arial" w:hAnsi="Arial" w:cs="Arial"/>
          <w:i/>
          <w:sz w:val="24"/>
          <w:szCs w:val="24"/>
        </w:rPr>
        <w:t>signed their contract of employment.</w:t>
      </w:r>
    </w:p>
    <w:p w14:paraId="21C181B7" w14:textId="77777777" w:rsidR="00593DD7" w:rsidRPr="00593DD7" w:rsidRDefault="00593DD7" w:rsidP="00D81ACB">
      <w:pPr>
        <w:jc w:val="both"/>
        <w:rPr>
          <w:rFonts w:ascii="Arial" w:hAnsi="Arial" w:cs="Arial"/>
          <w:i/>
          <w:sz w:val="24"/>
          <w:szCs w:val="24"/>
        </w:rPr>
      </w:pPr>
      <w:r w:rsidRPr="00593DD7">
        <w:rPr>
          <w:rFonts w:ascii="Arial" w:hAnsi="Arial" w:cs="Arial"/>
          <w:i/>
          <w:sz w:val="24"/>
          <w:szCs w:val="24"/>
        </w:rPr>
        <w:t xml:space="preserve"> (3)  The collective agreement is between the union and the </w:t>
      </w:r>
      <w:r w:rsidR="00973ADD">
        <w:rPr>
          <w:rFonts w:ascii="Arial" w:hAnsi="Arial" w:cs="Arial"/>
          <w:i/>
          <w:sz w:val="24"/>
          <w:szCs w:val="24"/>
        </w:rPr>
        <w:t>Respondent</w:t>
      </w:r>
      <w:r w:rsidRPr="00593DD7">
        <w:rPr>
          <w:rFonts w:ascii="Arial" w:hAnsi="Arial" w:cs="Arial"/>
          <w:i/>
          <w:sz w:val="24"/>
          <w:szCs w:val="24"/>
        </w:rPr>
        <w:t xml:space="preserve"> and the </w:t>
      </w:r>
      <w:r w:rsidR="00973ADD">
        <w:rPr>
          <w:rFonts w:ascii="Arial" w:hAnsi="Arial" w:cs="Arial"/>
          <w:i/>
          <w:sz w:val="24"/>
          <w:szCs w:val="24"/>
        </w:rPr>
        <w:t xml:space="preserve">individual </w:t>
      </w:r>
      <w:r w:rsidRPr="00593DD7">
        <w:rPr>
          <w:rFonts w:ascii="Arial" w:hAnsi="Arial" w:cs="Arial"/>
          <w:i/>
          <w:sz w:val="24"/>
          <w:szCs w:val="24"/>
        </w:rPr>
        <w:t xml:space="preserve">disputants cannot </w:t>
      </w:r>
      <w:r w:rsidR="00973ADD">
        <w:rPr>
          <w:rFonts w:ascii="Arial" w:hAnsi="Arial" w:cs="Arial"/>
          <w:i/>
          <w:sz w:val="24"/>
          <w:szCs w:val="24"/>
        </w:rPr>
        <w:t xml:space="preserve">report and try to </w:t>
      </w:r>
      <w:r w:rsidRPr="00593DD7">
        <w:rPr>
          <w:rFonts w:ascii="Arial" w:hAnsi="Arial" w:cs="Arial"/>
          <w:i/>
          <w:sz w:val="24"/>
          <w:szCs w:val="24"/>
        </w:rPr>
        <w:t xml:space="preserve">enforce </w:t>
      </w:r>
      <w:r w:rsidR="00973ADD">
        <w:rPr>
          <w:rFonts w:ascii="Arial" w:hAnsi="Arial" w:cs="Arial"/>
          <w:i/>
          <w:sz w:val="24"/>
          <w:szCs w:val="24"/>
        </w:rPr>
        <w:t>any dispute under same.  They do not have a l</w:t>
      </w:r>
      <w:r w:rsidRPr="00593DD7">
        <w:rPr>
          <w:rFonts w:ascii="Arial" w:hAnsi="Arial" w:cs="Arial"/>
          <w:i/>
          <w:sz w:val="24"/>
          <w:szCs w:val="24"/>
        </w:rPr>
        <w:t>ocus</w:t>
      </w:r>
      <w:r w:rsidR="00973ADD">
        <w:rPr>
          <w:rFonts w:ascii="Arial" w:hAnsi="Arial" w:cs="Arial"/>
          <w:i/>
          <w:sz w:val="24"/>
          <w:szCs w:val="24"/>
        </w:rPr>
        <w:t xml:space="preserve"> to decide</w:t>
      </w:r>
      <w:r w:rsidRPr="00593DD7">
        <w:rPr>
          <w:rFonts w:ascii="Arial" w:hAnsi="Arial" w:cs="Arial"/>
          <w:i/>
          <w:sz w:val="24"/>
          <w:szCs w:val="24"/>
        </w:rPr>
        <w:t xml:space="preserve">.  </w:t>
      </w:r>
    </w:p>
    <w:p w14:paraId="179A123D" w14:textId="77777777" w:rsidR="00AF17A7" w:rsidRPr="00593DD7" w:rsidRDefault="00593DD7" w:rsidP="00D81ACB">
      <w:pPr>
        <w:jc w:val="both"/>
        <w:rPr>
          <w:rFonts w:ascii="Arial" w:hAnsi="Arial" w:cs="Arial"/>
          <w:sz w:val="24"/>
          <w:szCs w:val="24"/>
        </w:rPr>
      </w:pPr>
      <w:r w:rsidRPr="00593DD7">
        <w:rPr>
          <w:rFonts w:ascii="Arial" w:hAnsi="Arial" w:cs="Arial"/>
          <w:i/>
          <w:sz w:val="24"/>
          <w:szCs w:val="24"/>
        </w:rPr>
        <w:t xml:space="preserve">The Respondent moves that the case be set aside.” </w:t>
      </w:r>
    </w:p>
    <w:p w14:paraId="0CBA6FF3" w14:textId="16D9F706" w:rsidR="00AF17A7" w:rsidRDefault="00AF17A7" w:rsidP="00D81ACB">
      <w:pPr>
        <w:jc w:val="both"/>
        <w:rPr>
          <w:rFonts w:ascii="Arial" w:hAnsi="Arial" w:cs="Arial"/>
          <w:sz w:val="24"/>
          <w:szCs w:val="24"/>
        </w:rPr>
      </w:pPr>
      <w:r>
        <w:rPr>
          <w:rFonts w:ascii="Arial" w:hAnsi="Arial" w:cs="Arial"/>
          <w:sz w:val="24"/>
          <w:szCs w:val="24"/>
        </w:rPr>
        <w:t>The p</w:t>
      </w:r>
      <w:r w:rsidR="00B03FBA">
        <w:rPr>
          <w:rFonts w:ascii="Arial" w:hAnsi="Arial" w:cs="Arial"/>
          <w:sz w:val="24"/>
          <w:szCs w:val="24"/>
        </w:rPr>
        <w:t xml:space="preserve">lea </w:t>
      </w:r>
      <w:r w:rsidR="00B03FBA" w:rsidRPr="00791173">
        <w:rPr>
          <w:rFonts w:ascii="Arial" w:hAnsi="Arial" w:cs="Arial"/>
          <w:i/>
          <w:sz w:val="24"/>
          <w:szCs w:val="24"/>
        </w:rPr>
        <w:t>in</w:t>
      </w:r>
      <w:r w:rsidR="00B03FBA">
        <w:rPr>
          <w:rFonts w:ascii="Arial" w:hAnsi="Arial" w:cs="Arial"/>
          <w:sz w:val="24"/>
          <w:szCs w:val="24"/>
        </w:rPr>
        <w:t xml:space="preserve"> </w:t>
      </w:r>
      <w:proofErr w:type="spellStart"/>
      <w:r w:rsidR="00B03FBA" w:rsidRPr="00791173">
        <w:rPr>
          <w:rFonts w:ascii="Arial" w:hAnsi="Arial" w:cs="Arial"/>
          <w:i/>
          <w:sz w:val="24"/>
          <w:szCs w:val="24"/>
        </w:rPr>
        <w:t>limine</w:t>
      </w:r>
      <w:proofErr w:type="spellEnd"/>
      <w:r>
        <w:rPr>
          <w:rFonts w:ascii="Arial" w:hAnsi="Arial" w:cs="Arial"/>
          <w:sz w:val="24"/>
          <w:szCs w:val="24"/>
        </w:rPr>
        <w:t xml:space="preserve"> was resisted on behalf of the disputants </w:t>
      </w:r>
      <w:r w:rsidR="00B03FBA">
        <w:rPr>
          <w:rFonts w:ascii="Arial" w:hAnsi="Arial" w:cs="Arial"/>
          <w:sz w:val="24"/>
          <w:szCs w:val="24"/>
        </w:rPr>
        <w:t xml:space="preserve">and the Co-Respondent </w:t>
      </w:r>
      <w:r>
        <w:rPr>
          <w:rFonts w:ascii="Arial" w:hAnsi="Arial" w:cs="Arial"/>
          <w:sz w:val="24"/>
          <w:szCs w:val="24"/>
        </w:rPr>
        <w:t xml:space="preserve">and the Tribunal proceeded to hear arguments </w:t>
      </w:r>
      <w:r w:rsidR="00B03FBA">
        <w:rPr>
          <w:rFonts w:ascii="Arial" w:hAnsi="Arial" w:cs="Arial"/>
          <w:sz w:val="24"/>
          <w:szCs w:val="24"/>
        </w:rPr>
        <w:t xml:space="preserve">on the plea </w:t>
      </w:r>
      <w:r w:rsidR="00B03FBA" w:rsidRPr="00791173">
        <w:rPr>
          <w:rFonts w:ascii="Arial" w:hAnsi="Arial" w:cs="Arial"/>
          <w:i/>
          <w:sz w:val="24"/>
          <w:szCs w:val="24"/>
        </w:rPr>
        <w:t xml:space="preserve">in </w:t>
      </w:r>
      <w:proofErr w:type="spellStart"/>
      <w:r w:rsidR="00B03FBA" w:rsidRPr="00791173">
        <w:rPr>
          <w:rFonts w:ascii="Arial" w:hAnsi="Arial" w:cs="Arial"/>
          <w:i/>
          <w:sz w:val="24"/>
          <w:szCs w:val="24"/>
        </w:rPr>
        <w:t>limine</w:t>
      </w:r>
      <w:proofErr w:type="spellEnd"/>
      <w:r>
        <w:rPr>
          <w:rFonts w:ascii="Arial" w:hAnsi="Arial" w:cs="Arial"/>
          <w:sz w:val="24"/>
          <w:szCs w:val="24"/>
        </w:rPr>
        <w:t xml:space="preserve">.  </w:t>
      </w:r>
    </w:p>
    <w:p w14:paraId="6765832F" w14:textId="6D21B411" w:rsidR="00AF500A" w:rsidRDefault="00AF17A7" w:rsidP="00D81ACB">
      <w:pPr>
        <w:jc w:val="both"/>
        <w:rPr>
          <w:rFonts w:ascii="Arial" w:hAnsi="Arial" w:cs="Arial"/>
          <w:sz w:val="24"/>
          <w:szCs w:val="24"/>
        </w:rPr>
      </w:pPr>
      <w:r>
        <w:rPr>
          <w:rFonts w:ascii="Arial" w:hAnsi="Arial" w:cs="Arial"/>
          <w:sz w:val="24"/>
          <w:szCs w:val="24"/>
        </w:rPr>
        <w:t>The Respondent has adduced some evidence for the purpose of the arguments and this include</w:t>
      </w:r>
      <w:r w:rsidR="00201C21">
        <w:rPr>
          <w:rFonts w:ascii="Arial" w:hAnsi="Arial" w:cs="Arial"/>
          <w:sz w:val="24"/>
          <w:szCs w:val="24"/>
        </w:rPr>
        <w:t>s</w:t>
      </w:r>
      <w:r>
        <w:rPr>
          <w:rFonts w:ascii="Arial" w:hAnsi="Arial" w:cs="Arial"/>
          <w:sz w:val="24"/>
          <w:szCs w:val="24"/>
        </w:rPr>
        <w:t xml:space="preserve"> </w:t>
      </w:r>
      <w:r w:rsidR="00071E28">
        <w:rPr>
          <w:rFonts w:ascii="Arial" w:hAnsi="Arial" w:cs="Arial"/>
          <w:sz w:val="24"/>
          <w:szCs w:val="24"/>
        </w:rPr>
        <w:t>copies of the terms and conditions of employment purported to have been entered into by the disputants (Docs A, B and C)</w:t>
      </w:r>
      <w:r w:rsidR="00A41B93">
        <w:rPr>
          <w:rFonts w:ascii="Arial" w:hAnsi="Arial" w:cs="Arial"/>
          <w:sz w:val="24"/>
          <w:szCs w:val="24"/>
        </w:rPr>
        <w:t xml:space="preserve"> and</w:t>
      </w:r>
      <w:r w:rsidR="00071E28">
        <w:rPr>
          <w:rFonts w:ascii="Arial" w:hAnsi="Arial" w:cs="Arial"/>
          <w:sz w:val="24"/>
          <w:szCs w:val="24"/>
        </w:rPr>
        <w:t xml:space="preserve"> </w:t>
      </w:r>
      <w:r w:rsidR="00A41B93">
        <w:rPr>
          <w:rFonts w:ascii="Arial" w:hAnsi="Arial" w:cs="Arial"/>
          <w:sz w:val="24"/>
          <w:szCs w:val="24"/>
        </w:rPr>
        <w:t xml:space="preserve">collective agreements entered into between Barclays Bank Mauritius Ltd and </w:t>
      </w:r>
      <w:r w:rsidR="00392180">
        <w:rPr>
          <w:rFonts w:ascii="Arial" w:hAnsi="Arial" w:cs="Arial"/>
          <w:sz w:val="24"/>
          <w:szCs w:val="24"/>
        </w:rPr>
        <w:t xml:space="preserve">the Co-Respondent </w:t>
      </w:r>
      <w:r w:rsidR="00A41B93">
        <w:rPr>
          <w:rFonts w:ascii="Arial" w:hAnsi="Arial" w:cs="Arial"/>
          <w:sz w:val="24"/>
          <w:szCs w:val="24"/>
        </w:rPr>
        <w:t>in 2013 and 2018 (Docs D and E respectively)</w:t>
      </w:r>
      <w:r>
        <w:rPr>
          <w:rFonts w:ascii="Arial" w:hAnsi="Arial" w:cs="Arial"/>
          <w:sz w:val="24"/>
          <w:szCs w:val="24"/>
        </w:rPr>
        <w:t xml:space="preserve">.  </w:t>
      </w:r>
      <w:r w:rsidR="007F7173">
        <w:rPr>
          <w:rFonts w:ascii="Arial" w:hAnsi="Arial" w:cs="Arial"/>
          <w:sz w:val="24"/>
          <w:szCs w:val="24"/>
        </w:rPr>
        <w:t xml:space="preserve">The representative of the Respondent who produced the documents stated that the collective agreement entered into in 2013 was valid until 4 September 2016 so that, except for the salaries, the </w:t>
      </w:r>
      <w:r w:rsidR="0034615A">
        <w:rPr>
          <w:rFonts w:ascii="Arial" w:hAnsi="Arial" w:cs="Arial"/>
          <w:sz w:val="24"/>
          <w:szCs w:val="24"/>
        </w:rPr>
        <w:t xml:space="preserve">collective </w:t>
      </w:r>
      <w:r w:rsidR="007F7173">
        <w:rPr>
          <w:rFonts w:ascii="Arial" w:hAnsi="Arial" w:cs="Arial"/>
          <w:sz w:val="24"/>
          <w:szCs w:val="24"/>
        </w:rPr>
        <w:t xml:space="preserve">agreement was not in force when the disputants signed their contracts of employment.  </w:t>
      </w:r>
    </w:p>
    <w:p w14:paraId="3C668DF9" w14:textId="0A4C3BE1" w:rsidR="00AF17A7" w:rsidRDefault="00AF500A" w:rsidP="00D81ACB">
      <w:pPr>
        <w:jc w:val="both"/>
        <w:rPr>
          <w:rFonts w:ascii="Arial" w:hAnsi="Arial" w:cs="Arial"/>
          <w:sz w:val="24"/>
          <w:szCs w:val="24"/>
        </w:rPr>
      </w:pPr>
      <w:r>
        <w:rPr>
          <w:rFonts w:ascii="Arial" w:hAnsi="Arial" w:cs="Arial"/>
          <w:sz w:val="24"/>
          <w:szCs w:val="24"/>
        </w:rPr>
        <w:lastRenderedPageBreak/>
        <w:t xml:space="preserve">In cross-examination, the representative of Respondent </w:t>
      </w:r>
      <w:r w:rsidR="009A50AE">
        <w:rPr>
          <w:rFonts w:ascii="Arial" w:hAnsi="Arial" w:cs="Arial"/>
          <w:sz w:val="24"/>
          <w:szCs w:val="24"/>
        </w:rPr>
        <w:t xml:space="preserve">initially </w:t>
      </w:r>
      <w:r>
        <w:rPr>
          <w:rFonts w:ascii="Arial" w:hAnsi="Arial" w:cs="Arial"/>
          <w:sz w:val="24"/>
          <w:szCs w:val="24"/>
        </w:rPr>
        <w:t>accepted that the collective agreement signed in August 2018 t</w:t>
      </w:r>
      <w:r w:rsidR="002B5977">
        <w:rPr>
          <w:rFonts w:ascii="Arial" w:hAnsi="Arial" w:cs="Arial"/>
          <w:sz w:val="24"/>
          <w:szCs w:val="24"/>
        </w:rPr>
        <w:t>ook</w:t>
      </w:r>
      <w:r>
        <w:rPr>
          <w:rFonts w:ascii="Arial" w:hAnsi="Arial" w:cs="Arial"/>
          <w:sz w:val="24"/>
          <w:szCs w:val="24"/>
        </w:rPr>
        <w:t xml:space="preserve"> effect as from 5 September 2016.  </w:t>
      </w:r>
      <w:r w:rsidR="00184674">
        <w:rPr>
          <w:rFonts w:ascii="Arial" w:hAnsi="Arial" w:cs="Arial"/>
          <w:sz w:val="24"/>
          <w:szCs w:val="24"/>
        </w:rPr>
        <w:t xml:space="preserve">However, later he stated that </w:t>
      </w:r>
      <w:r w:rsidR="005C601E">
        <w:rPr>
          <w:rFonts w:ascii="Arial" w:hAnsi="Arial" w:cs="Arial"/>
          <w:sz w:val="24"/>
          <w:szCs w:val="24"/>
        </w:rPr>
        <w:t xml:space="preserve">the disputants were bound by the conditions spelt out in their contracts of employment and by the only provision which, according to him, still prevailed from the </w:t>
      </w:r>
      <w:r w:rsidR="009A50AE">
        <w:rPr>
          <w:rFonts w:ascii="Arial" w:hAnsi="Arial" w:cs="Arial"/>
          <w:sz w:val="24"/>
          <w:szCs w:val="24"/>
        </w:rPr>
        <w:t xml:space="preserve">2013 </w:t>
      </w:r>
      <w:r w:rsidR="005C601E">
        <w:rPr>
          <w:rFonts w:ascii="Arial" w:hAnsi="Arial" w:cs="Arial"/>
          <w:sz w:val="24"/>
          <w:szCs w:val="24"/>
        </w:rPr>
        <w:t>collective agreement</w:t>
      </w:r>
      <w:r w:rsidR="002B5977">
        <w:rPr>
          <w:rFonts w:ascii="Arial" w:hAnsi="Arial" w:cs="Arial"/>
          <w:sz w:val="24"/>
          <w:szCs w:val="24"/>
        </w:rPr>
        <w:t xml:space="preserve"> at the time the disputants signed their contracts of employment</w:t>
      </w:r>
      <w:r w:rsidR="009A50AE">
        <w:rPr>
          <w:rFonts w:ascii="Arial" w:hAnsi="Arial" w:cs="Arial"/>
          <w:sz w:val="24"/>
          <w:szCs w:val="24"/>
        </w:rPr>
        <w:t>,</w:t>
      </w:r>
      <w:r w:rsidR="0034615A">
        <w:rPr>
          <w:rFonts w:ascii="Arial" w:hAnsi="Arial" w:cs="Arial"/>
          <w:sz w:val="24"/>
          <w:szCs w:val="24"/>
        </w:rPr>
        <w:t xml:space="preserve"> </w:t>
      </w:r>
      <w:r w:rsidR="005C601E">
        <w:rPr>
          <w:rFonts w:ascii="Arial" w:hAnsi="Arial" w:cs="Arial"/>
          <w:sz w:val="24"/>
          <w:szCs w:val="24"/>
        </w:rPr>
        <w:t xml:space="preserve">that is, </w:t>
      </w:r>
      <w:r w:rsidR="009A50AE">
        <w:rPr>
          <w:rFonts w:ascii="Arial" w:hAnsi="Arial" w:cs="Arial"/>
          <w:sz w:val="24"/>
          <w:szCs w:val="24"/>
        </w:rPr>
        <w:t xml:space="preserve">the provision </w:t>
      </w:r>
      <w:r w:rsidR="005C601E">
        <w:rPr>
          <w:rFonts w:ascii="Arial" w:hAnsi="Arial" w:cs="Arial"/>
          <w:sz w:val="24"/>
          <w:szCs w:val="24"/>
        </w:rPr>
        <w:t xml:space="preserve">in relation to salaries.  </w:t>
      </w:r>
      <w:r w:rsidR="00AF17A7">
        <w:rPr>
          <w:rFonts w:ascii="Arial" w:hAnsi="Arial" w:cs="Arial"/>
          <w:sz w:val="24"/>
          <w:szCs w:val="24"/>
        </w:rPr>
        <w:t xml:space="preserve">The Tribunal has examined carefully the evidence adduced so far and the </w:t>
      </w:r>
      <w:r w:rsidR="009A50AE">
        <w:rPr>
          <w:rFonts w:ascii="Arial" w:hAnsi="Arial" w:cs="Arial"/>
          <w:sz w:val="24"/>
          <w:szCs w:val="24"/>
        </w:rPr>
        <w:t>arguments offered by all</w:t>
      </w:r>
      <w:r w:rsidR="00AF17A7">
        <w:rPr>
          <w:rFonts w:ascii="Arial" w:hAnsi="Arial" w:cs="Arial"/>
          <w:sz w:val="24"/>
          <w:szCs w:val="24"/>
        </w:rPr>
        <w:t xml:space="preserve"> Counsel.   </w:t>
      </w:r>
    </w:p>
    <w:p w14:paraId="333B57C4" w14:textId="67DAEAEE" w:rsidR="0035594E" w:rsidRDefault="00E31EC3" w:rsidP="00D81ACB">
      <w:pPr>
        <w:jc w:val="both"/>
        <w:rPr>
          <w:rFonts w:ascii="Arial" w:hAnsi="Arial" w:cs="Arial"/>
          <w:sz w:val="24"/>
          <w:szCs w:val="24"/>
        </w:rPr>
      </w:pPr>
      <w:r>
        <w:rPr>
          <w:rFonts w:ascii="Arial" w:hAnsi="Arial" w:cs="Arial"/>
          <w:sz w:val="24"/>
          <w:szCs w:val="24"/>
        </w:rPr>
        <w:t xml:space="preserve">The Tribunal has not been impressed by the submission made on behalf of Respondent that because the disputants have voluntarily signed their contract of employment they are </w:t>
      </w:r>
      <w:r w:rsidR="00C53C43">
        <w:rPr>
          <w:rFonts w:ascii="Arial" w:hAnsi="Arial" w:cs="Arial"/>
          <w:sz w:val="24"/>
          <w:szCs w:val="24"/>
        </w:rPr>
        <w:t xml:space="preserve">simply </w:t>
      </w:r>
      <w:r>
        <w:rPr>
          <w:rFonts w:ascii="Arial" w:hAnsi="Arial" w:cs="Arial"/>
          <w:sz w:val="24"/>
          <w:szCs w:val="24"/>
        </w:rPr>
        <w:t xml:space="preserve">stopped from raising a dispute before the Tribunal.  </w:t>
      </w:r>
      <w:r w:rsidR="00B34135">
        <w:rPr>
          <w:rFonts w:ascii="Arial" w:hAnsi="Arial" w:cs="Arial"/>
          <w:sz w:val="24"/>
          <w:szCs w:val="24"/>
        </w:rPr>
        <w:t>Though a contract of employment is intrinsically a contract</w:t>
      </w:r>
      <w:r w:rsidR="00C53C43">
        <w:rPr>
          <w:rFonts w:ascii="Arial" w:hAnsi="Arial" w:cs="Arial"/>
          <w:sz w:val="24"/>
          <w:szCs w:val="24"/>
        </w:rPr>
        <w:t xml:space="preserve">, </w:t>
      </w:r>
      <w:r w:rsidR="00A1493C">
        <w:rPr>
          <w:rFonts w:ascii="Arial" w:hAnsi="Arial" w:cs="Arial"/>
          <w:sz w:val="24"/>
          <w:szCs w:val="24"/>
        </w:rPr>
        <w:t xml:space="preserve">yet </w:t>
      </w:r>
      <w:r w:rsidR="009A50AE">
        <w:rPr>
          <w:rFonts w:ascii="Arial" w:hAnsi="Arial" w:cs="Arial"/>
          <w:sz w:val="24"/>
          <w:szCs w:val="24"/>
        </w:rPr>
        <w:t>it is subject to the “</w:t>
      </w:r>
      <w:proofErr w:type="spellStart"/>
      <w:r w:rsidR="009A50AE" w:rsidRPr="00791173">
        <w:rPr>
          <w:rFonts w:ascii="Arial" w:hAnsi="Arial" w:cs="Arial"/>
          <w:i/>
          <w:sz w:val="24"/>
          <w:szCs w:val="24"/>
        </w:rPr>
        <w:t>caractère</w:t>
      </w:r>
      <w:proofErr w:type="spellEnd"/>
      <w:r w:rsidR="009A50AE" w:rsidRPr="00791173">
        <w:rPr>
          <w:rFonts w:ascii="Arial" w:hAnsi="Arial" w:cs="Arial"/>
          <w:i/>
          <w:sz w:val="24"/>
          <w:szCs w:val="24"/>
        </w:rPr>
        <w:t xml:space="preserve"> </w:t>
      </w:r>
      <w:proofErr w:type="spellStart"/>
      <w:r w:rsidR="009A50AE" w:rsidRPr="00791173">
        <w:rPr>
          <w:rFonts w:ascii="Arial" w:hAnsi="Arial" w:cs="Arial"/>
          <w:i/>
          <w:sz w:val="24"/>
          <w:szCs w:val="24"/>
        </w:rPr>
        <w:t>protecteur</w:t>
      </w:r>
      <w:proofErr w:type="spellEnd"/>
      <w:r w:rsidR="009A50AE" w:rsidRPr="00791173">
        <w:rPr>
          <w:rFonts w:ascii="Arial" w:hAnsi="Arial" w:cs="Arial"/>
          <w:i/>
          <w:sz w:val="24"/>
          <w:szCs w:val="24"/>
        </w:rPr>
        <w:t xml:space="preserve"> et </w:t>
      </w:r>
      <w:proofErr w:type="spellStart"/>
      <w:r w:rsidR="009A50AE" w:rsidRPr="00791173">
        <w:rPr>
          <w:rFonts w:ascii="Arial" w:hAnsi="Arial" w:cs="Arial"/>
          <w:i/>
          <w:sz w:val="24"/>
          <w:szCs w:val="24"/>
        </w:rPr>
        <w:t>impér</w:t>
      </w:r>
      <w:r w:rsidR="00A1493C" w:rsidRPr="00791173">
        <w:rPr>
          <w:rFonts w:ascii="Arial" w:hAnsi="Arial" w:cs="Arial"/>
          <w:i/>
          <w:sz w:val="24"/>
          <w:szCs w:val="24"/>
        </w:rPr>
        <w:t>a</w:t>
      </w:r>
      <w:r w:rsidR="009A50AE" w:rsidRPr="00791173">
        <w:rPr>
          <w:rFonts w:ascii="Arial" w:hAnsi="Arial" w:cs="Arial"/>
          <w:i/>
          <w:sz w:val="24"/>
          <w:szCs w:val="24"/>
        </w:rPr>
        <w:t>tif</w:t>
      </w:r>
      <w:proofErr w:type="spellEnd"/>
      <w:r w:rsidR="009A50AE" w:rsidRPr="00791173">
        <w:rPr>
          <w:rFonts w:ascii="Arial" w:hAnsi="Arial" w:cs="Arial"/>
          <w:i/>
          <w:sz w:val="24"/>
          <w:szCs w:val="24"/>
        </w:rPr>
        <w:t xml:space="preserve"> du droit du travail</w:t>
      </w:r>
      <w:r w:rsidR="009A50AE">
        <w:rPr>
          <w:rFonts w:ascii="Arial" w:hAnsi="Arial" w:cs="Arial"/>
          <w:sz w:val="24"/>
          <w:szCs w:val="24"/>
        </w:rPr>
        <w:t xml:space="preserve">”.  Indeed, </w:t>
      </w:r>
      <w:r w:rsidR="008A5622">
        <w:rPr>
          <w:rFonts w:ascii="Arial" w:hAnsi="Arial" w:cs="Arial"/>
          <w:sz w:val="24"/>
          <w:szCs w:val="24"/>
        </w:rPr>
        <w:t xml:space="preserve">a contact of employment is </w:t>
      </w:r>
      <w:proofErr w:type="spellStart"/>
      <w:r w:rsidR="008A5622">
        <w:rPr>
          <w:rFonts w:ascii="Arial" w:hAnsi="Arial" w:cs="Arial"/>
          <w:sz w:val="24"/>
          <w:szCs w:val="24"/>
        </w:rPr>
        <w:t>characterised</w:t>
      </w:r>
      <w:proofErr w:type="spellEnd"/>
      <w:r w:rsidR="008A5622">
        <w:rPr>
          <w:rFonts w:ascii="Arial" w:hAnsi="Arial" w:cs="Arial"/>
          <w:sz w:val="24"/>
          <w:szCs w:val="24"/>
        </w:rPr>
        <w:t xml:space="preserve"> by </w:t>
      </w:r>
      <w:r w:rsidR="00C30290">
        <w:rPr>
          <w:rFonts w:ascii="Arial" w:hAnsi="Arial" w:cs="Arial"/>
          <w:sz w:val="24"/>
          <w:szCs w:val="24"/>
        </w:rPr>
        <w:t>the</w:t>
      </w:r>
      <w:r w:rsidR="009A50AE">
        <w:rPr>
          <w:rFonts w:ascii="Arial" w:hAnsi="Arial" w:cs="Arial"/>
          <w:sz w:val="24"/>
          <w:szCs w:val="24"/>
        </w:rPr>
        <w:t xml:space="preserve"> “</w:t>
      </w:r>
      <w:r w:rsidR="009A50AE" w:rsidRPr="00791173">
        <w:rPr>
          <w:rFonts w:ascii="Arial" w:hAnsi="Arial" w:cs="Arial"/>
          <w:i/>
          <w:sz w:val="24"/>
          <w:szCs w:val="24"/>
        </w:rPr>
        <w:t xml:space="preserve">lien de subordination </w:t>
      </w:r>
      <w:proofErr w:type="spellStart"/>
      <w:r w:rsidR="009A50AE" w:rsidRPr="00791173">
        <w:rPr>
          <w:rFonts w:ascii="Arial" w:hAnsi="Arial" w:cs="Arial"/>
          <w:i/>
          <w:sz w:val="24"/>
          <w:szCs w:val="24"/>
        </w:rPr>
        <w:t>juridique</w:t>
      </w:r>
      <w:proofErr w:type="spellEnd"/>
      <w:r w:rsidR="009A50AE" w:rsidRPr="00791173">
        <w:rPr>
          <w:rFonts w:ascii="Arial" w:hAnsi="Arial" w:cs="Arial"/>
          <w:i/>
          <w:sz w:val="24"/>
          <w:szCs w:val="24"/>
        </w:rPr>
        <w:t xml:space="preserve"> qui </w:t>
      </w:r>
      <w:proofErr w:type="spellStart"/>
      <w:r w:rsidR="009A50AE" w:rsidRPr="00791173">
        <w:rPr>
          <w:rFonts w:ascii="Arial" w:hAnsi="Arial" w:cs="Arial"/>
          <w:i/>
          <w:sz w:val="24"/>
          <w:szCs w:val="24"/>
        </w:rPr>
        <w:t>existe</w:t>
      </w:r>
      <w:proofErr w:type="spellEnd"/>
      <w:r w:rsidR="009A50AE" w:rsidRPr="00791173">
        <w:rPr>
          <w:rFonts w:ascii="Arial" w:hAnsi="Arial" w:cs="Arial"/>
          <w:i/>
          <w:sz w:val="24"/>
          <w:szCs w:val="24"/>
        </w:rPr>
        <w:t xml:space="preserve"> entre </w:t>
      </w:r>
      <w:proofErr w:type="spellStart"/>
      <w:r w:rsidR="009A50AE" w:rsidRPr="00791173">
        <w:rPr>
          <w:rFonts w:ascii="Arial" w:hAnsi="Arial" w:cs="Arial"/>
          <w:i/>
          <w:sz w:val="24"/>
          <w:szCs w:val="24"/>
        </w:rPr>
        <w:t>l’employé</w:t>
      </w:r>
      <w:proofErr w:type="spellEnd"/>
      <w:r w:rsidR="009A50AE" w:rsidRPr="00791173">
        <w:rPr>
          <w:rFonts w:ascii="Arial" w:hAnsi="Arial" w:cs="Arial"/>
          <w:i/>
          <w:sz w:val="24"/>
          <w:szCs w:val="24"/>
        </w:rPr>
        <w:t xml:space="preserve"> et </w:t>
      </w:r>
      <w:proofErr w:type="spellStart"/>
      <w:r w:rsidR="009A50AE" w:rsidRPr="00791173">
        <w:rPr>
          <w:rFonts w:ascii="Arial" w:hAnsi="Arial" w:cs="Arial"/>
          <w:i/>
          <w:sz w:val="24"/>
          <w:szCs w:val="24"/>
        </w:rPr>
        <w:t>l’employeur</w:t>
      </w:r>
      <w:proofErr w:type="spellEnd"/>
      <w:r w:rsidR="009A50AE">
        <w:rPr>
          <w:rFonts w:ascii="Arial" w:hAnsi="Arial" w:cs="Arial"/>
          <w:sz w:val="24"/>
          <w:szCs w:val="24"/>
        </w:rPr>
        <w:t xml:space="preserve">.” </w:t>
      </w:r>
      <w:r w:rsidR="00A1493C">
        <w:rPr>
          <w:rFonts w:ascii="Arial" w:hAnsi="Arial" w:cs="Arial"/>
          <w:sz w:val="24"/>
          <w:szCs w:val="24"/>
        </w:rPr>
        <w:t xml:space="preserve"> </w:t>
      </w:r>
      <w:r w:rsidR="0035594E">
        <w:rPr>
          <w:rFonts w:ascii="Arial" w:hAnsi="Arial" w:cs="Arial"/>
          <w:sz w:val="24"/>
          <w:szCs w:val="24"/>
        </w:rPr>
        <w:t xml:space="preserve">  </w:t>
      </w:r>
    </w:p>
    <w:p w14:paraId="160B92BC" w14:textId="1F7068FC" w:rsidR="00B65EFF" w:rsidRDefault="00C30290" w:rsidP="00D81ACB">
      <w:pPr>
        <w:jc w:val="both"/>
        <w:rPr>
          <w:rFonts w:ascii="Arial" w:hAnsi="Arial" w:cs="Arial"/>
          <w:sz w:val="24"/>
          <w:szCs w:val="24"/>
        </w:rPr>
      </w:pPr>
      <w:r>
        <w:rPr>
          <w:rFonts w:ascii="Arial" w:hAnsi="Arial" w:cs="Arial"/>
          <w:sz w:val="24"/>
          <w:szCs w:val="24"/>
        </w:rPr>
        <w:t>Th</w:t>
      </w:r>
      <w:r w:rsidR="008A5622">
        <w:rPr>
          <w:rFonts w:ascii="Arial" w:hAnsi="Arial" w:cs="Arial"/>
          <w:sz w:val="24"/>
          <w:szCs w:val="24"/>
        </w:rPr>
        <w:t xml:space="preserve">us, </w:t>
      </w:r>
      <w:r>
        <w:rPr>
          <w:rFonts w:ascii="Arial" w:hAnsi="Arial" w:cs="Arial"/>
          <w:sz w:val="24"/>
          <w:szCs w:val="24"/>
        </w:rPr>
        <w:t xml:space="preserve">the legislator has deemed it fit in certain circumstances to supplement what a contract of employment </w:t>
      </w:r>
      <w:r w:rsidR="008A5622">
        <w:rPr>
          <w:rFonts w:ascii="Arial" w:hAnsi="Arial" w:cs="Arial"/>
          <w:sz w:val="24"/>
          <w:szCs w:val="24"/>
        </w:rPr>
        <w:t xml:space="preserve">already provides </w:t>
      </w:r>
      <w:r>
        <w:rPr>
          <w:rFonts w:ascii="Arial" w:hAnsi="Arial" w:cs="Arial"/>
          <w:sz w:val="24"/>
          <w:szCs w:val="24"/>
        </w:rPr>
        <w:t xml:space="preserve">with additional provisions or safeguards by way of statutory provisions.  </w:t>
      </w:r>
      <w:r w:rsidR="009846B0">
        <w:rPr>
          <w:rFonts w:ascii="Arial" w:hAnsi="Arial" w:cs="Arial"/>
          <w:sz w:val="24"/>
          <w:szCs w:val="24"/>
        </w:rPr>
        <w:t xml:space="preserve">In the same vein, </w:t>
      </w:r>
      <w:r w:rsidR="00B65EFF">
        <w:rPr>
          <w:rFonts w:ascii="Arial" w:hAnsi="Arial" w:cs="Arial"/>
          <w:sz w:val="24"/>
          <w:szCs w:val="24"/>
        </w:rPr>
        <w:t xml:space="preserve">the Tribunal has been given wide powers </w:t>
      </w:r>
      <w:r w:rsidR="009846B0">
        <w:rPr>
          <w:rFonts w:ascii="Arial" w:hAnsi="Arial" w:cs="Arial"/>
          <w:sz w:val="24"/>
          <w:szCs w:val="24"/>
        </w:rPr>
        <w:t xml:space="preserve">under the Act </w:t>
      </w:r>
      <w:r w:rsidR="00B65EFF">
        <w:rPr>
          <w:rFonts w:ascii="Arial" w:hAnsi="Arial" w:cs="Arial"/>
          <w:sz w:val="24"/>
          <w:szCs w:val="24"/>
        </w:rPr>
        <w:t xml:space="preserve">which are </w:t>
      </w:r>
      <w:r w:rsidR="0093791C">
        <w:rPr>
          <w:rFonts w:ascii="Arial" w:hAnsi="Arial" w:cs="Arial"/>
          <w:sz w:val="24"/>
          <w:szCs w:val="24"/>
        </w:rPr>
        <w:t>more consonant with a less legalistic approach to the resolution of disputes.  F</w:t>
      </w:r>
      <w:r w:rsidR="00B65EFF">
        <w:rPr>
          <w:rFonts w:ascii="Arial" w:hAnsi="Arial" w:cs="Arial"/>
          <w:sz w:val="24"/>
          <w:szCs w:val="24"/>
        </w:rPr>
        <w:t xml:space="preserve">or instance, </w:t>
      </w:r>
      <w:r w:rsidR="0093791C">
        <w:rPr>
          <w:rFonts w:ascii="Arial" w:hAnsi="Arial" w:cs="Arial"/>
          <w:sz w:val="24"/>
          <w:szCs w:val="24"/>
        </w:rPr>
        <w:t xml:space="preserve">the Tribunal may here refer to </w:t>
      </w:r>
      <w:r w:rsidR="00B65EFF">
        <w:rPr>
          <w:rFonts w:ascii="Arial" w:hAnsi="Arial" w:cs="Arial"/>
          <w:sz w:val="24"/>
          <w:szCs w:val="24"/>
        </w:rPr>
        <w:t>section 97 of the Act which reads as follows:</w:t>
      </w:r>
    </w:p>
    <w:p w14:paraId="754153C0" w14:textId="77777777" w:rsidR="007C1613" w:rsidRPr="007C1613" w:rsidRDefault="007C1613" w:rsidP="007C1613">
      <w:pPr>
        <w:pStyle w:val="Heading2"/>
        <w:spacing w:before="0" w:line="360" w:lineRule="auto"/>
        <w:rPr>
          <w:rFonts w:cs="Arial"/>
          <w:b/>
          <w:bCs/>
          <w:i/>
          <w:sz w:val="24"/>
          <w:lang w:val="en-GB"/>
        </w:rPr>
      </w:pPr>
      <w:bookmarkStart w:id="0" w:name="_Toc200353339"/>
      <w:bookmarkStart w:id="1" w:name="B97"/>
      <w:r w:rsidRPr="007C1613">
        <w:rPr>
          <w:rFonts w:cs="Arial"/>
          <w:b/>
          <w:bCs/>
          <w:i/>
          <w:sz w:val="24"/>
          <w:lang w:val="en-GB"/>
        </w:rPr>
        <w:t>97.</w:t>
      </w:r>
      <w:r w:rsidRPr="007C1613">
        <w:rPr>
          <w:rFonts w:cs="Arial"/>
          <w:b/>
          <w:bCs/>
          <w:i/>
          <w:sz w:val="24"/>
          <w:lang w:val="en-GB"/>
        </w:rPr>
        <w:tab/>
        <w:t>Principles to be applied by Tribunal, Commission and Board</w:t>
      </w:r>
      <w:bookmarkEnd w:id="0"/>
    </w:p>
    <w:bookmarkEnd w:id="1"/>
    <w:p w14:paraId="6636D87F" w14:textId="77777777" w:rsidR="007C1613" w:rsidRPr="007C1613" w:rsidRDefault="007C1613" w:rsidP="007C1613">
      <w:pPr>
        <w:pStyle w:val="Default"/>
        <w:spacing w:line="360" w:lineRule="auto"/>
        <w:jc w:val="both"/>
        <w:rPr>
          <w:i/>
          <w:color w:val="auto"/>
          <w:lang w:val="en-GB"/>
        </w:rPr>
      </w:pPr>
    </w:p>
    <w:p w14:paraId="611C61C4" w14:textId="77777777" w:rsidR="007C1613" w:rsidRPr="007C1613" w:rsidRDefault="007C1613" w:rsidP="007C1613">
      <w:pPr>
        <w:spacing w:line="360" w:lineRule="auto"/>
        <w:ind w:left="567"/>
        <w:jc w:val="both"/>
        <w:rPr>
          <w:rFonts w:ascii="Arial" w:hAnsi="Arial" w:cs="Arial"/>
          <w:i/>
          <w:sz w:val="24"/>
          <w:szCs w:val="24"/>
          <w:lang w:val="en-GB"/>
        </w:rPr>
      </w:pPr>
      <w:r w:rsidRPr="007C1613">
        <w:rPr>
          <w:rFonts w:ascii="Arial" w:hAnsi="Arial" w:cs="Arial"/>
          <w:i/>
          <w:sz w:val="24"/>
          <w:szCs w:val="24"/>
          <w:lang w:val="en-GB"/>
        </w:rPr>
        <w:t xml:space="preserve">The Tribunal, the Commission or the Board may, in the exercise of their functions in relation to a matter before them under this Act have regard, inter alia, to – </w:t>
      </w:r>
    </w:p>
    <w:p w14:paraId="53A5C8CA"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(a)</w:t>
      </w:r>
      <w:r w:rsidRPr="007C1613">
        <w:rPr>
          <w:rFonts w:ascii="Arial" w:hAnsi="Arial" w:cs="Arial"/>
          <w:i/>
          <w:sz w:val="24"/>
          <w:szCs w:val="24"/>
          <w:lang w:val="en-GB"/>
        </w:rPr>
        <w:tab/>
        <w:t xml:space="preserve">the interests of the persons immediately concerned and the community as a whole; </w:t>
      </w:r>
    </w:p>
    <w:p w14:paraId="2E44D82D"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(b)</w:t>
      </w:r>
      <w:r w:rsidRPr="007C1613">
        <w:rPr>
          <w:rFonts w:ascii="Arial" w:hAnsi="Arial" w:cs="Arial"/>
          <w:i/>
          <w:sz w:val="24"/>
          <w:szCs w:val="24"/>
          <w:lang w:val="en-GB"/>
        </w:rPr>
        <w:tab/>
        <w:t xml:space="preserve">the need to promote decent work and decent living; </w:t>
      </w:r>
    </w:p>
    <w:p w14:paraId="280301BA"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(c)</w:t>
      </w:r>
      <w:r w:rsidRPr="007C1613">
        <w:rPr>
          <w:rFonts w:ascii="Arial" w:hAnsi="Arial" w:cs="Arial"/>
          <w:i/>
          <w:sz w:val="24"/>
          <w:szCs w:val="24"/>
          <w:lang w:val="en-GB"/>
        </w:rPr>
        <w:tab/>
        <w:t xml:space="preserve">the need to promote gender equality and to fix wages on the basis of job content; </w:t>
      </w:r>
    </w:p>
    <w:p w14:paraId="6071A5A0"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(d)</w:t>
      </w:r>
      <w:r w:rsidRPr="007C1613">
        <w:rPr>
          <w:rFonts w:ascii="Arial" w:hAnsi="Arial" w:cs="Arial"/>
          <w:i/>
          <w:sz w:val="24"/>
          <w:szCs w:val="24"/>
          <w:lang w:val="en-GB"/>
        </w:rPr>
        <w:tab/>
        <w:t xml:space="preserve">the principles of natural justice; </w:t>
      </w:r>
    </w:p>
    <w:p w14:paraId="29F8A904"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(e)</w:t>
      </w:r>
      <w:r w:rsidRPr="007C1613">
        <w:rPr>
          <w:rFonts w:ascii="Arial" w:hAnsi="Arial" w:cs="Arial"/>
          <w:i/>
          <w:sz w:val="24"/>
          <w:szCs w:val="24"/>
          <w:lang w:val="en-GB"/>
        </w:rPr>
        <w:tab/>
        <w:t xml:space="preserve">the need for Mauritius to maintain a favourable balance of trade and balance of payments; </w:t>
      </w:r>
    </w:p>
    <w:p w14:paraId="0C23140A"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lastRenderedPageBreak/>
        <w:t>(f)</w:t>
      </w:r>
      <w:r w:rsidRPr="007C1613">
        <w:rPr>
          <w:rFonts w:ascii="Arial" w:hAnsi="Arial" w:cs="Arial"/>
          <w:i/>
          <w:sz w:val="24"/>
          <w:szCs w:val="24"/>
          <w:lang w:val="en-GB"/>
        </w:rPr>
        <w:tab/>
        <w:t>the need to ensure the continued ability of the Government to finance development programmes and recurrent expenditure in the public sector;</w:t>
      </w:r>
    </w:p>
    <w:p w14:paraId="64CC76D3"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(g)</w:t>
      </w:r>
      <w:r w:rsidRPr="007C1613">
        <w:rPr>
          <w:rFonts w:ascii="Arial" w:hAnsi="Arial" w:cs="Arial"/>
          <w:i/>
          <w:sz w:val="24"/>
          <w:szCs w:val="24"/>
          <w:lang w:val="en-GB"/>
        </w:rPr>
        <w:tab/>
        <w:t xml:space="preserve">the need to increase the rate of economic growth and to protect employment and to provide greater employment opportunities; </w:t>
      </w:r>
    </w:p>
    <w:p w14:paraId="37A0DBB8"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(h)</w:t>
      </w:r>
      <w:r w:rsidRPr="007C1613">
        <w:rPr>
          <w:rFonts w:ascii="Arial" w:hAnsi="Arial" w:cs="Arial"/>
          <w:i/>
          <w:sz w:val="24"/>
          <w:szCs w:val="24"/>
          <w:lang w:val="en-GB"/>
        </w:rPr>
        <w:tab/>
        <w:t xml:space="preserve">the need to preserve and promote the competitive position of local products in overseas market; </w:t>
      </w:r>
    </w:p>
    <w:p w14:paraId="4C82FE20"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w:t>
      </w:r>
      <w:proofErr w:type="spellStart"/>
      <w:r w:rsidRPr="007C1613">
        <w:rPr>
          <w:rFonts w:ascii="Arial" w:hAnsi="Arial" w:cs="Arial"/>
          <w:i/>
          <w:sz w:val="24"/>
          <w:szCs w:val="24"/>
          <w:lang w:val="en-GB"/>
        </w:rPr>
        <w:t>i</w:t>
      </w:r>
      <w:proofErr w:type="spellEnd"/>
      <w:r w:rsidRPr="007C1613">
        <w:rPr>
          <w:rFonts w:ascii="Arial" w:hAnsi="Arial" w:cs="Arial"/>
          <w:i/>
          <w:sz w:val="24"/>
          <w:szCs w:val="24"/>
          <w:lang w:val="en-GB"/>
        </w:rPr>
        <w:t>)</w:t>
      </w:r>
      <w:r w:rsidRPr="007C1613">
        <w:rPr>
          <w:rFonts w:ascii="Arial" w:hAnsi="Arial" w:cs="Arial"/>
          <w:i/>
          <w:sz w:val="24"/>
          <w:szCs w:val="24"/>
          <w:lang w:val="en-GB"/>
        </w:rPr>
        <w:tab/>
        <w:t xml:space="preserve">the capacity to pay of enterprises; </w:t>
      </w:r>
    </w:p>
    <w:p w14:paraId="5A9B77EF"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(j)</w:t>
      </w:r>
      <w:r w:rsidRPr="007C1613">
        <w:rPr>
          <w:rFonts w:ascii="Arial" w:hAnsi="Arial" w:cs="Arial"/>
          <w:i/>
          <w:sz w:val="24"/>
          <w:szCs w:val="24"/>
          <w:lang w:val="en-GB"/>
        </w:rPr>
        <w:tab/>
        <w:t xml:space="preserve">the need to develop schemes for payment by results and, as far as possible, to relate increased remuneration to increased labour productivity; </w:t>
      </w:r>
    </w:p>
    <w:p w14:paraId="6B34A2D2"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(k)</w:t>
      </w:r>
      <w:r w:rsidRPr="007C1613">
        <w:rPr>
          <w:rFonts w:ascii="Arial" w:hAnsi="Arial" w:cs="Arial"/>
          <w:i/>
          <w:sz w:val="24"/>
          <w:szCs w:val="24"/>
          <w:lang w:val="en-GB"/>
        </w:rPr>
        <w:tab/>
        <w:t xml:space="preserve">the need to prevent gains in the wages of workers from being adversely affected by price increases; </w:t>
      </w:r>
    </w:p>
    <w:p w14:paraId="78669024"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(l)</w:t>
      </w:r>
      <w:r w:rsidRPr="007C1613">
        <w:rPr>
          <w:rFonts w:ascii="Arial" w:hAnsi="Arial" w:cs="Arial"/>
          <w:i/>
          <w:sz w:val="24"/>
          <w:szCs w:val="24"/>
          <w:lang w:val="en-GB"/>
        </w:rPr>
        <w:tab/>
        <w:t xml:space="preserve">the need to establish and maintain reasonable differentials in rewards between different categories of skills and levels of responsibility; </w:t>
      </w:r>
    </w:p>
    <w:p w14:paraId="5A8794E7"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(m)</w:t>
      </w:r>
      <w:r w:rsidRPr="007C1613">
        <w:rPr>
          <w:rFonts w:ascii="Arial" w:hAnsi="Arial" w:cs="Arial"/>
          <w:i/>
          <w:sz w:val="24"/>
          <w:szCs w:val="24"/>
          <w:lang w:val="en-GB"/>
        </w:rPr>
        <w:tab/>
        <w:t xml:space="preserve">the need to maintain a fair relation between the incomes of different sectors in the community; and </w:t>
      </w:r>
    </w:p>
    <w:p w14:paraId="2113E447" w14:textId="77777777" w:rsidR="007C1613" w:rsidRPr="007C1613" w:rsidRDefault="007C1613" w:rsidP="007C1613">
      <w:pPr>
        <w:spacing w:line="360" w:lineRule="auto"/>
        <w:ind w:left="1701" w:hanging="567"/>
        <w:jc w:val="both"/>
        <w:rPr>
          <w:rFonts w:ascii="Arial" w:hAnsi="Arial" w:cs="Arial"/>
          <w:i/>
          <w:sz w:val="24"/>
          <w:szCs w:val="24"/>
          <w:lang w:val="en-GB"/>
        </w:rPr>
      </w:pPr>
      <w:r w:rsidRPr="007C1613">
        <w:rPr>
          <w:rFonts w:ascii="Arial" w:hAnsi="Arial" w:cs="Arial"/>
          <w:i/>
          <w:sz w:val="24"/>
          <w:szCs w:val="24"/>
          <w:lang w:val="en-GB"/>
        </w:rPr>
        <w:t>(n)</w:t>
      </w:r>
      <w:r w:rsidRPr="007C1613">
        <w:rPr>
          <w:rFonts w:ascii="Arial" w:hAnsi="Arial" w:cs="Arial"/>
          <w:i/>
          <w:sz w:val="24"/>
          <w:szCs w:val="24"/>
          <w:lang w:val="en-GB"/>
        </w:rPr>
        <w:tab/>
        <w:t xml:space="preserve">the principles and best practices of good employment relations. </w:t>
      </w:r>
    </w:p>
    <w:p w14:paraId="4CFF0FC1" w14:textId="0BBD844D" w:rsidR="0093791C" w:rsidRDefault="0093791C" w:rsidP="00AB3DEA">
      <w:pPr>
        <w:jc w:val="both"/>
        <w:rPr>
          <w:rFonts w:ascii="Arial" w:hAnsi="Arial" w:cs="Arial"/>
          <w:sz w:val="24"/>
          <w:szCs w:val="24"/>
        </w:rPr>
      </w:pPr>
      <w:r>
        <w:rPr>
          <w:rFonts w:ascii="Arial" w:hAnsi="Arial" w:cs="Arial"/>
          <w:sz w:val="24"/>
          <w:szCs w:val="24"/>
        </w:rPr>
        <w:t xml:space="preserve">The Tribunal </w:t>
      </w:r>
      <w:r w:rsidR="00236E4D">
        <w:rPr>
          <w:rFonts w:ascii="Arial" w:hAnsi="Arial" w:cs="Arial"/>
          <w:sz w:val="24"/>
          <w:szCs w:val="24"/>
        </w:rPr>
        <w:t>may also refer to provisions such as section</w:t>
      </w:r>
      <w:r w:rsidR="00357D63">
        <w:rPr>
          <w:rFonts w:ascii="Arial" w:hAnsi="Arial" w:cs="Arial"/>
          <w:sz w:val="24"/>
          <w:szCs w:val="24"/>
        </w:rPr>
        <w:t>s</w:t>
      </w:r>
      <w:r w:rsidR="00236E4D">
        <w:rPr>
          <w:rFonts w:ascii="Arial" w:hAnsi="Arial" w:cs="Arial"/>
          <w:sz w:val="24"/>
          <w:szCs w:val="24"/>
        </w:rPr>
        <w:t xml:space="preserve"> 6(2)(a) (</w:t>
      </w:r>
      <w:r w:rsidR="00357D63">
        <w:rPr>
          <w:rFonts w:ascii="Arial" w:hAnsi="Arial" w:cs="Arial"/>
          <w:sz w:val="24"/>
          <w:szCs w:val="24"/>
        </w:rPr>
        <w:t>where the Tribunal may, subject to such conditions as it may determine, remit a matter to the parties for further consideration by them with a view to settling or limiting the several issues in dispute</w:t>
      </w:r>
      <w:r w:rsidR="00236E4D">
        <w:rPr>
          <w:rFonts w:ascii="Arial" w:hAnsi="Arial" w:cs="Arial"/>
          <w:sz w:val="24"/>
          <w:szCs w:val="24"/>
        </w:rPr>
        <w:t>), 15 (</w:t>
      </w:r>
      <w:r w:rsidR="00357D63">
        <w:rPr>
          <w:rFonts w:ascii="Arial" w:hAnsi="Arial" w:cs="Arial"/>
          <w:sz w:val="24"/>
          <w:szCs w:val="24"/>
        </w:rPr>
        <w:t>where the Tribunal may deal with the substantial merits of a</w:t>
      </w:r>
      <w:r w:rsidR="004D57F2">
        <w:rPr>
          <w:rFonts w:ascii="Arial" w:hAnsi="Arial" w:cs="Arial"/>
          <w:sz w:val="24"/>
          <w:szCs w:val="24"/>
        </w:rPr>
        <w:t>ny</w:t>
      </w:r>
      <w:r w:rsidR="00357D63">
        <w:rPr>
          <w:rFonts w:ascii="Arial" w:hAnsi="Arial" w:cs="Arial"/>
          <w:sz w:val="24"/>
          <w:szCs w:val="24"/>
        </w:rPr>
        <w:t xml:space="preserve"> matter before it with a minimum of legal formalities in order to determine such matter fairly and promptly</w:t>
      </w:r>
      <w:r w:rsidR="00236E4D">
        <w:rPr>
          <w:rFonts w:ascii="Arial" w:hAnsi="Arial" w:cs="Arial"/>
          <w:sz w:val="24"/>
          <w:szCs w:val="24"/>
        </w:rPr>
        <w:t xml:space="preserve">) </w:t>
      </w:r>
      <w:r w:rsidR="00357D63">
        <w:rPr>
          <w:rFonts w:ascii="Arial" w:hAnsi="Arial" w:cs="Arial"/>
          <w:sz w:val="24"/>
          <w:szCs w:val="24"/>
        </w:rPr>
        <w:t xml:space="preserve">and </w:t>
      </w:r>
      <w:r w:rsidR="00236E4D">
        <w:rPr>
          <w:rFonts w:ascii="Arial" w:hAnsi="Arial" w:cs="Arial"/>
          <w:sz w:val="24"/>
          <w:szCs w:val="24"/>
        </w:rPr>
        <w:t>20(1) (</w:t>
      </w:r>
      <w:r w:rsidR="006960F0">
        <w:rPr>
          <w:rFonts w:ascii="Arial" w:hAnsi="Arial" w:cs="Arial"/>
          <w:sz w:val="24"/>
          <w:szCs w:val="24"/>
        </w:rPr>
        <w:t xml:space="preserve">which provides that </w:t>
      </w:r>
      <w:r w:rsidR="00236E4D">
        <w:rPr>
          <w:rFonts w:ascii="Arial" w:hAnsi="Arial" w:cs="Arial"/>
          <w:sz w:val="24"/>
          <w:szCs w:val="24"/>
        </w:rPr>
        <w:t>the Tribunal shall not be bound by the law of evidence in force in Mauritius) of the Second Schedule to the Act</w:t>
      </w:r>
      <w:r w:rsidR="009846B0">
        <w:rPr>
          <w:rFonts w:ascii="Arial" w:hAnsi="Arial" w:cs="Arial"/>
          <w:sz w:val="24"/>
          <w:szCs w:val="24"/>
        </w:rPr>
        <w:t>, among other provisions.</w:t>
      </w:r>
      <w:r w:rsidR="00357D63">
        <w:rPr>
          <w:rFonts w:ascii="Arial" w:hAnsi="Arial" w:cs="Arial"/>
          <w:sz w:val="24"/>
          <w:szCs w:val="24"/>
        </w:rPr>
        <w:t xml:space="preserve">   </w:t>
      </w:r>
      <w:r w:rsidR="00236E4D">
        <w:rPr>
          <w:rFonts w:ascii="Arial" w:hAnsi="Arial" w:cs="Arial"/>
          <w:sz w:val="24"/>
          <w:szCs w:val="24"/>
        </w:rPr>
        <w:t xml:space="preserve">  </w:t>
      </w:r>
    </w:p>
    <w:p w14:paraId="5539B253" w14:textId="77777777" w:rsidR="00C53C43" w:rsidRDefault="00C53C43" w:rsidP="00AB3DEA">
      <w:pPr>
        <w:jc w:val="both"/>
        <w:rPr>
          <w:rFonts w:ascii="Arial" w:hAnsi="Arial" w:cs="Arial"/>
          <w:sz w:val="24"/>
          <w:szCs w:val="24"/>
        </w:rPr>
      </w:pPr>
      <w:r>
        <w:rPr>
          <w:rFonts w:ascii="Arial" w:hAnsi="Arial" w:cs="Arial"/>
          <w:sz w:val="24"/>
          <w:szCs w:val="24"/>
        </w:rPr>
        <w:t xml:space="preserve">It is apposite to refer to what </w:t>
      </w:r>
      <w:proofErr w:type="spellStart"/>
      <w:r w:rsidRPr="00C53C43">
        <w:rPr>
          <w:rFonts w:ascii="Arial" w:hAnsi="Arial" w:cs="Arial"/>
          <w:b/>
          <w:i/>
          <w:sz w:val="24"/>
          <w:szCs w:val="24"/>
        </w:rPr>
        <w:t>Dr</w:t>
      </w:r>
      <w:proofErr w:type="spellEnd"/>
      <w:r w:rsidRPr="00C53C43">
        <w:rPr>
          <w:rFonts w:ascii="Arial" w:hAnsi="Arial" w:cs="Arial"/>
          <w:b/>
          <w:i/>
          <w:sz w:val="24"/>
          <w:szCs w:val="24"/>
        </w:rPr>
        <w:t xml:space="preserve"> D. </w:t>
      </w:r>
      <w:proofErr w:type="spellStart"/>
      <w:r w:rsidRPr="00C53C43">
        <w:rPr>
          <w:rFonts w:ascii="Arial" w:hAnsi="Arial" w:cs="Arial"/>
          <w:b/>
          <w:i/>
          <w:sz w:val="24"/>
          <w:szCs w:val="24"/>
        </w:rPr>
        <w:t>Fok</w:t>
      </w:r>
      <w:proofErr w:type="spellEnd"/>
      <w:r w:rsidRPr="00C53C43">
        <w:rPr>
          <w:rFonts w:ascii="Arial" w:hAnsi="Arial" w:cs="Arial"/>
          <w:b/>
          <w:i/>
          <w:sz w:val="24"/>
          <w:szCs w:val="24"/>
        </w:rPr>
        <w:t xml:space="preserve"> </w:t>
      </w:r>
      <w:proofErr w:type="spellStart"/>
      <w:r w:rsidRPr="00C53C43">
        <w:rPr>
          <w:rFonts w:ascii="Arial" w:hAnsi="Arial" w:cs="Arial"/>
          <w:b/>
          <w:i/>
          <w:sz w:val="24"/>
          <w:szCs w:val="24"/>
        </w:rPr>
        <w:t>Kan</w:t>
      </w:r>
      <w:proofErr w:type="spellEnd"/>
      <w:r>
        <w:rPr>
          <w:rFonts w:ascii="Arial" w:hAnsi="Arial" w:cs="Arial"/>
          <w:sz w:val="24"/>
          <w:szCs w:val="24"/>
        </w:rPr>
        <w:t xml:space="preserve"> has stated in </w:t>
      </w:r>
      <w:r w:rsidRPr="00C53C43">
        <w:rPr>
          <w:rFonts w:ascii="Arial" w:hAnsi="Arial" w:cs="Arial"/>
          <w:b/>
          <w:i/>
          <w:sz w:val="24"/>
          <w:szCs w:val="24"/>
        </w:rPr>
        <w:t xml:space="preserve">Introduction au droit du travail </w:t>
      </w:r>
      <w:proofErr w:type="spellStart"/>
      <w:r w:rsidRPr="00C53C43">
        <w:rPr>
          <w:rFonts w:ascii="Arial" w:hAnsi="Arial" w:cs="Arial"/>
          <w:b/>
          <w:i/>
          <w:sz w:val="24"/>
          <w:szCs w:val="24"/>
        </w:rPr>
        <w:t>mauricien</w:t>
      </w:r>
      <w:proofErr w:type="spellEnd"/>
      <w:r w:rsidRPr="00C53C43">
        <w:rPr>
          <w:rFonts w:ascii="Arial" w:hAnsi="Arial" w:cs="Arial"/>
          <w:b/>
          <w:i/>
          <w:sz w:val="24"/>
          <w:szCs w:val="24"/>
        </w:rPr>
        <w:t xml:space="preserve">, 1/ Les relations </w:t>
      </w:r>
      <w:proofErr w:type="spellStart"/>
      <w:r w:rsidRPr="00C53C43">
        <w:rPr>
          <w:rFonts w:ascii="Arial" w:hAnsi="Arial" w:cs="Arial"/>
          <w:b/>
          <w:i/>
          <w:sz w:val="24"/>
          <w:szCs w:val="24"/>
        </w:rPr>
        <w:t>individuelles</w:t>
      </w:r>
      <w:proofErr w:type="spellEnd"/>
      <w:r w:rsidRPr="00C53C43">
        <w:rPr>
          <w:rFonts w:ascii="Arial" w:hAnsi="Arial" w:cs="Arial"/>
          <w:b/>
          <w:i/>
          <w:sz w:val="24"/>
          <w:szCs w:val="24"/>
        </w:rPr>
        <w:t xml:space="preserve"> de travail</w:t>
      </w:r>
      <w:r>
        <w:rPr>
          <w:rFonts w:ascii="Arial" w:hAnsi="Arial" w:cs="Arial"/>
          <w:b/>
          <w:i/>
          <w:sz w:val="24"/>
          <w:szCs w:val="24"/>
        </w:rPr>
        <w:t xml:space="preserve">, 2eme </w:t>
      </w:r>
      <w:proofErr w:type="spellStart"/>
      <w:r>
        <w:rPr>
          <w:rFonts w:ascii="Arial" w:hAnsi="Arial" w:cs="Arial"/>
          <w:b/>
          <w:i/>
          <w:sz w:val="24"/>
          <w:szCs w:val="24"/>
        </w:rPr>
        <w:t>édition</w:t>
      </w:r>
      <w:proofErr w:type="spellEnd"/>
      <w:r>
        <w:rPr>
          <w:rFonts w:ascii="Arial" w:hAnsi="Arial" w:cs="Arial"/>
          <w:sz w:val="24"/>
          <w:szCs w:val="24"/>
        </w:rPr>
        <w:t xml:space="preserve"> at page 217, </w:t>
      </w:r>
    </w:p>
    <w:p w14:paraId="4FC59763" w14:textId="61B13626" w:rsidR="00C53C43" w:rsidRPr="0015231C" w:rsidRDefault="00C53C43" w:rsidP="00AB3DEA">
      <w:pPr>
        <w:jc w:val="both"/>
        <w:rPr>
          <w:rFonts w:ascii="Arial" w:hAnsi="Arial" w:cs="Arial"/>
          <w:b/>
          <w:i/>
          <w:sz w:val="24"/>
          <w:szCs w:val="24"/>
          <w:lang w:val="fr-FR"/>
        </w:rPr>
      </w:pPr>
      <w:r w:rsidRPr="0015231C">
        <w:rPr>
          <w:rFonts w:ascii="Arial" w:hAnsi="Arial" w:cs="Arial"/>
          <w:b/>
          <w:i/>
          <w:sz w:val="24"/>
          <w:szCs w:val="24"/>
          <w:lang w:val="fr-FR"/>
        </w:rPr>
        <w:t>∫</w:t>
      </w:r>
      <w:r w:rsidR="008211C9" w:rsidRPr="0015231C">
        <w:rPr>
          <w:rFonts w:ascii="Arial" w:hAnsi="Arial" w:cs="Arial"/>
          <w:b/>
          <w:i/>
          <w:sz w:val="24"/>
          <w:szCs w:val="24"/>
          <w:lang w:val="fr-FR"/>
        </w:rPr>
        <w:t xml:space="preserve"> </w:t>
      </w:r>
      <w:proofErr w:type="gramStart"/>
      <w:r w:rsidR="008211C9" w:rsidRPr="0015231C">
        <w:rPr>
          <w:rFonts w:ascii="Arial" w:hAnsi="Arial" w:cs="Arial"/>
          <w:b/>
          <w:i/>
          <w:sz w:val="24"/>
          <w:szCs w:val="24"/>
          <w:lang w:val="fr-FR"/>
        </w:rPr>
        <w:t>1:</w:t>
      </w:r>
      <w:proofErr w:type="gramEnd"/>
      <w:r w:rsidR="008211C9" w:rsidRPr="0015231C">
        <w:rPr>
          <w:rFonts w:ascii="Arial" w:hAnsi="Arial" w:cs="Arial"/>
          <w:b/>
          <w:i/>
          <w:sz w:val="24"/>
          <w:szCs w:val="24"/>
          <w:lang w:val="fr-FR"/>
        </w:rPr>
        <w:t xml:space="preserve"> </w:t>
      </w:r>
      <w:r w:rsidRPr="0015231C">
        <w:rPr>
          <w:rFonts w:ascii="Arial" w:hAnsi="Arial" w:cs="Arial"/>
          <w:b/>
          <w:i/>
          <w:sz w:val="24"/>
          <w:szCs w:val="24"/>
          <w:lang w:val="fr-FR"/>
        </w:rPr>
        <w:t>Devant L’</w:t>
      </w:r>
      <w:proofErr w:type="spellStart"/>
      <w:r w:rsidRPr="0015231C">
        <w:rPr>
          <w:rFonts w:ascii="Arial" w:hAnsi="Arial" w:cs="Arial"/>
          <w:b/>
          <w:i/>
          <w:sz w:val="24"/>
          <w:szCs w:val="24"/>
          <w:lang w:val="fr-FR"/>
        </w:rPr>
        <w:t>Employment</w:t>
      </w:r>
      <w:proofErr w:type="spellEnd"/>
      <w:r w:rsidRPr="0015231C">
        <w:rPr>
          <w:rFonts w:ascii="Arial" w:hAnsi="Arial" w:cs="Arial"/>
          <w:b/>
          <w:i/>
          <w:sz w:val="24"/>
          <w:szCs w:val="24"/>
          <w:lang w:val="fr-FR"/>
        </w:rPr>
        <w:t xml:space="preserve"> Relations Tribunal</w:t>
      </w:r>
    </w:p>
    <w:p w14:paraId="45297823" w14:textId="6BC0161C" w:rsidR="008968D1" w:rsidRPr="009A1A6F" w:rsidRDefault="008968D1" w:rsidP="009A1A6F">
      <w:pPr>
        <w:jc w:val="both"/>
        <w:rPr>
          <w:rFonts w:ascii="Arial" w:hAnsi="Arial" w:cs="Arial"/>
          <w:i/>
          <w:sz w:val="24"/>
          <w:szCs w:val="24"/>
          <w:lang w:val="fr-FR"/>
        </w:rPr>
      </w:pPr>
      <w:r w:rsidRPr="009A1A6F">
        <w:rPr>
          <w:rFonts w:ascii="Arial" w:hAnsi="Arial" w:cs="Arial"/>
          <w:i/>
          <w:sz w:val="24"/>
          <w:szCs w:val="24"/>
          <w:lang w:val="fr-FR"/>
        </w:rPr>
        <w:t xml:space="preserve">Il convient de faire ressortir que les considérations de l’ERT sont différentes de celles d’une cour de justice.  Il s’agit ici de litige où la solution ne dépend pas nécessairement d’une approche légaliste. Parmi les principes dont l’EAT a à faire application nous retrouvons non seulement les intérêts des personnes concernées mais également ceux de la communauté dans son ensemble et les principes et les pratiques conduisant à une bonne relation industrielle.  C’est ainsi que le PAT </w:t>
      </w:r>
      <w:r w:rsidR="009A1A6F" w:rsidRPr="009A1A6F">
        <w:rPr>
          <w:rFonts w:ascii="Arial" w:hAnsi="Arial" w:cs="Arial"/>
          <w:sz w:val="24"/>
          <w:szCs w:val="24"/>
          <w:lang w:val="fr-FR"/>
        </w:rPr>
        <w:t>[t</w:t>
      </w:r>
      <w:r w:rsidR="009A1A6F">
        <w:rPr>
          <w:rFonts w:ascii="Arial" w:hAnsi="Arial" w:cs="Arial"/>
          <w:sz w:val="24"/>
          <w:szCs w:val="24"/>
          <w:lang w:val="fr-FR"/>
        </w:rPr>
        <w:t xml:space="preserve">he Permanent Arbitration Tribunal as the Tribunal </w:t>
      </w:r>
      <w:proofErr w:type="spellStart"/>
      <w:r w:rsidR="009A1A6F">
        <w:rPr>
          <w:rFonts w:ascii="Arial" w:hAnsi="Arial" w:cs="Arial"/>
          <w:sz w:val="24"/>
          <w:szCs w:val="24"/>
          <w:lang w:val="fr-FR"/>
        </w:rPr>
        <w:t>was</w:t>
      </w:r>
      <w:proofErr w:type="spellEnd"/>
      <w:r w:rsidR="009A1A6F">
        <w:rPr>
          <w:rFonts w:ascii="Arial" w:hAnsi="Arial" w:cs="Arial"/>
          <w:sz w:val="24"/>
          <w:szCs w:val="24"/>
          <w:lang w:val="fr-FR"/>
        </w:rPr>
        <w:t xml:space="preserve"> </w:t>
      </w:r>
      <w:proofErr w:type="spellStart"/>
      <w:r w:rsidR="009A1A6F">
        <w:rPr>
          <w:rFonts w:ascii="Arial" w:hAnsi="Arial" w:cs="Arial"/>
          <w:sz w:val="24"/>
          <w:szCs w:val="24"/>
          <w:lang w:val="fr-FR"/>
        </w:rPr>
        <w:t>then</w:t>
      </w:r>
      <w:proofErr w:type="spellEnd"/>
      <w:r w:rsidR="009A1A6F">
        <w:rPr>
          <w:rFonts w:ascii="Arial" w:hAnsi="Arial" w:cs="Arial"/>
          <w:sz w:val="24"/>
          <w:szCs w:val="24"/>
          <w:lang w:val="fr-FR"/>
        </w:rPr>
        <w:t xml:space="preserve"> </w:t>
      </w:r>
      <w:proofErr w:type="spellStart"/>
      <w:proofErr w:type="gramStart"/>
      <w:r w:rsidR="009A1A6F">
        <w:rPr>
          <w:rFonts w:ascii="Arial" w:hAnsi="Arial" w:cs="Arial"/>
          <w:sz w:val="24"/>
          <w:szCs w:val="24"/>
          <w:lang w:val="fr-FR"/>
        </w:rPr>
        <w:t>called</w:t>
      </w:r>
      <w:proofErr w:type="spellEnd"/>
      <w:r w:rsidR="009A1A6F">
        <w:rPr>
          <w:rFonts w:ascii="Arial" w:hAnsi="Arial" w:cs="Arial"/>
          <w:sz w:val="24"/>
          <w:szCs w:val="24"/>
          <w:lang w:val="fr-FR"/>
        </w:rPr>
        <w:t xml:space="preserve">]  </w:t>
      </w:r>
      <w:r w:rsidRPr="009A1A6F">
        <w:rPr>
          <w:rFonts w:ascii="Arial" w:hAnsi="Arial" w:cs="Arial"/>
          <w:i/>
          <w:sz w:val="24"/>
          <w:szCs w:val="24"/>
          <w:lang w:val="fr-FR"/>
        </w:rPr>
        <w:t>se</w:t>
      </w:r>
      <w:proofErr w:type="gramEnd"/>
      <w:r w:rsidRPr="009A1A6F">
        <w:rPr>
          <w:rFonts w:ascii="Arial" w:hAnsi="Arial" w:cs="Arial"/>
          <w:i/>
          <w:sz w:val="24"/>
          <w:szCs w:val="24"/>
          <w:lang w:val="fr-FR"/>
        </w:rPr>
        <w:t xml:space="preserve"> réfère volontiers dans In </w:t>
      </w:r>
      <w:proofErr w:type="spellStart"/>
      <w:r w:rsidRPr="009A1A6F">
        <w:rPr>
          <w:rFonts w:ascii="Arial" w:hAnsi="Arial" w:cs="Arial"/>
          <w:i/>
          <w:sz w:val="24"/>
          <w:szCs w:val="24"/>
          <w:lang w:val="fr-FR"/>
        </w:rPr>
        <w:t>Re</w:t>
      </w:r>
      <w:proofErr w:type="spellEnd"/>
      <w:r w:rsidRPr="009A1A6F">
        <w:rPr>
          <w:rFonts w:ascii="Arial" w:hAnsi="Arial" w:cs="Arial"/>
          <w:i/>
          <w:sz w:val="24"/>
          <w:szCs w:val="24"/>
          <w:lang w:val="fr-FR"/>
        </w:rPr>
        <w:t> : Mrs D.C.Y.P. and The Sun Casino Ltd  aux ‘</w:t>
      </w:r>
      <w:proofErr w:type="spellStart"/>
      <w:r w:rsidRPr="009A1A6F">
        <w:rPr>
          <w:rFonts w:ascii="Arial" w:hAnsi="Arial" w:cs="Arial"/>
          <w:i/>
          <w:sz w:val="24"/>
          <w:szCs w:val="24"/>
          <w:lang w:val="fr-FR"/>
        </w:rPr>
        <w:t>fundamental</w:t>
      </w:r>
      <w:proofErr w:type="spellEnd"/>
      <w:r w:rsidRPr="009A1A6F">
        <w:rPr>
          <w:rFonts w:ascii="Arial" w:hAnsi="Arial" w:cs="Arial"/>
          <w:i/>
          <w:sz w:val="24"/>
          <w:szCs w:val="24"/>
          <w:lang w:val="fr-FR"/>
        </w:rPr>
        <w:t xml:space="preserve"> </w:t>
      </w:r>
      <w:proofErr w:type="spellStart"/>
      <w:r w:rsidRPr="009A1A6F">
        <w:rPr>
          <w:rFonts w:ascii="Arial" w:hAnsi="Arial" w:cs="Arial"/>
          <w:i/>
          <w:sz w:val="24"/>
          <w:szCs w:val="24"/>
          <w:lang w:val="fr-FR"/>
        </w:rPr>
        <w:t>principles</w:t>
      </w:r>
      <w:proofErr w:type="spellEnd"/>
      <w:r w:rsidRPr="009A1A6F">
        <w:rPr>
          <w:rFonts w:ascii="Arial" w:hAnsi="Arial" w:cs="Arial"/>
          <w:i/>
          <w:sz w:val="24"/>
          <w:szCs w:val="24"/>
          <w:lang w:val="fr-FR"/>
        </w:rPr>
        <w:t xml:space="preserve"> of </w:t>
      </w:r>
      <w:proofErr w:type="spellStart"/>
      <w:r w:rsidRPr="009A1A6F">
        <w:rPr>
          <w:rFonts w:ascii="Arial" w:hAnsi="Arial" w:cs="Arial"/>
          <w:i/>
          <w:sz w:val="24"/>
          <w:szCs w:val="24"/>
          <w:lang w:val="fr-FR"/>
        </w:rPr>
        <w:t>fair</w:t>
      </w:r>
      <w:proofErr w:type="spellEnd"/>
      <w:r w:rsidRPr="009A1A6F">
        <w:rPr>
          <w:rFonts w:ascii="Arial" w:hAnsi="Arial" w:cs="Arial"/>
          <w:i/>
          <w:sz w:val="24"/>
          <w:szCs w:val="24"/>
          <w:lang w:val="fr-FR"/>
        </w:rPr>
        <w:t xml:space="preserve"> </w:t>
      </w:r>
      <w:proofErr w:type="spellStart"/>
      <w:r w:rsidRPr="009A1A6F">
        <w:rPr>
          <w:rFonts w:ascii="Arial" w:hAnsi="Arial" w:cs="Arial"/>
          <w:i/>
          <w:sz w:val="24"/>
          <w:szCs w:val="24"/>
          <w:lang w:val="fr-FR"/>
        </w:rPr>
        <w:t>employment</w:t>
      </w:r>
      <w:proofErr w:type="spellEnd"/>
      <w:r w:rsidRPr="009A1A6F">
        <w:rPr>
          <w:rFonts w:ascii="Arial" w:hAnsi="Arial" w:cs="Arial"/>
          <w:i/>
          <w:sz w:val="24"/>
          <w:szCs w:val="24"/>
          <w:lang w:val="fr-FR"/>
        </w:rPr>
        <w:t>’ pour résoudre le litige.</w:t>
      </w:r>
    </w:p>
    <w:p w14:paraId="62F2BD11" w14:textId="77777777" w:rsidR="008968D1" w:rsidRPr="00232D03" w:rsidRDefault="008968D1" w:rsidP="008968D1">
      <w:pPr>
        <w:pStyle w:val="NoSpacing"/>
        <w:jc w:val="both"/>
        <w:rPr>
          <w:rFonts w:ascii="Times New Roman" w:hAnsi="Times New Roman" w:cs="Times New Roman"/>
          <w:sz w:val="24"/>
          <w:szCs w:val="24"/>
          <w:lang w:val="fr-FR"/>
        </w:rPr>
      </w:pPr>
    </w:p>
    <w:p w14:paraId="4592CFE8" w14:textId="46911674" w:rsidR="000835E5" w:rsidRDefault="000835E5" w:rsidP="00AB3DEA">
      <w:pPr>
        <w:jc w:val="both"/>
        <w:rPr>
          <w:rFonts w:ascii="Arial" w:hAnsi="Arial" w:cs="Arial"/>
          <w:sz w:val="24"/>
          <w:szCs w:val="24"/>
        </w:rPr>
      </w:pPr>
      <w:r>
        <w:rPr>
          <w:rFonts w:ascii="Arial" w:hAnsi="Arial" w:cs="Arial"/>
          <w:sz w:val="24"/>
          <w:szCs w:val="24"/>
        </w:rPr>
        <w:t xml:space="preserve">At page 141 of the same book, </w:t>
      </w:r>
      <w:proofErr w:type="spellStart"/>
      <w:r w:rsidRPr="00AD6255">
        <w:rPr>
          <w:rFonts w:ascii="Arial" w:hAnsi="Arial" w:cs="Arial"/>
          <w:b/>
          <w:sz w:val="24"/>
          <w:szCs w:val="24"/>
        </w:rPr>
        <w:t>Dr</w:t>
      </w:r>
      <w:proofErr w:type="spellEnd"/>
      <w:r w:rsidRPr="00AD6255">
        <w:rPr>
          <w:rFonts w:ascii="Arial" w:hAnsi="Arial" w:cs="Arial"/>
          <w:b/>
          <w:sz w:val="24"/>
          <w:szCs w:val="24"/>
        </w:rPr>
        <w:t xml:space="preserve"> D. </w:t>
      </w:r>
      <w:proofErr w:type="spellStart"/>
      <w:r w:rsidRPr="00AD6255">
        <w:rPr>
          <w:rFonts w:ascii="Arial" w:hAnsi="Arial" w:cs="Arial"/>
          <w:b/>
          <w:sz w:val="24"/>
          <w:szCs w:val="24"/>
        </w:rPr>
        <w:t>Fok</w:t>
      </w:r>
      <w:proofErr w:type="spellEnd"/>
      <w:r w:rsidRPr="00AD6255">
        <w:rPr>
          <w:rFonts w:ascii="Arial" w:hAnsi="Arial" w:cs="Arial"/>
          <w:b/>
          <w:sz w:val="24"/>
          <w:szCs w:val="24"/>
        </w:rPr>
        <w:t xml:space="preserve"> </w:t>
      </w:r>
      <w:proofErr w:type="spellStart"/>
      <w:r w:rsidRPr="00AD6255">
        <w:rPr>
          <w:rFonts w:ascii="Arial" w:hAnsi="Arial" w:cs="Arial"/>
          <w:b/>
          <w:sz w:val="24"/>
          <w:szCs w:val="24"/>
        </w:rPr>
        <w:t>Kan</w:t>
      </w:r>
      <w:proofErr w:type="spellEnd"/>
      <w:r>
        <w:rPr>
          <w:rFonts w:ascii="Arial" w:hAnsi="Arial" w:cs="Arial"/>
          <w:sz w:val="24"/>
          <w:szCs w:val="24"/>
        </w:rPr>
        <w:t xml:space="preserve"> states the following:</w:t>
      </w:r>
    </w:p>
    <w:p w14:paraId="47172B98" w14:textId="2CA79E44" w:rsidR="000835E5" w:rsidRPr="00AD6255" w:rsidRDefault="000835E5" w:rsidP="00AB3DEA">
      <w:pPr>
        <w:jc w:val="both"/>
        <w:rPr>
          <w:rFonts w:ascii="Arial" w:hAnsi="Arial" w:cs="Arial"/>
          <w:i/>
          <w:sz w:val="24"/>
          <w:szCs w:val="24"/>
        </w:rPr>
      </w:pPr>
      <w:r w:rsidRPr="0015231C">
        <w:rPr>
          <w:rFonts w:ascii="Arial" w:hAnsi="Arial" w:cs="Arial"/>
          <w:i/>
          <w:sz w:val="24"/>
          <w:szCs w:val="24"/>
          <w:lang w:val="fr-FR"/>
        </w:rPr>
        <w:t>Dans les cas où il n’y a pas de RO [</w:t>
      </w:r>
      <w:proofErr w:type="spellStart"/>
      <w:r w:rsidRPr="0015231C">
        <w:rPr>
          <w:rFonts w:ascii="Arial" w:hAnsi="Arial" w:cs="Arial"/>
          <w:i/>
          <w:sz w:val="24"/>
          <w:szCs w:val="24"/>
          <w:lang w:val="fr-FR"/>
        </w:rPr>
        <w:t>remuneration</w:t>
      </w:r>
      <w:proofErr w:type="spellEnd"/>
      <w:r w:rsidRPr="0015231C">
        <w:rPr>
          <w:rFonts w:ascii="Arial" w:hAnsi="Arial" w:cs="Arial"/>
          <w:i/>
          <w:sz w:val="24"/>
          <w:szCs w:val="24"/>
          <w:lang w:val="fr-FR"/>
        </w:rPr>
        <w:t xml:space="preserve"> </w:t>
      </w:r>
      <w:proofErr w:type="spellStart"/>
      <w:r w:rsidRPr="0015231C">
        <w:rPr>
          <w:rFonts w:ascii="Arial" w:hAnsi="Arial" w:cs="Arial"/>
          <w:i/>
          <w:sz w:val="24"/>
          <w:szCs w:val="24"/>
          <w:lang w:val="fr-FR"/>
        </w:rPr>
        <w:t>order</w:t>
      </w:r>
      <w:proofErr w:type="spellEnd"/>
      <w:r w:rsidRPr="0015231C">
        <w:rPr>
          <w:rFonts w:ascii="Arial" w:hAnsi="Arial" w:cs="Arial"/>
          <w:i/>
          <w:sz w:val="24"/>
          <w:szCs w:val="24"/>
          <w:lang w:val="fr-FR"/>
        </w:rPr>
        <w:t xml:space="preserve">], le salaire sera déterminé d’un commun accord entre les parties.  </w:t>
      </w:r>
      <w:r w:rsidRPr="00AD6255">
        <w:rPr>
          <w:rFonts w:ascii="Arial" w:hAnsi="Arial" w:cs="Arial"/>
          <w:i/>
          <w:sz w:val="24"/>
          <w:szCs w:val="24"/>
        </w:rPr>
        <w:t xml:space="preserve">Bien </w:t>
      </w:r>
      <w:proofErr w:type="spellStart"/>
      <w:r w:rsidRPr="00AD6255">
        <w:rPr>
          <w:rFonts w:ascii="Arial" w:hAnsi="Arial" w:cs="Arial"/>
          <w:i/>
          <w:sz w:val="24"/>
          <w:szCs w:val="24"/>
        </w:rPr>
        <w:t>qu’il</w:t>
      </w:r>
      <w:proofErr w:type="spellEnd"/>
      <w:r w:rsidRPr="00AD6255">
        <w:rPr>
          <w:rFonts w:ascii="Arial" w:hAnsi="Arial" w:cs="Arial"/>
          <w:i/>
          <w:sz w:val="24"/>
          <w:szCs w:val="24"/>
        </w:rPr>
        <w:t xml:space="preserve"> </w:t>
      </w:r>
      <w:proofErr w:type="spellStart"/>
      <w:r w:rsidRPr="00AD6255">
        <w:rPr>
          <w:rFonts w:ascii="Arial" w:hAnsi="Arial" w:cs="Arial"/>
          <w:i/>
          <w:sz w:val="24"/>
          <w:szCs w:val="24"/>
        </w:rPr>
        <w:t>revienne</w:t>
      </w:r>
      <w:proofErr w:type="spellEnd"/>
      <w:r w:rsidRPr="00AD6255">
        <w:rPr>
          <w:rFonts w:ascii="Arial" w:hAnsi="Arial" w:cs="Arial"/>
          <w:i/>
          <w:sz w:val="24"/>
          <w:szCs w:val="24"/>
        </w:rPr>
        <w:t xml:space="preserve"> aux parties </w:t>
      </w:r>
      <w:proofErr w:type="spellStart"/>
      <w:r w:rsidRPr="00AD6255">
        <w:rPr>
          <w:rFonts w:ascii="Arial" w:hAnsi="Arial" w:cs="Arial"/>
          <w:i/>
          <w:sz w:val="24"/>
          <w:szCs w:val="24"/>
        </w:rPr>
        <w:t>d’en</w:t>
      </w:r>
      <w:proofErr w:type="spellEnd"/>
      <w:r w:rsidRPr="00AD6255">
        <w:rPr>
          <w:rFonts w:ascii="Arial" w:hAnsi="Arial" w:cs="Arial"/>
          <w:i/>
          <w:sz w:val="24"/>
          <w:szCs w:val="24"/>
        </w:rPr>
        <w:t xml:space="preserve"> </w:t>
      </w:r>
      <w:proofErr w:type="spellStart"/>
      <w:r w:rsidR="00D42383" w:rsidRPr="00AD6255">
        <w:rPr>
          <w:rFonts w:ascii="Arial" w:hAnsi="Arial" w:cs="Arial"/>
          <w:i/>
          <w:sz w:val="24"/>
          <w:szCs w:val="24"/>
        </w:rPr>
        <w:t>déterminer</w:t>
      </w:r>
      <w:proofErr w:type="spellEnd"/>
      <w:r w:rsidR="00D42383" w:rsidRPr="00AD6255">
        <w:rPr>
          <w:rFonts w:ascii="Arial" w:hAnsi="Arial" w:cs="Arial"/>
          <w:i/>
          <w:sz w:val="24"/>
          <w:szCs w:val="24"/>
        </w:rPr>
        <w:t xml:space="preserve"> le </w:t>
      </w:r>
      <w:proofErr w:type="spellStart"/>
      <w:r w:rsidR="00D42383" w:rsidRPr="00AD6255">
        <w:rPr>
          <w:rFonts w:ascii="Arial" w:hAnsi="Arial" w:cs="Arial"/>
          <w:i/>
          <w:sz w:val="24"/>
          <w:szCs w:val="24"/>
        </w:rPr>
        <w:t>montant</w:t>
      </w:r>
      <w:proofErr w:type="spellEnd"/>
      <w:r w:rsidR="00D42383" w:rsidRPr="00AD6255">
        <w:rPr>
          <w:rFonts w:ascii="Arial" w:hAnsi="Arial" w:cs="Arial"/>
          <w:i/>
          <w:sz w:val="24"/>
          <w:szCs w:val="24"/>
        </w:rPr>
        <w:t xml:space="preserve">, le </w:t>
      </w:r>
      <w:proofErr w:type="spellStart"/>
      <w:r w:rsidR="00D42383" w:rsidRPr="00AD6255">
        <w:rPr>
          <w:rFonts w:ascii="Arial" w:hAnsi="Arial" w:cs="Arial"/>
          <w:i/>
          <w:sz w:val="24"/>
          <w:szCs w:val="24"/>
        </w:rPr>
        <w:t>lé</w:t>
      </w:r>
      <w:r w:rsidR="00AD6255" w:rsidRPr="00AD6255">
        <w:rPr>
          <w:rFonts w:ascii="Arial" w:hAnsi="Arial" w:cs="Arial"/>
          <w:i/>
          <w:sz w:val="24"/>
          <w:szCs w:val="24"/>
        </w:rPr>
        <w:t>gislateur</w:t>
      </w:r>
      <w:proofErr w:type="spellEnd"/>
      <w:r w:rsidR="00AD6255" w:rsidRPr="00AD6255">
        <w:rPr>
          <w:rFonts w:ascii="Arial" w:hAnsi="Arial" w:cs="Arial"/>
          <w:i/>
          <w:sz w:val="24"/>
          <w:szCs w:val="24"/>
        </w:rPr>
        <w:t xml:space="preserve"> pose </w:t>
      </w:r>
      <w:proofErr w:type="spellStart"/>
      <w:r w:rsidR="00AD6255" w:rsidRPr="00AD6255">
        <w:rPr>
          <w:rFonts w:ascii="Arial" w:hAnsi="Arial" w:cs="Arial"/>
          <w:i/>
          <w:sz w:val="24"/>
          <w:szCs w:val="24"/>
        </w:rPr>
        <w:t>maintenant</w:t>
      </w:r>
      <w:proofErr w:type="spellEnd"/>
      <w:r w:rsidR="00AD6255" w:rsidRPr="00AD6255">
        <w:rPr>
          <w:rFonts w:ascii="Arial" w:hAnsi="Arial" w:cs="Arial"/>
          <w:i/>
          <w:sz w:val="24"/>
          <w:szCs w:val="24"/>
        </w:rPr>
        <w:t xml:space="preserve"> </w:t>
      </w:r>
      <w:proofErr w:type="spellStart"/>
      <w:r w:rsidR="00AD6255" w:rsidRPr="00AD6255">
        <w:rPr>
          <w:rFonts w:ascii="Arial" w:hAnsi="Arial" w:cs="Arial"/>
          <w:i/>
          <w:sz w:val="24"/>
          <w:szCs w:val="24"/>
        </w:rPr>
        <w:t>comme</w:t>
      </w:r>
      <w:proofErr w:type="spellEnd"/>
      <w:r w:rsidR="00AD6255" w:rsidRPr="00AD6255">
        <w:rPr>
          <w:rFonts w:ascii="Arial" w:hAnsi="Arial" w:cs="Arial"/>
          <w:i/>
          <w:sz w:val="24"/>
          <w:szCs w:val="24"/>
        </w:rPr>
        <w:t xml:space="preserve"> </w:t>
      </w:r>
      <w:proofErr w:type="spellStart"/>
      <w:r w:rsidR="00AD6255" w:rsidRPr="00AD6255">
        <w:rPr>
          <w:rFonts w:ascii="Arial" w:hAnsi="Arial" w:cs="Arial"/>
          <w:i/>
          <w:sz w:val="24"/>
          <w:szCs w:val="24"/>
        </w:rPr>
        <w:t>principe</w:t>
      </w:r>
      <w:proofErr w:type="spellEnd"/>
      <w:r w:rsidR="00AD6255" w:rsidRPr="00AD6255">
        <w:rPr>
          <w:rFonts w:ascii="Arial" w:hAnsi="Arial" w:cs="Arial"/>
          <w:i/>
          <w:sz w:val="24"/>
          <w:szCs w:val="24"/>
        </w:rPr>
        <w:t xml:space="preserve"> de base </w:t>
      </w:r>
      <w:proofErr w:type="spellStart"/>
      <w:r w:rsidR="00AD6255" w:rsidRPr="00AD6255">
        <w:rPr>
          <w:rFonts w:ascii="Arial" w:hAnsi="Arial" w:cs="Arial"/>
          <w:i/>
          <w:sz w:val="24"/>
          <w:szCs w:val="24"/>
        </w:rPr>
        <w:t>celui</w:t>
      </w:r>
      <w:proofErr w:type="spellEnd"/>
      <w:r w:rsidR="00AD6255" w:rsidRPr="00AD6255">
        <w:rPr>
          <w:rFonts w:ascii="Arial" w:hAnsi="Arial" w:cs="Arial"/>
          <w:i/>
          <w:sz w:val="24"/>
          <w:szCs w:val="24"/>
        </w:rPr>
        <w:t xml:space="preserve"> de ‘equal remuneration for work of equal value’; “Every employer shall ensure that the remuneration of any worker shall not be less favorable than that of another worker performing the same type of work.” </w:t>
      </w:r>
    </w:p>
    <w:p w14:paraId="5EF03CAF" w14:textId="4B41F882" w:rsidR="000835E5" w:rsidRDefault="00AD6255" w:rsidP="00AB3DEA">
      <w:pPr>
        <w:jc w:val="both"/>
        <w:rPr>
          <w:rFonts w:ascii="Arial" w:hAnsi="Arial" w:cs="Arial"/>
          <w:sz w:val="24"/>
          <w:szCs w:val="24"/>
        </w:rPr>
      </w:pPr>
      <w:r>
        <w:rPr>
          <w:rFonts w:ascii="Arial" w:hAnsi="Arial" w:cs="Arial"/>
          <w:sz w:val="24"/>
          <w:szCs w:val="24"/>
        </w:rPr>
        <w:t>Th</w:t>
      </w:r>
      <w:r w:rsidR="00C221DE">
        <w:rPr>
          <w:rFonts w:ascii="Arial" w:hAnsi="Arial" w:cs="Arial"/>
          <w:sz w:val="24"/>
          <w:szCs w:val="24"/>
        </w:rPr>
        <w:t xml:space="preserve">e </w:t>
      </w:r>
      <w:r w:rsidR="008A5622">
        <w:rPr>
          <w:rFonts w:ascii="Arial" w:hAnsi="Arial" w:cs="Arial"/>
          <w:sz w:val="24"/>
          <w:szCs w:val="24"/>
        </w:rPr>
        <w:t>p</w:t>
      </w:r>
      <w:r>
        <w:rPr>
          <w:rFonts w:ascii="Arial" w:hAnsi="Arial" w:cs="Arial"/>
          <w:sz w:val="24"/>
          <w:szCs w:val="24"/>
        </w:rPr>
        <w:t xml:space="preserve">rovision </w:t>
      </w:r>
      <w:r w:rsidR="008A5622">
        <w:rPr>
          <w:rFonts w:ascii="Arial" w:hAnsi="Arial" w:cs="Arial"/>
          <w:sz w:val="24"/>
          <w:szCs w:val="24"/>
        </w:rPr>
        <w:t xml:space="preserve">as cited by </w:t>
      </w:r>
      <w:proofErr w:type="spellStart"/>
      <w:r w:rsidR="008A5622" w:rsidRPr="008A5622">
        <w:rPr>
          <w:rFonts w:ascii="Arial" w:hAnsi="Arial" w:cs="Arial"/>
          <w:b/>
          <w:sz w:val="24"/>
          <w:szCs w:val="24"/>
        </w:rPr>
        <w:t>Dr</w:t>
      </w:r>
      <w:proofErr w:type="spellEnd"/>
      <w:r w:rsidR="008A5622" w:rsidRPr="008A5622">
        <w:rPr>
          <w:rFonts w:ascii="Arial" w:hAnsi="Arial" w:cs="Arial"/>
          <w:b/>
          <w:sz w:val="24"/>
          <w:szCs w:val="24"/>
        </w:rPr>
        <w:t xml:space="preserve"> D. </w:t>
      </w:r>
      <w:proofErr w:type="spellStart"/>
      <w:r w:rsidR="008A5622" w:rsidRPr="008A5622">
        <w:rPr>
          <w:rFonts w:ascii="Arial" w:hAnsi="Arial" w:cs="Arial"/>
          <w:b/>
          <w:sz w:val="24"/>
          <w:szCs w:val="24"/>
        </w:rPr>
        <w:t>Fok</w:t>
      </w:r>
      <w:proofErr w:type="spellEnd"/>
      <w:r w:rsidR="008A5622" w:rsidRPr="008A5622">
        <w:rPr>
          <w:rFonts w:ascii="Arial" w:hAnsi="Arial" w:cs="Arial"/>
          <w:b/>
          <w:sz w:val="24"/>
          <w:szCs w:val="24"/>
        </w:rPr>
        <w:t xml:space="preserve"> </w:t>
      </w:r>
      <w:proofErr w:type="spellStart"/>
      <w:r w:rsidR="008A5622" w:rsidRPr="008A5622">
        <w:rPr>
          <w:rFonts w:ascii="Arial" w:hAnsi="Arial" w:cs="Arial"/>
          <w:b/>
          <w:sz w:val="24"/>
          <w:szCs w:val="24"/>
        </w:rPr>
        <w:t>Kan</w:t>
      </w:r>
      <w:proofErr w:type="spellEnd"/>
      <w:r w:rsidR="008A5622">
        <w:rPr>
          <w:rFonts w:ascii="Arial" w:hAnsi="Arial" w:cs="Arial"/>
          <w:sz w:val="24"/>
          <w:szCs w:val="24"/>
        </w:rPr>
        <w:t xml:space="preserve"> above </w:t>
      </w:r>
      <w:r>
        <w:rPr>
          <w:rFonts w:ascii="Arial" w:hAnsi="Arial" w:cs="Arial"/>
          <w:sz w:val="24"/>
          <w:szCs w:val="24"/>
        </w:rPr>
        <w:t>(</w:t>
      </w:r>
      <w:r w:rsidR="008A5622">
        <w:rPr>
          <w:rFonts w:ascii="Arial" w:hAnsi="Arial" w:cs="Arial"/>
          <w:sz w:val="24"/>
          <w:szCs w:val="24"/>
        </w:rPr>
        <w:t>section 20(1) of</w:t>
      </w:r>
      <w:r>
        <w:rPr>
          <w:rFonts w:ascii="Arial" w:hAnsi="Arial" w:cs="Arial"/>
          <w:sz w:val="24"/>
          <w:szCs w:val="24"/>
        </w:rPr>
        <w:t xml:space="preserve"> the repealed Employment Rights Act)</w:t>
      </w:r>
      <w:r w:rsidR="00C221DE">
        <w:rPr>
          <w:rFonts w:ascii="Arial" w:hAnsi="Arial" w:cs="Arial"/>
          <w:sz w:val="24"/>
          <w:szCs w:val="24"/>
        </w:rPr>
        <w:t xml:space="preserve"> </w:t>
      </w:r>
      <w:r w:rsidR="008A5622">
        <w:rPr>
          <w:rFonts w:ascii="Arial" w:hAnsi="Arial" w:cs="Arial"/>
          <w:sz w:val="24"/>
          <w:szCs w:val="24"/>
        </w:rPr>
        <w:t xml:space="preserve">has </w:t>
      </w:r>
      <w:r w:rsidR="00C221DE">
        <w:rPr>
          <w:rFonts w:ascii="Arial" w:hAnsi="Arial" w:cs="Arial"/>
          <w:sz w:val="24"/>
          <w:szCs w:val="24"/>
        </w:rPr>
        <w:t>been repeated</w:t>
      </w:r>
      <w:r w:rsidR="008A5622">
        <w:rPr>
          <w:rFonts w:ascii="Arial" w:hAnsi="Arial" w:cs="Arial"/>
          <w:sz w:val="24"/>
          <w:szCs w:val="24"/>
        </w:rPr>
        <w:t>, in an amended form,</w:t>
      </w:r>
      <w:r w:rsidR="00C221DE">
        <w:rPr>
          <w:rFonts w:ascii="Arial" w:hAnsi="Arial" w:cs="Arial"/>
          <w:sz w:val="24"/>
          <w:szCs w:val="24"/>
        </w:rPr>
        <w:t xml:space="preserve"> in section 26 of the Workers’ Rights Act 2019 under the heading </w:t>
      </w:r>
      <w:r>
        <w:rPr>
          <w:rFonts w:ascii="Arial" w:hAnsi="Arial" w:cs="Arial"/>
          <w:sz w:val="24"/>
          <w:szCs w:val="24"/>
        </w:rPr>
        <w:t>‘Equal remuneration for work of equal value’</w:t>
      </w:r>
      <w:r w:rsidR="00C221DE">
        <w:rPr>
          <w:rFonts w:ascii="Arial" w:hAnsi="Arial" w:cs="Arial"/>
          <w:sz w:val="24"/>
          <w:szCs w:val="24"/>
        </w:rPr>
        <w:t>.</w:t>
      </w:r>
    </w:p>
    <w:p w14:paraId="3FE4E5C7" w14:textId="64B0C660" w:rsidR="005D6B01" w:rsidRDefault="00B65EFF" w:rsidP="00AB3DEA">
      <w:pPr>
        <w:jc w:val="both"/>
        <w:rPr>
          <w:rFonts w:ascii="Arial" w:hAnsi="Arial" w:cs="Arial"/>
          <w:sz w:val="24"/>
          <w:szCs w:val="24"/>
        </w:rPr>
      </w:pPr>
      <w:r>
        <w:rPr>
          <w:rFonts w:ascii="Arial" w:hAnsi="Arial" w:cs="Arial"/>
          <w:sz w:val="24"/>
          <w:szCs w:val="24"/>
        </w:rPr>
        <w:t>We are in the realm of employment relations</w:t>
      </w:r>
      <w:r w:rsidR="005F13FC">
        <w:rPr>
          <w:rFonts w:ascii="Arial" w:hAnsi="Arial" w:cs="Arial"/>
          <w:sz w:val="24"/>
          <w:szCs w:val="24"/>
        </w:rPr>
        <w:t>,</w:t>
      </w:r>
      <w:r>
        <w:rPr>
          <w:rFonts w:ascii="Arial" w:hAnsi="Arial" w:cs="Arial"/>
          <w:sz w:val="24"/>
          <w:szCs w:val="24"/>
        </w:rPr>
        <w:t xml:space="preserve"> and any blinkered or excessive</w:t>
      </w:r>
      <w:r w:rsidR="008A19C1">
        <w:rPr>
          <w:rFonts w:ascii="Arial" w:hAnsi="Arial" w:cs="Arial"/>
          <w:sz w:val="24"/>
          <w:szCs w:val="24"/>
        </w:rPr>
        <w:t xml:space="preserve"> fixation on a contract of employment to deny or stop a worker from having access to the Tribunal, may, apart from not being conducive to good employment relations, </w:t>
      </w:r>
      <w:r w:rsidR="00FF2358">
        <w:rPr>
          <w:rFonts w:ascii="Arial" w:hAnsi="Arial" w:cs="Arial"/>
          <w:sz w:val="24"/>
          <w:szCs w:val="24"/>
        </w:rPr>
        <w:t xml:space="preserve">go against the essence of </w:t>
      </w:r>
      <w:r w:rsidR="0034615A">
        <w:rPr>
          <w:rFonts w:ascii="Arial" w:hAnsi="Arial" w:cs="Arial"/>
          <w:sz w:val="24"/>
          <w:szCs w:val="24"/>
        </w:rPr>
        <w:t>employment relations law</w:t>
      </w:r>
      <w:r w:rsidR="00FF2358">
        <w:rPr>
          <w:rFonts w:ascii="Arial" w:hAnsi="Arial" w:cs="Arial"/>
          <w:sz w:val="24"/>
          <w:szCs w:val="24"/>
        </w:rPr>
        <w:t xml:space="preserve">.  </w:t>
      </w:r>
      <w:r w:rsidR="004D57F2">
        <w:rPr>
          <w:rFonts w:ascii="Arial" w:hAnsi="Arial" w:cs="Arial"/>
          <w:sz w:val="24"/>
          <w:szCs w:val="24"/>
        </w:rPr>
        <w:t>There is no evidence that t</w:t>
      </w:r>
      <w:r w:rsidR="005D6B01">
        <w:rPr>
          <w:rFonts w:ascii="Arial" w:hAnsi="Arial" w:cs="Arial"/>
          <w:sz w:val="24"/>
          <w:szCs w:val="24"/>
        </w:rPr>
        <w:t>he present dispute</w:t>
      </w:r>
      <w:r w:rsidR="004D57F2">
        <w:rPr>
          <w:rFonts w:ascii="Arial" w:hAnsi="Arial" w:cs="Arial"/>
          <w:sz w:val="24"/>
          <w:szCs w:val="24"/>
        </w:rPr>
        <w:t>s</w:t>
      </w:r>
      <w:r w:rsidR="005D6B01">
        <w:rPr>
          <w:rFonts w:ascii="Arial" w:hAnsi="Arial" w:cs="Arial"/>
          <w:sz w:val="24"/>
          <w:szCs w:val="24"/>
        </w:rPr>
        <w:t xml:space="preserve"> fall </w:t>
      </w:r>
      <w:r w:rsidR="004D57F2">
        <w:rPr>
          <w:rFonts w:ascii="Arial" w:hAnsi="Arial" w:cs="Arial"/>
          <w:sz w:val="24"/>
          <w:szCs w:val="24"/>
        </w:rPr>
        <w:t xml:space="preserve">under section </w:t>
      </w:r>
      <w:r w:rsidR="00D32732">
        <w:rPr>
          <w:rFonts w:ascii="Arial" w:hAnsi="Arial" w:cs="Arial"/>
          <w:sz w:val="24"/>
          <w:szCs w:val="24"/>
        </w:rPr>
        <w:t>71</w:t>
      </w:r>
      <w:r w:rsidR="004D57F2">
        <w:rPr>
          <w:rFonts w:ascii="Arial" w:hAnsi="Arial" w:cs="Arial"/>
          <w:sz w:val="24"/>
          <w:szCs w:val="24"/>
        </w:rPr>
        <w:t xml:space="preserve"> </w:t>
      </w:r>
      <w:r w:rsidR="009846B0">
        <w:rPr>
          <w:rFonts w:ascii="Arial" w:hAnsi="Arial" w:cs="Arial"/>
          <w:sz w:val="24"/>
          <w:szCs w:val="24"/>
        </w:rPr>
        <w:t xml:space="preserve">or any other section </w:t>
      </w:r>
      <w:r w:rsidR="004D57F2">
        <w:rPr>
          <w:rFonts w:ascii="Arial" w:hAnsi="Arial" w:cs="Arial"/>
          <w:sz w:val="24"/>
          <w:szCs w:val="24"/>
        </w:rPr>
        <w:t xml:space="preserve">of the Act </w:t>
      </w:r>
      <w:r w:rsidR="009846B0">
        <w:rPr>
          <w:rFonts w:ascii="Arial" w:hAnsi="Arial" w:cs="Arial"/>
          <w:sz w:val="24"/>
          <w:szCs w:val="24"/>
        </w:rPr>
        <w:t>which w</w:t>
      </w:r>
      <w:r w:rsidR="004D57F2">
        <w:rPr>
          <w:rFonts w:ascii="Arial" w:hAnsi="Arial" w:cs="Arial"/>
          <w:sz w:val="24"/>
          <w:szCs w:val="24"/>
        </w:rPr>
        <w:t>ould exclude</w:t>
      </w:r>
      <w:r w:rsidR="009846B0">
        <w:rPr>
          <w:rFonts w:ascii="Arial" w:hAnsi="Arial" w:cs="Arial"/>
          <w:sz w:val="24"/>
          <w:szCs w:val="24"/>
        </w:rPr>
        <w:t xml:space="preserve"> these disputes</w:t>
      </w:r>
      <w:r w:rsidR="004D57F2">
        <w:rPr>
          <w:rFonts w:ascii="Arial" w:hAnsi="Arial" w:cs="Arial"/>
          <w:sz w:val="24"/>
          <w:szCs w:val="24"/>
        </w:rPr>
        <w:t xml:space="preserve"> </w:t>
      </w:r>
      <w:r w:rsidR="005D6B01">
        <w:rPr>
          <w:rFonts w:ascii="Arial" w:hAnsi="Arial" w:cs="Arial"/>
          <w:sz w:val="24"/>
          <w:szCs w:val="24"/>
        </w:rPr>
        <w:t xml:space="preserve">from the jurisdiction of the Tribunal.  The </w:t>
      </w:r>
      <w:r w:rsidR="004D57F2">
        <w:rPr>
          <w:rFonts w:ascii="Arial" w:hAnsi="Arial" w:cs="Arial"/>
          <w:sz w:val="24"/>
          <w:szCs w:val="24"/>
        </w:rPr>
        <w:t xml:space="preserve">issue raised </w:t>
      </w:r>
      <w:r w:rsidR="005D6B01">
        <w:rPr>
          <w:rFonts w:ascii="Arial" w:hAnsi="Arial" w:cs="Arial"/>
          <w:sz w:val="24"/>
          <w:szCs w:val="24"/>
        </w:rPr>
        <w:t xml:space="preserve">under this limb is at best premature and the Tribunal </w:t>
      </w:r>
      <w:r w:rsidR="004D57F2">
        <w:rPr>
          <w:rFonts w:ascii="Arial" w:hAnsi="Arial" w:cs="Arial"/>
          <w:sz w:val="24"/>
          <w:szCs w:val="24"/>
        </w:rPr>
        <w:t xml:space="preserve">will </w:t>
      </w:r>
      <w:r w:rsidR="009846B0">
        <w:rPr>
          <w:rFonts w:ascii="Arial" w:hAnsi="Arial" w:cs="Arial"/>
          <w:sz w:val="24"/>
          <w:szCs w:val="24"/>
        </w:rPr>
        <w:t xml:space="preserve">have to </w:t>
      </w:r>
      <w:r w:rsidR="004D57F2">
        <w:rPr>
          <w:rFonts w:ascii="Arial" w:hAnsi="Arial" w:cs="Arial"/>
          <w:sz w:val="24"/>
          <w:szCs w:val="24"/>
        </w:rPr>
        <w:t xml:space="preserve">hear </w:t>
      </w:r>
      <w:r w:rsidR="005D6B01">
        <w:rPr>
          <w:rFonts w:ascii="Arial" w:hAnsi="Arial" w:cs="Arial"/>
          <w:sz w:val="24"/>
          <w:szCs w:val="24"/>
        </w:rPr>
        <w:t xml:space="preserve">all parties </w:t>
      </w:r>
      <w:r w:rsidR="009846B0">
        <w:rPr>
          <w:rFonts w:ascii="Arial" w:hAnsi="Arial" w:cs="Arial"/>
          <w:sz w:val="24"/>
          <w:szCs w:val="24"/>
        </w:rPr>
        <w:t>b</w:t>
      </w:r>
      <w:r w:rsidR="005D6B01">
        <w:rPr>
          <w:rFonts w:ascii="Arial" w:hAnsi="Arial" w:cs="Arial"/>
          <w:sz w:val="24"/>
          <w:szCs w:val="24"/>
        </w:rPr>
        <w:t xml:space="preserve">efore </w:t>
      </w:r>
      <w:r w:rsidR="004D57F2">
        <w:rPr>
          <w:rFonts w:ascii="Arial" w:hAnsi="Arial" w:cs="Arial"/>
          <w:sz w:val="24"/>
          <w:szCs w:val="24"/>
        </w:rPr>
        <w:t>reaching any decision on the said disputes</w:t>
      </w:r>
      <w:r w:rsidR="005D6B01">
        <w:rPr>
          <w:rFonts w:ascii="Arial" w:hAnsi="Arial" w:cs="Arial"/>
          <w:sz w:val="24"/>
          <w:szCs w:val="24"/>
        </w:rPr>
        <w:t xml:space="preserve">.  The plea </w:t>
      </w:r>
      <w:r w:rsidR="005D6B01" w:rsidRPr="00791173">
        <w:rPr>
          <w:rFonts w:ascii="Arial" w:hAnsi="Arial" w:cs="Arial"/>
          <w:i/>
          <w:sz w:val="24"/>
          <w:szCs w:val="24"/>
        </w:rPr>
        <w:t xml:space="preserve">in </w:t>
      </w:r>
      <w:proofErr w:type="spellStart"/>
      <w:r w:rsidR="005D6B01" w:rsidRPr="00791173">
        <w:rPr>
          <w:rFonts w:ascii="Arial" w:hAnsi="Arial" w:cs="Arial"/>
          <w:i/>
          <w:sz w:val="24"/>
          <w:szCs w:val="24"/>
        </w:rPr>
        <w:t>limine</w:t>
      </w:r>
      <w:proofErr w:type="spellEnd"/>
      <w:r w:rsidR="005D6B01">
        <w:rPr>
          <w:rFonts w:ascii="Arial" w:hAnsi="Arial" w:cs="Arial"/>
          <w:sz w:val="24"/>
          <w:szCs w:val="24"/>
        </w:rPr>
        <w:t xml:space="preserve"> under limb 1 is thus set aside.</w:t>
      </w:r>
    </w:p>
    <w:p w14:paraId="4EE5884A" w14:textId="58060B00" w:rsidR="00BF4A4C" w:rsidRDefault="00AD5250" w:rsidP="00AB3DEA">
      <w:pPr>
        <w:jc w:val="both"/>
        <w:rPr>
          <w:rFonts w:ascii="Arial" w:hAnsi="Arial" w:cs="Arial"/>
          <w:sz w:val="24"/>
          <w:szCs w:val="24"/>
        </w:rPr>
      </w:pPr>
      <w:r>
        <w:rPr>
          <w:rFonts w:ascii="Arial" w:hAnsi="Arial" w:cs="Arial"/>
          <w:sz w:val="24"/>
          <w:szCs w:val="24"/>
        </w:rPr>
        <w:t>T</w:t>
      </w:r>
      <w:r w:rsidR="005D6B01">
        <w:rPr>
          <w:rFonts w:ascii="Arial" w:hAnsi="Arial" w:cs="Arial"/>
          <w:sz w:val="24"/>
          <w:szCs w:val="24"/>
        </w:rPr>
        <w:t xml:space="preserve">he plea </w:t>
      </w:r>
      <w:r w:rsidR="005D6B01" w:rsidRPr="00791173">
        <w:rPr>
          <w:rFonts w:ascii="Arial" w:hAnsi="Arial" w:cs="Arial"/>
          <w:i/>
          <w:sz w:val="24"/>
          <w:szCs w:val="24"/>
        </w:rPr>
        <w:t xml:space="preserve">in </w:t>
      </w:r>
      <w:proofErr w:type="spellStart"/>
      <w:r w:rsidR="005D6B01" w:rsidRPr="00791173">
        <w:rPr>
          <w:rFonts w:ascii="Arial" w:hAnsi="Arial" w:cs="Arial"/>
          <w:i/>
          <w:sz w:val="24"/>
          <w:szCs w:val="24"/>
        </w:rPr>
        <w:t>limine</w:t>
      </w:r>
      <w:proofErr w:type="spellEnd"/>
      <w:r w:rsidR="005D6B01">
        <w:rPr>
          <w:rFonts w:ascii="Arial" w:hAnsi="Arial" w:cs="Arial"/>
          <w:sz w:val="24"/>
          <w:szCs w:val="24"/>
        </w:rPr>
        <w:t xml:space="preserve"> under limb 2</w:t>
      </w:r>
      <w:r>
        <w:rPr>
          <w:rFonts w:ascii="Arial" w:hAnsi="Arial" w:cs="Arial"/>
          <w:sz w:val="24"/>
          <w:szCs w:val="24"/>
        </w:rPr>
        <w:t xml:space="preserve"> is misconceived.  Indeed, </w:t>
      </w:r>
      <w:r w:rsidR="00BF4A4C">
        <w:rPr>
          <w:rFonts w:ascii="Arial" w:hAnsi="Arial" w:cs="Arial"/>
          <w:sz w:val="24"/>
          <w:szCs w:val="24"/>
        </w:rPr>
        <w:t xml:space="preserve">the averments made in the Statement of Case </w:t>
      </w:r>
      <w:r w:rsidR="004D57F2">
        <w:rPr>
          <w:rFonts w:ascii="Arial" w:hAnsi="Arial" w:cs="Arial"/>
          <w:sz w:val="24"/>
          <w:szCs w:val="24"/>
        </w:rPr>
        <w:t xml:space="preserve">of a disputant </w:t>
      </w:r>
      <w:r w:rsidR="00BF4A4C">
        <w:rPr>
          <w:rFonts w:ascii="Arial" w:hAnsi="Arial" w:cs="Arial"/>
          <w:sz w:val="24"/>
          <w:szCs w:val="24"/>
        </w:rPr>
        <w:t xml:space="preserve">are </w:t>
      </w:r>
      <w:r w:rsidR="00BF4A4C" w:rsidRPr="00A332F9">
        <w:rPr>
          <w:rFonts w:ascii="Arial" w:hAnsi="Arial" w:cs="Arial"/>
          <w:sz w:val="24"/>
          <w:szCs w:val="24"/>
        </w:rPr>
        <w:t>deemed</w:t>
      </w:r>
      <w:r w:rsidR="00BF4A4C">
        <w:rPr>
          <w:rFonts w:ascii="Arial" w:hAnsi="Arial" w:cs="Arial"/>
          <w:sz w:val="24"/>
          <w:szCs w:val="24"/>
        </w:rPr>
        <w:t xml:space="preserve"> to be accepted for the purposes of </w:t>
      </w:r>
      <w:r w:rsidR="001D6B08">
        <w:rPr>
          <w:rFonts w:ascii="Arial" w:hAnsi="Arial" w:cs="Arial"/>
          <w:sz w:val="24"/>
          <w:szCs w:val="24"/>
        </w:rPr>
        <w:t>dealing with a</w:t>
      </w:r>
      <w:r w:rsidR="00BF4A4C">
        <w:rPr>
          <w:rFonts w:ascii="Arial" w:hAnsi="Arial" w:cs="Arial"/>
          <w:sz w:val="24"/>
          <w:szCs w:val="24"/>
        </w:rPr>
        <w:t xml:space="preserve"> plea </w:t>
      </w:r>
      <w:r w:rsidR="00BF4A4C" w:rsidRPr="00791173">
        <w:rPr>
          <w:rFonts w:ascii="Arial" w:hAnsi="Arial" w:cs="Arial"/>
          <w:i/>
          <w:sz w:val="24"/>
          <w:szCs w:val="24"/>
        </w:rPr>
        <w:t xml:space="preserve">in </w:t>
      </w:r>
      <w:proofErr w:type="spellStart"/>
      <w:r w:rsidR="00BF4A4C" w:rsidRPr="00791173">
        <w:rPr>
          <w:rFonts w:ascii="Arial" w:hAnsi="Arial" w:cs="Arial"/>
          <w:i/>
          <w:sz w:val="24"/>
          <w:szCs w:val="24"/>
        </w:rPr>
        <w:t>limine</w:t>
      </w:r>
      <w:proofErr w:type="spellEnd"/>
      <w:r w:rsidR="00BF4A4C">
        <w:rPr>
          <w:rFonts w:ascii="Arial" w:hAnsi="Arial" w:cs="Arial"/>
          <w:sz w:val="24"/>
          <w:szCs w:val="24"/>
        </w:rPr>
        <w:t xml:space="preserve">.  </w:t>
      </w:r>
      <w:r w:rsidR="00D366F3">
        <w:rPr>
          <w:rFonts w:ascii="Arial" w:hAnsi="Arial" w:cs="Arial"/>
          <w:sz w:val="24"/>
          <w:szCs w:val="24"/>
        </w:rPr>
        <w:t>Ex facie, the Statements of Case and Reply filed, t</w:t>
      </w:r>
      <w:r w:rsidR="004D57F2">
        <w:rPr>
          <w:rFonts w:ascii="Arial" w:hAnsi="Arial" w:cs="Arial"/>
          <w:sz w:val="24"/>
          <w:szCs w:val="24"/>
        </w:rPr>
        <w:t xml:space="preserve">he validity period of the collective agreement of 2013 is </w:t>
      </w:r>
      <w:r w:rsidR="008A5622">
        <w:rPr>
          <w:rFonts w:ascii="Arial" w:hAnsi="Arial" w:cs="Arial"/>
          <w:sz w:val="24"/>
          <w:szCs w:val="24"/>
        </w:rPr>
        <w:t>dispu</w:t>
      </w:r>
      <w:r w:rsidR="00BF4A4C">
        <w:rPr>
          <w:rFonts w:ascii="Arial" w:hAnsi="Arial" w:cs="Arial"/>
          <w:sz w:val="24"/>
          <w:szCs w:val="24"/>
        </w:rPr>
        <w:t>ted between the parties</w:t>
      </w:r>
      <w:r w:rsidR="005E3359">
        <w:rPr>
          <w:rFonts w:ascii="Arial" w:hAnsi="Arial" w:cs="Arial"/>
          <w:sz w:val="24"/>
          <w:szCs w:val="24"/>
        </w:rPr>
        <w:t>.</w:t>
      </w:r>
      <w:r w:rsidR="004D57F2">
        <w:rPr>
          <w:rFonts w:ascii="Arial" w:hAnsi="Arial" w:cs="Arial"/>
          <w:sz w:val="24"/>
          <w:szCs w:val="24"/>
        </w:rPr>
        <w:t xml:space="preserve">  </w:t>
      </w:r>
      <w:r w:rsidR="00BF4A4C">
        <w:rPr>
          <w:rFonts w:ascii="Arial" w:hAnsi="Arial" w:cs="Arial"/>
          <w:sz w:val="24"/>
          <w:szCs w:val="24"/>
        </w:rPr>
        <w:t>The Tribunal will certainly not make any pronouncement on th</w:t>
      </w:r>
      <w:r w:rsidR="00D366F3">
        <w:rPr>
          <w:rFonts w:ascii="Arial" w:hAnsi="Arial" w:cs="Arial"/>
          <w:sz w:val="24"/>
          <w:szCs w:val="24"/>
        </w:rPr>
        <w:t>is issue</w:t>
      </w:r>
      <w:r w:rsidR="00574DC9">
        <w:rPr>
          <w:rFonts w:ascii="Arial" w:hAnsi="Arial" w:cs="Arial"/>
          <w:sz w:val="24"/>
          <w:szCs w:val="24"/>
        </w:rPr>
        <w:t xml:space="preserve"> </w:t>
      </w:r>
      <w:r w:rsidR="005F13FC">
        <w:rPr>
          <w:rFonts w:ascii="Arial" w:hAnsi="Arial" w:cs="Arial"/>
          <w:sz w:val="24"/>
          <w:szCs w:val="24"/>
        </w:rPr>
        <w:t xml:space="preserve">or any related issue </w:t>
      </w:r>
      <w:r w:rsidR="00BF4A4C">
        <w:rPr>
          <w:rFonts w:ascii="Arial" w:hAnsi="Arial" w:cs="Arial"/>
          <w:sz w:val="24"/>
          <w:szCs w:val="24"/>
        </w:rPr>
        <w:t xml:space="preserve">without having </w:t>
      </w:r>
      <w:r w:rsidR="005E3359">
        <w:rPr>
          <w:rFonts w:ascii="Arial" w:hAnsi="Arial" w:cs="Arial"/>
          <w:sz w:val="24"/>
          <w:szCs w:val="24"/>
        </w:rPr>
        <w:t xml:space="preserve">given the opportunity to all </w:t>
      </w:r>
      <w:r w:rsidR="004D57F2">
        <w:rPr>
          <w:rFonts w:ascii="Arial" w:hAnsi="Arial" w:cs="Arial"/>
          <w:sz w:val="24"/>
          <w:szCs w:val="24"/>
        </w:rPr>
        <w:t xml:space="preserve">parties, including </w:t>
      </w:r>
      <w:r w:rsidR="00BF4A4C">
        <w:rPr>
          <w:rFonts w:ascii="Arial" w:hAnsi="Arial" w:cs="Arial"/>
          <w:sz w:val="24"/>
          <w:szCs w:val="24"/>
        </w:rPr>
        <w:t>disputants</w:t>
      </w:r>
      <w:r w:rsidR="004D57F2">
        <w:rPr>
          <w:rFonts w:ascii="Arial" w:hAnsi="Arial" w:cs="Arial"/>
          <w:sz w:val="24"/>
          <w:szCs w:val="24"/>
        </w:rPr>
        <w:t xml:space="preserve">, to </w:t>
      </w:r>
      <w:r w:rsidR="00B608F7">
        <w:rPr>
          <w:rFonts w:ascii="Arial" w:hAnsi="Arial" w:cs="Arial"/>
          <w:sz w:val="24"/>
          <w:szCs w:val="24"/>
        </w:rPr>
        <w:t xml:space="preserve">be heard in relation to </w:t>
      </w:r>
      <w:r w:rsidR="004D57F2">
        <w:rPr>
          <w:rFonts w:ascii="Arial" w:hAnsi="Arial" w:cs="Arial"/>
          <w:sz w:val="24"/>
          <w:szCs w:val="24"/>
        </w:rPr>
        <w:t xml:space="preserve">same.  </w:t>
      </w:r>
      <w:r w:rsidR="00BF4A4C">
        <w:rPr>
          <w:rFonts w:ascii="Arial" w:hAnsi="Arial" w:cs="Arial"/>
          <w:sz w:val="24"/>
          <w:szCs w:val="24"/>
        </w:rPr>
        <w:t>Also, the case for the disputants is not exclusively based on the collective agreement</w:t>
      </w:r>
      <w:r w:rsidR="00D366F3">
        <w:rPr>
          <w:rFonts w:ascii="Arial" w:hAnsi="Arial" w:cs="Arial"/>
          <w:sz w:val="24"/>
          <w:szCs w:val="24"/>
        </w:rPr>
        <w:t>.  Thus</w:t>
      </w:r>
      <w:r w:rsidR="00445993">
        <w:rPr>
          <w:rFonts w:ascii="Arial" w:hAnsi="Arial" w:cs="Arial"/>
          <w:sz w:val="24"/>
          <w:szCs w:val="24"/>
        </w:rPr>
        <w:t>,</w:t>
      </w:r>
      <w:r w:rsidR="00BF4A4C">
        <w:rPr>
          <w:rFonts w:ascii="Arial" w:hAnsi="Arial" w:cs="Arial"/>
          <w:sz w:val="24"/>
          <w:szCs w:val="24"/>
        </w:rPr>
        <w:t xml:space="preserve"> </w:t>
      </w:r>
      <w:r w:rsidR="009B2314">
        <w:rPr>
          <w:rFonts w:ascii="Arial" w:hAnsi="Arial" w:cs="Arial"/>
          <w:sz w:val="24"/>
          <w:szCs w:val="24"/>
        </w:rPr>
        <w:t xml:space="preserve">the disputants rely, for example, on and refer at </w:t>
      </w:r>
      <w:r w:rsidR="00BF4A4C">
        <w:rPr>
          <w:rFonts w:ascii="Arial" w:hAnsi="Arial" w:cs="Arial"/>
          <w:sz w:val="24"/>
          <w:szCs w:val="24"/>
        </w:rPr>
        <w:t xml:space="preserve">paragraph </w:t>
      </w:r>
      <w:r w:rsidR="004B3145">
        <w:rPr>
          <w:rFonts w:ascii="Arial" w:hAnsi="Arial" w:cs="Arial"/>
          <w:sz w:val="24"/>
          <w:szCs w:val="24"/>
        </w:rPr>
        <w:t>3</w:t>
      </w:r>
      <w:r w:rsidR="00BF4A4C">
        <w:rPr>
          <w:rFonts w:ascii="Arial" w:hAnsi="Arial" w:cs="Arial"/>
          <w:sz w:val="24"/>
          <w:szCs w:val="24"/>
        </w:rPr>
        <w:t xml:space="preserve"> of the</w:t>
      </w:r>
      <w:r w:rsidR="009B2314">
        <w:rPr>
          <w:rFonts w:ascii="Arial" w:hAnsi="Arial" w:cs="Arial"/>
          <w:sz w:val="24"/>
          <w:szCs w:val="24"/>
        </w:rPr>
        <w:t>ir</w:t>
      </w:r>
      <w:r w:rsidR="00BF4A4C">
        <w:rPr>
          <w:rFonts w:ascii="Arial" w:hAnsi="Arial" w:cs="Arial"/>
          <w:sz w:val="24"/>
          <w:szCs w:val="24"/>
        </w:rPr>
        <w:t xml:space="preserve"> </w:t>
      </w:r>
      <w:r w:rsidR="008A5622">
        <w:rPr>
          <w:rFonts w:ascii="Arial" w:hAnsi="Arial" w:cs="Arial"/>
          <w:sz w:val="24"/>
          <w:szCs w:val="24"/>
        </w:rPr>
        <w:t>S</w:t>
      </w:r>
      <w:r w:rsidR="00BF4A4C">
        <w:rPr>
          <w:rFonts w:ascii="Arial" w:hAnsi="Arial" w:cs="Arial"/>
          <w:sz w:val="24"/>
          <w:szCs w:val="24"/>
        </w:rPr>
        <w:t>tatement</w:t>
      </w:r>
      <w:r w:rsidR="009B2314">
        <w:rPr>
          <w:rFonts w:ascii="Arial" w:hAnsi="Arial" w:cs="Arial"/>
          <w:sz w:val="24"/>
          <w:szCs w:val="24"/>
        </w:rPr>
        <w:t>s</w:t>
      </w:r>
      <w:r w:rsidR="00BF4A4C">
        <w:rPr>
          <w:rFonts w:ascii="Arial" w:hAnsi="Arial" w:cs="Arial"/>
          <w:sz w:val="24"/>
          <w:szCs w:val="24"/>
        </w:rPr>
        <w:t xml:space="preserve"> of </w:t>
      </w:r>
      <w:r w:rsidR="008A5622">
        <w:rPr>
          <w:rFonts w:ascii="Arial" w:hAnsi="Arial" w:cs="Arial"/>
          <w:sz w:val="24"/>
          <w:szCs w:val="24"/>
        </w:rPr>
        <w:t>C</w:t>
      </w:r>
      <w:r w:rsidR="00BF4A4C">
        <w:rPr>
          <w:rFonts w:ascii="Arial" w:hAnsi="Arial" w:cs="Arial"/>
          <w:sz w:val="24"/>
          <w:szCs w:val="24"/>
        </w:rPr>
        <w:t xml:space="preserve">ase to </w:t>
      </w:r>
      <w:r w:rsidR="00445993">
        <w:rPr>
          <w:rFonts w:ascii="Arial" w:hAnsi="Arial" w:cs="Arial"/>
          <w:sz w:val="24"/>
          <w:szCs w:val="24"/>
        </w:rPr>
        <w:t xml:space="preserve">the </w:t>
      </w:r>
      <w:r w:rsidR="005F13FC">
        <w:rPr>
          <w:rFonts w:ascii="Arial" w:hAnsi="Arial" w:cs="Arial"/>
          <w:sz w:val="24"/>
          <w:szCs w:val="24"/>
        </w:rPr>
        <w:t>above</w:t>
      </w:r>
      <w:r w:rsidR="00D612A3">
        <w:rPr>
          <w:rFonts w:ascii="Arial" w:hAnsi="Arial" w:cs="Arial"/>
          <w:sz w:val="24"/>
          <w:szCs w:val="24"/>
        </w:rPr>
        <w:t>-</w:t>
      </w:r>
      <w:r w:rsidR="005F13FC">
        <w:rPr>
          <w:rFonts w:ascii="Arial" w:hAnsi="Arial" w:cs="Arial"/>
          <w:sz w:val="24"/>
          <w:szCs w:val="24"/>
        </w:rPr>
        <w:t xml:space="preserve">mentioned </w:t>
      </w:r>
      <w:r w:rsidR="00445993">
        <w:rPr>
          <w:rFonts w:ascii="Arial" w:hAnsi="Arial" w:cs="Arial"/>
          <w:sz w:val="24"/>
          <w:szCs w:val="24"/>
        </w:rPr>
        <w:t>principle of ‘e</w:t>
      </w:r>
      <w:r w:rsidR="00BF4A4C">
        <w:rPr>
          <w:rFonts w:ascii="Arial" w:hAnsi="Arial" w:cs="Arial"/>
          <w:sz w:val="24"/>
          <w:szCs w:val="24"/>
        </w:rPr>
        <w:t xml:space="preserve">qual </w:t>
      </w:r>
      <w:r w:rsidR="00445993">
        <w:rPr>
          <w:rFonts w:ascii="Arial" w:hAnsi="Arial" w:cs="Arial"/>
          <w:sz w:val="24"/>
          <w:szCs w:val="24"/>
        </w:rPr>
        <w:t>r</w:t>
      </w:r>
      <w:r w:rsidR="004B3145">
        <w:rPr>
          <w:rFonts w:ascii="Arial" w:hAnsi="Arial" w:cs="Arial"/>
          <w:sz w:val="24"/>
          <w:szCs w:val="24"/>
        </w:rPr>
        <w:t xml:space="preserve">emuneration </w:t>
      </w:r>
      <w:r w:rsidR="00BF4A4C">
        <w:rPr>
          <w:rFonts w:ascii="Arial" w:hAnsi="Arial" w:cs="Arial"/>
          <w:sz w:val="24"/>
          <w:szCs w:val="24"/>
        </w:rPr>
        <w:t xml:space="preserve">for </w:t>
      </w:r>
      <w:r w:rsidR="00445993">
        <w:rPr>
          <w:rFonts w:ascii="Arial" w:hAnsi="Arial" w:cs="Arial"/>
          <w:sz w:val="24"/>
          <w:szCs w:val="24"/>
        </w:rPr>
        <w:t>w</w:t>
      </w:r>
      <w:r w:rsidR="00BF4A4C">
        <w:rPr>
          <w:rFonts w:ascii="Arial" w:hAnsi="Arial" w:cs="Arial"/>
          <w:sz w:val="24"/>
          <w:szCs w:val="24"/>
        </w:rPr>
        <w:t>ork</w:t>
      </w:r>
      <w:r w:rsidR="00445993">
        <w:rPr>
          <w:rFonts w:ascii="Arial" w:hAnsi="Arial" w:cs="Arial"/>
          <w:sz w:val="24"/>
          <w:szCs w:val="24"/>
        </w:rPr>
        <w:t xml:space="preserve"> of equal value’</w:t>
      </w:r>
      <w:r w:rsidR="00BF4A4C">
        <w:rPr>
          <w:rFonts w:ascii="Arial" w:hAnsi="Arial" w:cs="Arial"/>
          <w:sz w:val="24"/>
          <w:szCs w:val="24"/>
        </w:rPr>
        <w:t xml:space="preserve">.  </w:t>
      </w:r>
      <w:r w:rsidR="004D57F2">
        <w:rPr>
          <w:rFonts w:ascii="Arial" w:hAnsi="Arial" w:cs="Arial"/>
          <w:sz w:val="24"/>
          <w:szCs w:val="24"/>
        </w:rPr>
        <w:t>Moreover, t</w:t>
      </w:r>
      <w:r w:rsidR="00CC06B4">
        <w:rPr>
          <w:rFonts w:ascii="Arial" w:hAnsi="Arial" w:cs="Arial"/>
          <w:sz w:val="24"/>
          <w:szCs w:val="24"/>
        </w:rPr>
        <w:t>he terms of reference of the dispute</w:t>
      </w:r>
      <w:r w:rsidR="004D57F2">
        <w:rPr>
          <w:rFonts w:ascii="Arial" w:hAnsi="Arial" w:cs="Arial"/>
          <w:sz w:val="24"/>
          <w:szCs w:val="24"/>
        </w:rPr>
        <w:t>s</w:t>
      </w:r>
      <w:r w:rsidR="00CC06B4">
        <w:rPr>
          <w:rFonts w:ascii="Arial" w:hAnsi="Arial" w:cs="Arial"/>
          <w:sz w:val="24"/>
          <w:szCs w:val="24"/>
        </w:rPr>
        <w:t xml:space="preserve"> do not refer at all to the collective agreement.  </w:t>
      </w:r>
      <w:r w:rsidR="00BF4A4C">
        <w:rPr>
          <w:rFonts w:ascii="Arial" w:hAnsi="Arial" w:cs="Arial"/>
          <w:sz w:val="24"/>
          <w:szCs w:val="24"/>
        </w:rPr>
        <w:t xml:space="preserve">The plea </w:t>
      </w:r>
      <w:r w:rsidR="00BF4A4C" w:rsidRPr="00791173">
        <w:rPr>
          <w:rFonts w:ascii="Arial" w:hAnsi="Arial" w:cs="Arial"/>
          <w:i/>
          <w:sz w:val="24"/>
          <w:szCs w:val="24"/>
        </w:rPr>
        <w:t xml:space="preserve">in </w:t>
      </w:r>
      <w:proofErr w:type="spellStart"/>
      <w:r w:rsidR="00BF4A4C" w:rsidRPr="00791173">
        <w:rPr>
          <w:rFonts w:ascii="Arial" w:hAnsi="Arial" w:cs="Arial"/>
          <w:i/>
          <w:sz w:val="24"/>
          <w:szCs w:val="24"/>
        </w:rPr>
        <w:t>limine</w:t>
      </w:r>
      <w:proofErr w:type="spellEnd"/>
      <w:r w:rsidR="00BF4A4C">
        <w:rPr>
          <w:rFonts w:ascii="Arial" w:hAnsi="Arial" w:cs="Arial"/>
          <w:sz w:val="24"/>
          <w:szCs w:val="24"/>
        </w:rPr>
        <w:t xml:space="preserve"> under this limb also cannot stand and is set aside.</w:t>
      </w:r>
    </w:p>
    <w:p w14:paraId="5D916654" w14:textId="60690AD0" w:rsidR="00445993" w:rsidRDefault="00BF4A4C" w:rsidP="00AB3DEA">
      <w:pPr>
        <w:jc w:val="both"/>
        <w:rPr>
          <w:rFonts w:ascii="Arial" w:hAnsi="Arial" w:cs="Arial"/>
          <w:sz w:val="24"/>
          <w:szCs w:val="24"/>
        </w:rPr>
      </w:pPr>
      <w:r>
        <w:rPr>
          <w:rFonts w:ascii="Arial" w:hAnsi="Arial" w:cs="Arial"/>
          <w:sz w:val="24"/>
          <w:szCs w:val="24"/>
        </w:rPr>
        <w:t xml:space="preserve">As regards limb 3 of the plea </w:t>
      </w:r>
      <w:r w:rsidRPr="00791173">
        <w:rPr>
          <w:rFonts w:ascii="Arial" w:hAnsi="Arial" w:cs="Arial"/>
          <w:i/>
          <w:sz w:val="24"/>
          <w:szCs w:val="24"/>
        </w:rPr>
        <w:t xml:space="preserve">in </w:t>
      </w:r>
      <w:proofErr w:type="spellStart"/>
      <w:r w:rsidRPr="00791173">
        <w:rPr>
          <w:rFonts w:ascii="Arial" w:hAnsi="Arial" w:cs="Arial"/>
          <w:i/>
          <w:sz w:val="24"/>
          <w:szCs w:val="24"/>
        </w:rPr>
        <w:t>limine</w:t>
      </w:r>
      <w:proofErr w:type="spellEnd"/>
      <w:r>
        <w:rPr>
          <w:rFonts w:ascii="Arial" w:hAnsi="Arial" w:cs="Arial"/>
          <w:sz w:val="24"/>
          <w:szCs w:val="24"/>
        </w:rPr>
        <w:t xml:space="preserve">, </w:t>
      </w:r>
      <w:r w:rsidR="001D6B08">
        <w:rPr>
          <w:rFonts w:ascii="Arial" w:hAnsi="Arial" w:cs="Arial"/>
          <w:sz w:val="24"/>
          <w:szCs w:val="24"/>
        </w:rPr>
        <w:t>the Tribunal,</w:t>
      </w:r>
      <w:r w:rsidR="00CC06B4">
        <w:rPr>
          <w:rFonts w:ascii="Arial" w:hAnsi="Arial" w:cs="Arial"/>
          <w:sz w:val="24"/>
          <w:szCs w:val="24"/>
        </w:rPr>
        <w:t xml:space="preserve"> again</w:t>
      </w:r>
      <w:r w:rsidR="001D6B08">
        <w:rPr>
          <w:rFonts w:ascii="Arial" w:hAnsi="Arial" w:cs="Arial"/>
          <w:sz w:val="24"/>
          <w:szCs w:val="24"/>
        </w:rPr>
        <w:t>,</w:t>
      </w:r>
      <w:r w:rsidR="00CC06B4">
        <w:rPr>
          <w:rFonts w:ascii="Arial" w:hAnsi="Arial" w:cs="Arial"/>
          <w:sz w:val="24"/>
          <w:szCs w:val="24"/>
        </w:rPr>
        <w:t xml:space="preserve"> </w:t>
      </w:r>
      <w:r w:rsidR="001D6B08">
        <w:rPr>
          <w:rFonts w:ascii="Arial" w:hAnsi="Arial" w:cs="Arial"/>
          <w:sz w:val="24"/>
          <w:szCs w:val="24"/>
        </w:rPr>
        <w:t xml:space="preserve">finds </w:t>
      </w:r>
      <w:r w:rsidR="00CC06B4">
        <w:rPr>
          <w:rFonts w:ascii="Arial" w:hAnsi="Arial" w:cs="Arial"/>
          <w:sz w:val="24"/>
          <w:szCs w:val="24"/>
        </w:rPr>
        <w:t>no reference at all in the terms of reference to the collective agreement.  The disputants have raised a dispute which pertains to the</w:t>
      </w:r>
      <w:r w:rsidR="009B2314">
        <w:rPr>
          <w:rFonts w:ascii="Arial" w:hAnsi="Arial" w:cs="Arial"/>
          <w:sz w:val="24"/>
          <w:szCs w:val="24"/>
        </w:rPr>
        <w:t>ir</w:t>
      </w:r>
      <w:r w:rsidR="00CC06B4">
        <w:rPr>
          <w:rFonts w:ascii="Arial" w:hAnsi="Arial" w:cs="Arial"/>
          <w:sz w:val="24"/>
          <w:szCs w:val="24"/>
        </w:rPr>
        <w:t xml:space="preserve"> terms and conditions of employment and this falls squarely within the definition of what can constitute a </w:t>
      </w:r>
      <w:proofErr w:type="spellStart"/>
      <w:r w:rsidR="00CC06B4">
        <w:rPr>
          <w:rFonts w:ascii="Arial" w:hAnsi="Arial" w:cs="Arial"/>
          <w:sz w:val="24"/>
          <w:szCs w:val="24"/>
        </w:rPr>
        <w:t>labour</w:t>
      </w:r>
      <w:proofErr w:type="spellEnd"/>
      <w:r w:rsidR="00CC06B4">
        <w:rPr>
          <w:rFonts w:ascii="Arial" w:hAnsi="Arial" w:cs="Arial"/>
          <w:sz w:val="24"/>
          <w:szCs w:val="24"/>
        </w:rPr>
        <w:t xml:space="preserve"> dispute under the Act.  There is no evidence that the dispute </w:t>
      </w:r>
      <w:r w:rsidR="004D3477">
        <w:rPr>
          <w:rFonts w:ascii="Arial" w:hAnsi="Arial" w:cs="Arial"/>
          <w:sz w:val="24"/>
          <w:szCs w:val="24"/>
        </w:rPr>
        <w:t>relates to any issue which is covered by se</w:t>
      </w:r>
      <w:r w:rsidR="00CC06B4">
        <w:rPr>
          <w:rFonts w:ascii="Arial" w:hAnsi="Arial" w:cs="Arial"/>
          <w:sz w:val="24"/>
          <w:szCs w:val="24"/>
        </w:rPr>
        <w:t xml:space="preserve">ction </w:t>
      </w:r>
      <w:r w:rsidR="004D3477">
        <w:rPr>
          <w:rFonts w:ascii="Arial" w:hAnsi="Arial" w:cs="Arial"/>
          <w:sz w:val="24"/>
          <w:szCs w:val="24"/>
        </w:rPr>
        <w:t>71</w:t>
      </w:r>
      <w:r w:rsidR="00CC06B4">
        <w:rPr>
          <w:rFonts w:ascii="Arial" w:hAnsi="Arial" w:cs="Arial"/>
          <w:sz w:val="24"/>
          <w:szCs w:val="24"/>
        </w:rPr>
        <w:t xml:space="preserve"> of the Act.  The Tribunal will not, at this stage, make any assumption that the disputants are trying to enforce a dispute under the collective agreement when the terms of reference do not refer at all to any collective agreement and that</w:t>
      </w:r>
      <w:r w:rsidR="00CA1DD8">
        <w:rPr>
          <w:rFonts w:ascii="Arial" w:hAnsi="Arial" w:cs="Arial"/>
          <w:sz w:val="24"/>
          <w:szCs w:val="24"/>
        </w:rPr>
        <w:t>,</w:t>
      </w:r>
      <w:r w:rsidR="00CC06B4">
        <w:rPr>
          <w:rFonts w:ascii="Arial" w:hAnsi="Arial" w:cs="Arial"/>
          <w:sz w:val="24"/>
          <w:szCs w:val="24"/>
        </w:rPr>
        <w:t xml:space="preserve"> instead</w:t>
      </w:r>
      <w:r w:rsidR="00CA1DD8">
        <w:rPr>
          <w:rFonts w:ascii="Arial" w:hAnsi="Arial" w:cs="Arial"/>
          <w:sz w:val="24"/>
          <w:szCs w:val="24"/>
        </w:rPr>
        <w:t>,</w:t>
      </w:r>
      <w:r w:rsidR="00CC06B4">
        <w:rPr>
          <w:rFonts w:ascii="Arial" w:hAnsi="Arial" w:cs="Arial"/>
          <w:sz w:val="24"/>
          <w:szCs w:val="24"/>
        </w:rPr>
        <w:t xml:space="preserve"> in the </w:t>
      </w:r>
      <w:r w:rsidR="00CA1DD8">
        <w:rPr>
          <w:rFonts w:ascii="Arial" w:hAnsi="Arial" w:cs="Arial"/>
          <w:sz w:val="24"/>
          <w:szCs w:val="24"/>
        </w:rPr>
        <w:t>S</w:t>
      </w:r>
      <w:r w:rsidR="00CC06B4">
        <w:rPr>
          <w:rFonts w:ascii="Arial" w:hAnsi="Arial" w:cs="Arial"/>
          <w:sz w:val="24"/>
          <w:szCs w:val="24"/>
        </w:rPr>
        <w:t xml:space="preserve">tatements of </w:t>
      </w:r>
      <w:r w:rsidR="00CA1DD8">
        <w:rPr>
          <w:rFonts w:ascii="Arial" w:hAnsi="Arial" w:cs="Arial"/>
          <w:sz w:val="24"/>
          <w:szCs w:val="24"/>
        </w:rPr>
        <w:t>C</w:t>
      </w:r>
      <w:r w:rsidR="00CC06B4">
        <w:rPr>
          <w:rFonts w:ascii="Arial" w:hAnsi="Arial" w:cs="Arial"/>
          <w:sz w:val="24"/>
          <w:szCs w:val="24"/>
        </w:rPr>
        <w:t xml:space="preserve">ase of the disputants, the principle of </w:t>
      </w:r>
      <w:r w:rsidR="009649F7">
        <w:rPr>
          <w:rFonts w:ascii="Arial" w:hAnsi="Arial" w:cs="Arial"/>
          <w:sz w:val="24"/>
          <w:szCs w:val="24"/>
        </w:rPr>
        <w:t xml:space="preserve">‘equal </w:t>
      </w:r>
      <w:r w:rsidR="004D3477">
        <w:rPr>
          <w:rFonts w:ascii="Arial" w:hAnsi="Arial" w:cs="Arial"/>
          <w:sz w:val="24"/>
          <w:szCs w:val="24"/>
        </w:rPr>
        <w:t xml:space="preserve">remuneration </w:t>
      </w:r>
      <w:r w:rsidR="009649F7">
        <w:rPr>
          <w:rFonts w:ascii="Arial" w:hAnsi="Arial" w:cs="Arial"/>
          <w:sz w:val="24"/>
          <w:szCs w:val="24"/>
        </w:rPr>
        <w:t>for work of equal value’</w:t>
      </w:r>
      <w:r w:rsidR="00CA1DD8">
        <w:rPr>
          <w:rFonts w:ascii="Arial" w:hAnsi="Arial" w:cs="Arial"/>
          <w:sz w:val="24"/>
          <w:szCs w:val="24"/>
        </w:rPr>
        <w:t xml:space="preserve"> is being relied upon</w:t>
      </w:r>
      <w:r w:rsidR="009649F7">
        <w:rPr>
          <w:rFonts w:ascii="Arial" w:hAnsi="Arial" w:cs="Arial"/>
          <w:sz w:val="24"/>
          <w:szCs w:val="24"/>
        </w:rPr>
        <w:t>.</w:t>
      </w:r>
    </w:p>
    <w:p w14:paraId="0FD65041" w14:textId="22FEF2D6" w:rsidR="0021298F" w:rsidRDefault="00CA1DD8" w:rsidP="00AB3DEA">
      <w:pPr>
        <w:jc w:val="both"/>
        <w:rPr>
          <w:rFonts w:ascii="Arial" w:hAnsi="Arial" w:cs="Arial"/>
          <w:sz w:val="24"/>
          <w:szCs w:val="24"/>
        </w:rPr>
      </w:pPr>
      <w:r>
        <w:rPr>
          <w:rFonts w:ascii="Arial" w:hAnsi="Arial" w:cs="Arial"/>
          <w:sz w:val="24"/>
          <w:szCs w:val="24"/>
        </w:rPr>
        <w:t>In any event</w:t>
      </w:r>
      <w:r w:rsidR="00445993">
        <w:rPr>
          <w:rFonts w:ascii="Arial" w:hAnsi="Arial" w:cs="Arial"/>
          <w:sz w:val="24"/>
          <w:szCs w:val="24"/>
        </w:rPr>
        <w:t xml:space="preserve"> </w:t>
      </w:r>
      <w:r w:rsidR="008A5622">
        <w:rPr>
          <w:rFonts w:ascii="Arial" w:hAnsi="Arial" w:cs="Arial"/>
          <w:sz w:val="24"/>
          <w:szCs w:val="24"/>
        </w:rPr>
        <w:t xml:space="preserve">and even if reference is made to a collective agreement, </w:t>
      </w:r>
      <w:r w:rsidR="00445993">
        <w:rPr>
          <w:rFonts w:ascii="Arial" w:hAnsi="Arial" w:cs="Arial"/>
          <w:sz w:val="24"/>
          <w:szCs w:val="24"/>
        </w:rPr>
        <w:t xml:space="preserve">the Tribunal will </w:t>
      </w:r>
      <w:r w:rsidR="0021298F">
        <w:rPr>
          <w:rFonts w:ascii="Arial" w:hAnsi="Arial" w:cs="Arial"/>
          <w:sz w:val="24"/>
          <w:szCs w:val="24"/>
        </w:rPr>
        <w:t>refer to section 56(1) of the Act which provides as follows:</w:t>
      </w:r>
    </w:p>
    <w:p w14:paraId="659D8599" w14:textId="0909C091" w:rsidR="0021298F" w:rsidRDefault="0021298F" w:rsidP="00AB3DEA">
      <w:pPr>
        <w:jc w:val="both"/>
        <w:rPr>
          <w:rFonts w:ascii="Arial" w:hAnsi="Arial" w:cs="Arial"/>
          <w:b/>
          <w:sz w:val="24"/>
          <w:szCs w:val="24"/>
        </w:rPr>
      </w:pPr>
      <w:r w:rsidRPr="0021298F">
        <w:rPr>
          <w:rFonts w:ascii="Arial" w:hAnsi="Arial" w:cs="Arial"/>
          <w:b/>
          <w:sz w:val="24"/>
          <w:szCs w:val="24"/>
        </w:rPr>
        <w:t>56</w:t>
      </w:r>
      <w:r>
        <w:rPr>
          <w:rFonts w:ascii="Arial" w:hAnsi="Arial" w:cs="Arial"/>
          <w:b/>
          <w:sz w:val="24"/>
          <w:szCs w:val="24"/>
        </w:rPr>
        <w:t>.</w:t>
      </w:r>
      <w:r w:rsidRPr="0021298F">
        <w:rPr>
          <w:rFonts w:ascii="Arial" w:hAnsi="Arial" w:cs="Arial"/>
          <w:b/>
          <w:sz w:val="24"/>
          <w:szCs w:val="24"/>
        </w:rPr>
        <w:t xml:space="preserve"> Application of collective agreement </w:t>
      </w:r>
    </w:p>
    <w:p w14:paraId="562D3D10" w14:textId="6014557D" w:rsidR="0021298F" w:rsidRDefault="0021298F" w:rsidP="00AB3DEA">
      <w:pPr>
        <w:jc w:val="both"/>
        <w:rPr>
          <w:rFonts w:ascii="Arial" w:hAnsi="Arial" w:cs="Arial"/>
          <w:sz w:val="24"/>
          <w:szCs w:val="24"/>
        </w:rPr>
      </w:pPr>
      <w:r w:rsidRPr="0021298F">
        <w:rPr>
          <w:rFonts w:ascii="Arial" w:hAnsi="Arial" w:cs="Arial"/>
          <w:sz w:val="24"/>
          <w:szCs w:val="24"/>
        </w:rPr>
        <w:t xml:space="preserve">(1) A </w:t>
      </w:r>
      <w:r>
        <w:rPr>
          <w:rFonts w:ascii="Arial" w:hAnsi="Arial" w:cs="Arial"/>
          <w:sz w:val="24"/>
          <w:szCs w:val="24"/>
        </w:rPr>
        <w:t>collective agreement shall bind-</w:t>
      </w:r>
    </w:p>
    <w:p w14:paraId="4F238C00" w14:textId="77777777" w:rsidR="0021298F" w:rsidRDefault="0021298F" w:rsidP="0021298F">
      <w:pPr>
        <w:ind w:firstLine="720"/>
        <w:jc w:val="both"/>
        <w:rPr>
          <w:rFonts w:ascii="Arial" w:hAnsi="Arial" w:cs="Arial"/>
          <w:sz w:val="24"/>
          <w:szCs w:val="24"/>
        </w:rPr>
      </w:pPr>
      <w:r>
        <w:rPr>
          <w:rFonts w:ascii="Arial" w:hAnsi="Arial" w:cs="Arial"/>
          <w:sz w:val="24"/>
          <w:szCs w:val="24"/>
        </w:rPr>
        <w:t xml:space="preserve">(a) the parties to the agreement; and </w:t>
      </w:r>
    </w:p>
    <w:p w14:paraId="6C4D5409" w14:textId="77777777" w:rsidR="002C7DA5" w:rsidRDefault="0021298F" w:rsidP="0021298F">
      <w:pPr>
        <w:ind w:firstLine="720"/>
        <w:jc w:val="both"/>
        <w:rPr>
          <w:rFonts w:ascii="Arial" w:hAnsi="Arial" w:cs="Arial"/>
          <w:sz w:val="24"/>
          <w:szCs w:val="24"/>
        </w:rPr>
      </w:pPr>
      <w:r>
        <w:rPr>
          <w:rFonts w:ascii="Arial" w:hAnsi="Arial" w:cs="Arial"/>
          <w:sz w:val="24"/>
          <w:szCs w:val="24"/>
        </w:rPr>
        <w:t>(b) all the workers in the bargaining unit to which the agreement applies.</w:t>
      </w:r>
    </w:p>
    <w:p w14:paraId="503017F8" w14:textId="183B0605" w:rsidR="0021298F" w:rsidRDefault="002C7DA5" w:rsidP="002C7DA5">
      <w:pPr>
        <w:jc w:val="both"/>
        <w:rPr>
          <w:rFonts w:ascii="Arial" w:hAnsi="Arial" w:cs="Arial"/>
          <w:sz w:val="24"/>
          <w:szCs w:val="24"/>
        </w:rPr>
      </w:pPr>
      <w:r>
        <w:rPr>
          <w:rFonts w:ascii="Arial" w:hAnsi="Arial" w:cs="Arial"/>
          <w:sz w:val="24"/>
          <w:szCs w:val="24"/>
        </w:rPr>
        <w:t xml:space="preserve">In the case of </w:t>
      </w:r>
      <w:r w:rsidRPr="002C7DA5">
        <w:rPr>
          <w:rFonts w:ascii="Arial" w:hAnsi="Arial" w:cs="Arial"/>
          <w:b/>
          <w:sz w:val="24"/>
          <w:szCs w:val="24"/>
        </w:rPr>
        <w:t xml:space="preserve">State Bank of Mauritius Limited v </w:t>
      </w:r>
      <w:proofErr w:type="spellStart"/>
      <w:proofErr w:type="gramStart"/>
      <w:r w:rsidRPr="002C7DA5">
        <w:rPr>
          <w:rFonts w:ascii="Arial" w:hAnsi="Arial" w:cs="Arial"/>
          <w:b/>
          <w:sz w:val="24"/>
          <w:szCs w:val="24"/>
        </w:rPr>
        <w:t>A.Jagessur</w:t>
      </w:r>
      <w:proofErr w:type="spellEnd"/>
      <w:proofErr w:type="gramEnd"/>
      <w:r w:rsidRPr="002C7DA5">
        <w:rPr>
          <w:rFonts w:ascii="Arial" w:hAnsi="Arial" w:cs="Arial"/>
          <w:b/>
          <w:sz w:val="24"/>
          <w:szCs w:val="24"/>
        </w:rPr>
        <w:t xml:space="preserve"> 2008 SCJ 8</w:t>
      </w:r>
      <w:r>
        <w:rPr>
          <w:rFonts w:ascii="Arial" w:hAnsi="Arial" w:cs="Arial"/>
          <w:sz w:val="24"/>
          <w:szCs w:val="24"/>
        </w:rPr>
        <w:t>, the Supreme Court stated the following:</w:t>
      </w:r>
      <w:r w:rsidR="0021298F">
        <w:rPr>
          <w:rFonts w:ascii="Arial" w:hAnsi="Arial" w:cs="Arial"/>
          <w:sz w:val="24"/>
          <w:szCs w:val="24"/>
        </w:rPr>
        <w:t xml:space="preserve">   </w:t>
      </w:r>
    </w:p>
    <w:p w14:paraId="6BE49CE1" w14:textId="667D242B" w:rsidR="0087442D" w:rsidRPr="0015231C" w:rsidRDefault="002C7DA5" w:rsidP="002C7DA5">
      <w:pPr>
        <w:jc w:val="both"/>
        <w:rPr>
          <w:rFonts w:ascii="Arial" w:hAnsi="Arial" w:cs="Arial"/>
          <w:i/>
          <w:sz w:val="24"/>
          <w:szCs w:val="24"/>
          <w:lang w:val="fr-FR"/>
        </w:rPr>
      </w:pPr>
      <w:r w:rsidRPr="0087442D">
        <w:rPr>
          <w:rFonts w:ascii="Arial" w:hAnsi="Arial" w:cs="Arial"/>
          <w:i/>
          <w:sz w:val="24"/>
          <w:szCs w:val="24"/>
        </w:rPr>
        <w:t xml:space="preserve">It is important to note that contract negotiation and conclusion has remained a matter of individual choice.  However, where there is a collective agreement, it creates a </w:t>
      </w:r>
      <w:r w:rsidRPr="0087442D">
        <w:rPr>
          <w:rFonts w:ascii="Arial" w:hAnsi="Arial" w:cs="Arial"/>
          <w:b/>
          <w:i/>
          <w:sz w:val="24"/>
          <w:szCs w:val="24"/>
        </w:rPr>
        <w:t>“régime de travail”</w:t>
      </w:r>
      <w:r w:rsidRPr="0087442D">
        <w:rPr>
          <w:rFonts w:ascii="Arial" w:hAnsi="Arial" w:cs="Arial"/>
          <w:i/>
          <w:sz w:val="24"/>
          <w:szCs w:val="24"/>
        </w:rPr>
        <w:t xml:space="preserve"> where individual choices are relegated to collective choice.  </w:t>
      </w:r>
      <w:r w:rsidRPr="0015231C">
        <w:rPr>
          <w:rFonts w:ascii="Arial" w:hAnsi="Arial" w:cs="Arial"/>
          <w:i/>
          <w:sz w:val="24"/>
          <w:szCs w:val="24"/>
          <w:lang w:val="fr-FR"/>
        </w:rPr>
        <w:t>As Ré</w:t>
      </w:r>
      <w:r w:rsidR="0087442D" w:rsidRPr="0015231C">
        <w:rPr>
          <w:rFonts w:ascii="Arial" w:hAnsi="Arial" w:cs="Arial"/>
          <w:i/>
          <w:sz w:val="24"/>
          <w:szCs w:val="24"/>
          <w:lang w:val="fr-FR"/>
        </w:rPr>
        <w:t>pertoire Travail Dalloz, Conventions</w:t>
      </w:r>
      <w:r w:rsidRPr="0015231C">
        <w:rPr>
          <w:rFonts w:ascii="Arial" w:hAnsi="Arial" w:cs="Arial"/>
          <w:i/>
          <w:sz w:val="24"/>
          <w:szCs w:val="24"/>
          <w:lang w:val="fr-FR"/>
        </w:rPr>
        <w:t xml:space="preserve"> </w:t>
      </w:r>
      <w:r w:rsidR="0087442D" w:rsidRPr="0015231C">
        <w:rPr>
          <w:rFonts w:ascii="Arial" w:hAnsi="Arial" w:cs="Arial"/>
          <w:i/>
          <w:sz w:val="24"/>
          <w:szCs w:val="24"/>
          <w:lang w:val="fr-FR"/>
        </w:rPr>
        <w:t>et Accords</w:t>
      </w:r>
      <w:r w:rsidRPr="0015231C">
        <w:rPr>
          <w:rFonts w:ascii="Arial" w:hAnsi="Arial" w:cs="Arial"/>
          <w:i/>
          <w:sz w:val="24"/>
          <w:szCs w:val="24"/>
          <w:lang w:val="fr-FR"/>
        </w:rPr>
        <w:t xml:space="preserve"> </w:t>
      </w:r>
      <w:r w:rsidR="0087442D" w:rsidRPr="0015231C">
        <w:rPr>
          <w:rFonts w:ascii="Arial" w:hAnsi="Arial" w:cs="Arial"/>
          <w:i/>
          <w:sz w:val="24"/>
          <w:szCs w:val="24"/>
          <w:lang w:val="fr-FR"/>
        </w:rPr>
        <w:t xml:space="preserve">(Régime Juridique), </w:t>
      </w:r>
      <w:proofErr w:type="spellStart"/>
      <w:r w:rsidR="0087442D" w:rsidRPr="0015231C">
        <w:rPr>
          <w:rFonts w:ascii="Arial" w:hAnsi="Arial" w:cs="Arial"/>
          <w:i/>
          <w:sz w:val="24"/>
          <w:szCs w:val="24"/>
          <w:lang w:val="fr-FR"/>
        </w:rPr>
        <w:t>paragraph</w:t>
      </w:r>
      <w:proofErr w:type="spellEnd"/>
      <w:r w:rsidR="0087442D" w:rsidRPr="0015231C">
        <w:rPr>
          <w:rFonts w:ascii="Arial" w:hAnsi="Arial" w:cs="Arial"/>
          <w:i/>
          <w:sz w:val="24"/>
          <w:szCs w:val="24"/>
          <w:lang w:val="fr-FR"/>
        </w:rPr>
        <w:t xml:space="preserve"> 97 </w:t>
      </w:r>
      <w:proofErr w:type="gramStart"/>
      <w:r w:rsidR="0087442D" w:rsidRPr="0015231C">
        <w:rPr>
          <w:rFonts w:ascii="Arial" w:hAnsi="Arial" w:cs="Arial"/>
          <w:i/>
          <w:sz w:val="24"/>
          <w:szCs w:val="24"/>
          <w:lang w:val="fr-FR"/>
        </w:rPr>
        <w:t>states:</w:t>
      </w:r>
      <w:proofErr w:type="gramEnd"/>
    </w:p>
    <w:p w14:paraId="2B62BDD7" w14:textId="6BDBB35F" w:rsidR="002C7DA5" w:rsidRPr="0015231C" w:rsidRDefault="0087442D" w:rsidP="002C7DA5">
      <w:pPr>
        <w:jc w:val="both"/>
        <w:rPr>
          <w:rFonts w:ascii="Arial" w:hAnsi="Arial" w:cs="Arial"/>
          <w:i/>
          <w:sz w:val="24"/>
          <w:szCs w:val="24"/>
          <w:lang w:val="fr-FR"/>
        </w:rPr>
      </w:pPr>
      <w:r w:rsidRPr="0015231C">
        <w:rPr>
          <w:rFonts w:ascii="Arial" w:hAnsi="Arial" w:cs="Arial"/>
          <w:i/>
          <w:sz w:val="24"/>
          <w:szCs w:val="24"/>
          <w:lang w:val="fr-FR"/>
        </w:rPr>
        <w:t xml:space="preserve">“Définissant un régime de travail, la Convention ou l’accord collectif du travail a, notamment, pour objet de fixer les conditions auxquelles doivent répondre les contrats individuels de travail.”    </w:t>
      </w:r>
      <w:r w:rsidR="002C7DA5" w:rsidRPr="0015231C">
        <w:rPr>
          <w:rFonts w:ascii="Arial" w:hAnsi="Arial" w:cs="Arial"/>
          <w:i/>
          <w:sz w:val="24"/>
          <w:szCs w:val="24"/>
          <w:lang w:val="fr-FR"/>
        </w:rPr>
        <w:t xml:space="preserve">   </w:t>
      </w:r>
    </w:p>
    <w:p w14:paraId="18F057E9" w14:textId="5BD68812" w:rsidR="0087442D" w:rsidRDefault="0087442D" w:rsidP="00AB3DEA">
      <w:pPr>
        <w:jc w:val="both"/>
        <w:rPr>
          <w:rFonts w:ascii="Arial" w:hAnsi="Arial" w:cs="Arial"/>
          <w:sz w:val="24"/>
          <w:szCs w:val="24"/>
        </w:rPr>
      </w:pPr>
      <w:r>
        <w:rPr>
          <w:rFonts w:ascii="Arial" w:hAnsi="Arial" w:cs="Arial"/>
          <w:sz w:val="24"/>
          <w:szCs w:val="24"/>
        </w:rPr>
        <w:t xml:space="preserve">Thus, there is nothing so far on record which </w:t>
      </w:r>
      <w:r w:rsidR="00035054">
        <w:rPr>
          <w:rFonts w:ascii="Arial" w:hAnsi="Arial" w:cs="Arial"/>
          <w:sz w:val="24"/>
          <w:szCs w:val="24"/>
        </w:rPr>
        <w:t xml:space="preserve">shows that the disputants have no locus </w:t>
      </w:r>
      <w:r w:rsidR="004D57F2">
        <w:rPr>
          <w:rFonts w:ascii="Arial" w:hAnsi="Arial" w:cs="Arial"/>
          <w:sz w:val="24"/>
          <w:szCs w:val="24"/>
        </w:rPr>
        <w:t xml:space="preserve">‘to decide’ </w:t>
      </w:r>
      <w:r w:rsidR="00035054">
        <w:rPr>
          <w:rFonts w:ascii="Arial" w:hAnsi="Arial" w:cs="Arial"/>
          <w:sz w:val="24"/>
          <w:szCs w:val="24"/>
        </w:rPr>
        <w:t xml:space="preserve">or cannot report the present disputes.  </w:t>
      </w:r>
    </w:p>
    <w:p w14:paraId="5601AA47" w14:textId="643C58DD" w:rsidR="009649F7" w:rsidRDefault="009649F7" w:rsidP="00AB3DEA">
      <w:pPr>
        <w:jc w:val="both"/>
        <w:rPr>
          <w:rFonts w:ascii="Arial" w:hAnsi="Arial" w:cs="Arial"/>
          <w:sz w:val="24"/>
          <w:szCs w:val="24"/>
        </w:rPr>
      </w:pPr>
      <w:r>
        <w:rPr>
          <w:rFonts w:ascii="Arial" w:hAnsi="Arial" w:cs="Arial"/>
          <w:sz w:val="24"/>
          <w:szCs w:val="24"/>
        </w:rPr>
        <w:t xml:space="preserve">The plea </w:t>
      </w:r>
      <w:r w:rsidRPr="00791173">
        <w:rPr>
          <w:rFonts w:ascii="Arial" w:hAnsi="Arial" w:cs="Arial"/>
          <w:i/>
          <w:sz w:val="24"/>
          <w:szCs w:val="24"/>
        </w:rPr>
        <w:t xml:space="preserve">in </w:t>
      </w:r>
      <w:proofErr w:type="spellStart"/>
      <w:r w:rsidRPr="00791173">
        <w:rPr>
          <w:rFonts w:ascii="Arial" w:hAnsi="Arial" w:cs="Arial"/>
          <w:i/>
          <w:sz w:val="24"/>
          <w:szCs w:val="24"/>
        </w:rPr>
        <w:t>limine</w:t>
      </w:r>
      <w:proofErr w:type="spellEnd"/>
      <w:r>
        <w:rPr>
          <w:rFonts w:ascii="Arial" w:hAnsi="Arial" w:cs="Arial"/>
          <w:sz w:val="24"/>
          <w:szCs w:val="24"/>
        </w:rPr>
        <w:t xml:space="preserve"> under this limb is at best premature and is </w:t>
      </w:r>
      <w:r w:rsidR="00445993">
        <w:rPr>
          <w:rFonts w:ascii="Arial" w:hAnsi="Arial" w:cs="Arial"/>
          <w:sz w:val="24"/>
          <w:szCs w:val="24"/>
        </w:rPr>
        <w:t xml:space="preserve">also </w:t>
      </w:r>
      <w:r>
        <w:rPr>
          <w:rFonts w:ascii="Arial" w:hAnsi="Arial" w:cs="Arial"/>
          <w:sz w:val="24"/>
          <w:szCs w:val="24"/>
        </w:rPr>
        <w:t xml:space="preserve">set aside. </w:t>
      </w:r>
    </w:p>
    <w:p w14:paraId="69FEEF2C" w14:textId="502EF98C" w:rsidR="00BF4A4C" w:rsidRDefault="009649F7" w:rsidP="00AB3DEA">
      <w:pPr>
        <w:jc w:val="both"/>
        <w:rPr>
          <w:rFonts w:ascii="Arial" w:hAnsi="Arial" w:cs="Arial"/>
          <w:sz w:val="24"/>
          <w:szCs w:val="24"/>
        </w:rPr>
      </w:pPr>
      <w:r>
        <w:rPr>
          <w:rFonts w:ascii="Arial" w:hAnsi="Arial" w:cs="Arial"/>
          <w:sz w:val="24"/>
          <w:szCs w:val="24"/>
        </w:rPr>
        <w:t xml:space="preserve">For all the reasons given above, the Tribunal will </w:t>
      </w:r>
      <w:r w:rsidR="00445993">
        <w:rPr>
          <w:rFonts w:ascii="Arial" w:hAnsi="Arial" w:cs="Arial"/>
          <w:sz w:val="24"/>
          <w:szCs w:val="24"/>
        </w:rPr>
        <w:t xml:space="preserve">thus </w:t>
      </w:r>
      <w:r>
        <w:rPr>
          <w:rFonts w:ascii="Arial" w:hAnsi="Arial" w:cs="Arial"/>
          <w:sz w:val="24"/>
          <w:szCs w:val="24"/>
        </w:rPr>
        <w:t xml:space="preserve">proceed to hear the </w:t>
      </w:r>
      <w:r w:rsidR="004D57F2">
        <w:rPr>
          <w:rFonts w:ascii="Arial" w:hAnsi="Arial" w:cs="Arial"/>
          <w:sz w:val="24"/>
          <w:szCs w:val="24"/>
        </w:rPr>
        <w:t xml:space="preserve">consolidated </w:t>
      </w:r>
      <w:r>
        <w:rPr>
          <w:rFonts w:ascii="Arial" w:hAnsi="Arial" w:cs="Arial"/>
          <w:sz w:val="24"/>
          <w:szCs w:val="24"/>
        </w:rPr>
        <w:t>case</w:t>
      </w:r>
      <w:r w:rsidR="001D6B08">
        <w:rPr>
          <w:rFonts w:ascii="Arial" w:hAnsi="Arial" w:cs="Arial"/>
          <w:sz w:val="24"/>
          <w:szCs w:val="24"/>
        </w:rPr>
        <w:t>s</w:t>
      </w:r>
      <w:r>
        <w:rPr>
          <w:rFonts w:ascii="Arial" w:hAnsi="Arial" w:cs="Arial"/>
          <w:sz w:val="24"/>
          <w:szCs w:val="24"/>
        </w:rPr>
        <w:t xml:space="preserve"> on </w:t>
      </w:r>
      <w:r w:rsidR="001D6B08">
        <w:rPr>
          <w:rFonts w:ascii="Arial" w:hAnsi="Arial" w:cs="Arial"/>
          <w:sz w:val="24"/>
          <w:szCs w:val="24"/>
        </w:rPr>
        <w:t>their</w:t>
      </w:r>
      <w:r>
        <w:rPr>
          <w:rFonts w:ascii="Arial" w:hAnsi="Arial" w:cs="Arial"/>
          <w:sz w:val="24"/>
          <w:szCs w:val="24"/>
        </w:rPr>
        <w:t xml:space="preserve"> merits.    </w:t>
      </w:r>
      <w:r w:rsidR="00CC06B4">
        <w:rPr>
          <w:rFonts w:ascii="Arial" w:hAnsi="Arial" w:cs="Arial"/>
          <w:sz w:val="24"/>
          <w:szCs w:val="24"/>
        </w:rPr>
        <w:t xml:space="preserve"> </w:t>
      </w:r>
    </w:p>
    <w:p w14:paraId="637285C6" w14:textId="77777777" w:rsidR="00DA6430" w:rsidRDefault="00DA6430" w:rsidP="00AB3DEA">
      <w:pPr>
        <w:jc w:val="both"/>
        <w:rPr>
          <w:rFonts w:ascii="Arial" w:hAnsi="Arial" w:cs="Arial"/>
          <w:b/>
          <w:sz w:val="24"/>
          <w:szCs w:val="24"/>
        </w:rPr>
      </w:pPr>
    </w:p>
    <w:p w14:paraId="5CC619C9" w14:textId="77777777" w:rsidR="00DA6430" w:rsidRDefault="00DA6430" w:rsidP="00AB3DEA">
      <w:pPr>
        <w:jc w:val="both"/>
        <w:rPr>
          <w:rFonts w:ascii="Arial" w:hAnsi="Arial" w:cs="Arial"/>
          <w:b/>
          <w:sz w:val="24"/>
          <w:szCs w:val="24"/>
        </w:rPr>
      </w:pPr>
    </w:p>
    <w:p w14:paraId="0D9E2753" w14:textId="4E4B02EB" w:rsidR="00AB3DEA" w:rsidRPr="0015231C" w:rsidRDefault="0015231C" w:rsidP="00AB3DEA">
      <w:pPr>
        <w:jc w:val="both"/>
        <w:rPr>
          <w:rFonts w:ascii="Arial" w:hAnsi="Arial" w:cs="Arial"/>
          <w:b/>
          <w:sz w:val="24"/>
          <w:szCs w:val="24"/>
          <w:lang w:val="fr-FR"/>
        </w:rPr>
      </w:pPr>
      <w:r>
        <w:rPr>
          <w:rFonts w:ascii="Arial" w:hAnsi="Arial" w:cs="Arial"/>
          <w:b/>
          <w:sz w:val="24"/>
          <w:szCs w:val="24"/>
          <w:lang w:val="fr-FR"/>
        </w:rPr>
        <w:t xml:space="preserve">SD </w:t>
      </w:r>
      <w:bookmarkStart w:id="2" w:name="_GoBack"/>
      <w:bookmarkEnd w:id="2"/>
      <w:proofErr w:type="spellStart"/>
      <w:r w:rsidR="00006187" w:rsidRPr="0015231C">
        <w:rPr>
          <w:rFonts w:ascii="Arial" w:hAnsi="Arial" w:cs="Arial"/>
          <w:b/>
          <w:sz w:val="24"/>
          <w:szCs w:val="24"/>
          <w:lang w:val="fr-FR"/>
        </w:rPr>
        <w:t>I</w:t>
      </w:r>
      <w:r w:rsidR="00AB3DEA" w:rsidRPr="0015231C">
        <w:rPr>
          <w:rFonts w:ascii="Arial" w:hAnsi="Arial" w:cs="Arial"/>
          <w:b/>
          <w:sz w:val="24"/>
          <w:szCs w:val="24"/>
          <w:lang w:val="fr-FR"/>
        </w:rPr>
        <w:t>ndiren</w:t>
      </w:r>
      <w:proofErr w:type="spellEnd"/>
      <w:r w:rsidR="00AB3DEA" w:rsidRPr="0015231C">
        <w:rPr>
          <w:rFonts w:ascii="Arial" w:hAnsi="Arial" w:cs="Arial"/>
          <w:b/>
          <w:sz w:val="24"/>
          <w:szCs w:val="24"/>
          <w:lang w:val="fr-FR"/>
        </w:rPr>
        <w:t xml:space="preserve"> Sivaramen </w:t>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p>
    <w:p w14:paraId="07575813" w14:textId="77777777" w:rsidR="00AB3DEA" w:rsidRPr="0015231C" w:rsidRDefault="00AB3DEA" w:rsidP="00AB3DEA">
      <w:pPr>
        <w:jc w:val="both"/>
        <w:rPr>
          <w:rFonts w:ascii="Arial" w:hAnsi="Arial" w:cs="Arial"/>
          <w:b/>
          <w:sz w:val="24"/>
          <w:szCs w:val="24"/>
          <w:lang w:val="fr-FR"/>
        </w:rPr>
      </w:pPr>
      <w:proofErr w:type="spellStart"/>
      <w:r w:rsidRPr="0015231C">
        <w:rPr>
          <w:rFonts w:ascii="Arial" w:hAnsi="Arial" w:cs="Arial"/>
          <w:b/>
          <w:sz w:val="24"/>
          <w:szCs w:val="24"/>
          <w:lang w:val="fr-FR"/>
        </w:rPr>
        <w:t>Vice-President</w:t>
      </w:r>
      <w:proofErr w:type="spellEnd"/>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r w:rsidR="00687882" w:rsidRPr="0015231C">
        <w:rPr>
          <w:rFonts w:ascii="Arial" w:hAnsi="Arial" w:cs="Arial"/>
          <w:b/>
          <w:sz w:val="24"/>
          <w:szCs w:val="24"/>
          <w:lang w:val="fr-FR"/>
        </w:rPr>
        <w:tab/>
      </w:r>
    </w:p>
    <w:p w14:paraId="64B734D4" w14:textId="77777777" w:rsidR="00DA6430" w:rsidRPr="0015231C" w:rsidRDefault="00DA6430" w:rsidP="00AB3DEA">
      <w:pPr>
        <w:jc w:val="both"/>
        <w:rPr>
          <w:rFonts w:ascii="Arial" w:hAnsi="Arial" w:cs="Arial"/>
          <w:b/>
          <w:sz w:val="24"/>
          <w:szCs w:val="24"/>
          <w:lang w:val="fr-FR"/>
        </w:rPr>
      </w:pPr>
    </w:p>
    <w:p w14:paraId="36D80FE2" w14:textId="77777777" w:rsidR="00DA6430" w:rsidRPr="0015231C" w:rsidRDefault="00DA6430" w:rsidP="00AB3DEA">
      <w:pPr>
        <w:jc w:val="both"/>
        <w:rPr>
          <w:rFonts w:ascii="Arial" w:hAnsi="Arial" w:cs="Arial"/>
          <w:b/>
          <w:sz w:val="24"/>
          <w:szCs w:val="24"/>
          <w:lang w:val="fr-FR"/>
        </w:rPr>
      </w:pPr>
    </w:p>
    <w:p w14:paraId="24354482" w14:textId="3F2FCE2B" w:rsidR="00687882" w:rsidRPr="0015231C" w:rsidRDefault="0015231C" w:rsidP="00AB3DEA">
      <w:pPr>
        <w:jc w:val="both"/>
        <w:rPr>
          <w:rFonts w:ascii="Arial" w:hAnsi="Arial" w:cs="Arial"/>
          <w:b/>
          <w:sz w:val="24"/>
          <w:szCs w:val="24"/>
          <w:lang w:val="fr-FR"/>
        </w:rPr>
      </w:pPr>
      <w:r>
        <w:rPr>
          <w:rFonts w:ascii="Arial" w:hAnsi="Arial" w:cs="Arial"/>
          <w:b/>
          <w:sz w:val="24"/>
          <w:szCs w:val="24"/>
          <w:lang w:val="fr-FR"/>
        </w:rPr>
        <w:t xml:space="preserve">SD </w:t>
      </w:r>
      <w:r w:rsidR="002C17A0" w:rsidRPr="0015231C">
        <w:rPr>
          <w:rFonts w:ascii="Arial" w:hAnsi="Arial" w:cs="Arial"/>
          <w:b/>
          <w:sz w:val="24"/>
          <w:szCs w:val="24"/>
          <w:lang w:val="fr-FR"/>
        </w:rPr>
        <w:t>Francis Supparayen</w:t>
      </w:r>
      <w:r w:rsidR="00C746BE" w:rsidRPr="0015231C">
        <w:rPr>
          <w:rFonts w:ascii="Arial" w:hAnsi="Arial" w:cs="Arial"/>
          <w:b/>
          <w:sz w:val="24"/>
          <w:szCs w:val="24"/>
          <w:lang w:val="fr-FR"/>
        </w:rPr>
        <w:t xml:space="preserve"> </w:t>
      </w:r>
    </w:p>
    <w:p w14:paraId="2A92064B" w14:textId="77777777" w:rsidR="00840B0B" w:rsidRDefault="00840B0B" w:rsidP="00AB3DEA">
      <w:pPr>
        <w:jc w:val="both"/>
        <w:rPr>
          <w:rFonts w:ascii="Arial" w:hAnsi="Arial" w:cs="Arial"/>
          <w:b/>
          <w:sz w:val="24"/>
          <w:szCs w:val="24"/>
        </w:rPr>
      </w:pPr>
      <w:r w:rsidRPr="005B080A">
        <w:rPr>
          <w:rFonts w:ascii="Arial" w:hAnsi="Arial" w:cs="Arial"/>
          <w:b/>
          <w:sz w:val="24"/>
          <w:szCs w:val="24"/>
        </w:rPr>
        <w:t>Member</w:t>
      </w:r>
    </w:p>
    <w:p w14:paraId="3F0847A2" w14:textId="77777777" w:rsidR="00840B0B" w:rsidRDefault="00840B0B" w:rsidP="00AB3DEA">
      <w:pPr>
        <w:jc w:val="both"/>
        <w:rPr>
          <w:rFonts w:ascii="Arial" w:hAnsi="Arial" w:cs="Arial"/>
          <w:b/>
          <w:sz w:val="24"/>
          <w:szCs w:val="24"/>
        </w:rPr>
      </w:pPr>
    </w:p>
    <w:p w14:paraId="19E61F1B" w14:textId="77777777" w:rsidR="00DA6430" w:rsidRDefault="00DA6430" w:rsidP="00AB3DEA">
      <w:pPr>
        <w:jc w:val="both"/>
        <w:rPr>
          <w:rFonts w:ascii="Arial" w:hAnsi="Arial" w:cs="Arial"/>
          <w:b/>
          <w:sz w:val="24"/>
          <w:szCs w:val="24"/>
        </w:rPr>
      </w:pPr>
    </w:p>
    <w:p w14:paraId="3BB0EA44" w14:textId="199B4EFA" w:rsidR="00AB3DEA" w:rsidRPr="005B080A" w:rsidRDefault="0015231C" w:rsidP="00AB3DEA">
      <w:pPr>
        <w:jc w:val="both"/>
        <w:rPr>
          <w:rFonts w:ascii="Arial" w:hAnsi="Arial" w:cs="Arial"/>
          <w:b/>
          <w:sz w:val="24"/>
          <w:szCs w:val="24"/>
        </w:rPr>
      </w:pPr>
      <w:r>
        <w:rPr>
          <w:rFonts w:ascii="Arial" w:hAnsi="Arial" w:cs="Arial"/>
          <w:b/>
          <w:sz w:val="24"/>
          <w:szCs w:val="24"/>
        </w:rPr>
        <w:t xml:space="preserve">SD </w:t>
      </w:r>
      <w:r w:rsidR="00440780">
        <w:rPr>
          <w:rFonts w:ascii="Arial" w:hAnsi="Arial" w:cs="Arial"/>
          <w:b/>
          <w:sz w:val="24"/>
          <w:szCs w:val="24"/>
        </w:rPr>
        <w:t>Rabin Gungoo</w:t>
      </w:r>
      <w:r w:rsidR="00E37C70">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p>
    <w:p w14:paraId="0D18196F" w14:textId="77777777"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70946BEC" w14:textId="77777777" w:rsidR="00840B0B" w:rsidRDefault="00840B0B" w:rsidP="00657F75">
      <w:pPr>
        <w:jc w:val="both"/>
        <w:rPr>
          <w:rFonts w:ascii="Arial" w:hAnsi="Arial" w:cs="Arial"/>
          <w:b/>
          <w:sz w:val="24"/>
          <w:szCs w:val="24"/>
        </w:rPr>
      </w:pPr>
    </w:p>
    <w:p w14:paraId="2C4405A8" w14:textId="77777777" w:rsidR="00DA6430" w:rsidRDefault="00DA6430" w:rsidP="00657F75">
      <w:pPr>
        <w:jc w:val="both"/>
        <w:rPr>
          <w:rFonts w:ascii="Arial" w:hAnsi="Arial" w:cs="Arial"/>
          <w:b/>
          <w:sz w:val="24"/>
          <w:szCs w:val="24"/>
        </w:rPr>
      </w:pPr>
    </w:p>
    <w:p w14:paraId="08FD2A35" w14:textId="5CFABCAA" w:rsidR="00840B0B" w:rsidRDefault="0015231C" w:rsidP="00657F75">
      <w:pPr>
        <w:jc w:val="both"/>
        <w:rPr>
          <w:rFonts w:ascii="Arial" w:hAnsi="Arial" w:cs="Arial"/>
          <w:b/>
          <w:sz w:val="24"/>
          <w:szCs w:val="24"/>
        </w:rPr>
      </w:pPr>
      <w:r>
        <w:rPr>
          <w:rFonts w:ascii="Arial" w:hAnsi="Arial" w:cs="Arial"/>
          <w:b/>
          <w:sz w:val="24"/>
          <w:szCs w:val="24"/>
        </w:rPr>
        <w:t xml:space="preserve">SD </w:t>
      </w:r>
      <w:r w:rsidR="00440780">
        <w:rPr>
          <w:rFonts w:ascii="Arial" w:hAnsi="Arial" w:cs="Arial"/>
          <w:b/>
          <w:sz w:val="24"/>
          <w:szCs w:val="24"/>
        </w:rPr>
        <w:t>Kevin C. Lukeeram</w:t>
      </w:r>
    </w:p>
    <w:p w14:paraId="72CBA948" w14:textId="77777777" w:rsidR="008658B5" w:rsidRDefault="00840B0B" w:rsidP="00657F75">
      <w:pPr>
        <w:jc w:val="both"/>
        <w:rPr>
          <w:rFonts w:ascii="Arial" w:hAnsi="Arial" w:cs="Arial"/>
          <w:b/>
          <w:sz w:val="24"/>
          <w:szCs w:val="24"/>
        </w:rPr>
      </w:pPr>
      <w:r w:rsidRPr="005B080A">
        <w:rPr>
          <w:rFonts w:ascii="Arial" w:hAnsi="Arial" w:cs="Arial"/>
          <w:b/>
          <w:sz w:val="24"/>
          <w:szCs w:val="24"/>
        </w:rPr>
        <w:t>Member</w:t>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p>
    <w:p w14:paraId="0ED7F4A3" w14:textId="77777777" w:rsidR="008658B5" w:rsidRDefault="008658B5" w:rsidP="00657F75">
      <w:pPr>
        <w:jc w:val="both"/>
        <w:rPr>
          <w:rFonts w:ascii="Arial" w:hAnsi="Arial" w:cs="Arial"/>
          <w:b/>
          <w:sz w:val="24"/>
          <w:szCs w:val="24"/>
        </w:rPr>
      </w:pPr>
    </w:p>
    <w:p w14:paraId="36AFDBCC" w14:textId="0A2A2B9E" w:rsidR="009B56A4" w:rsidRPr="00025210" w:rsidRDefault="00CA6D5A" w:rsidP="00657F75">
      <w:pPr>
        <w:jc w:val="both"/>
        <w:rPr>
          <w:rFonts w:ascii="Arial" w:hAnsi="Arial" w:cs="Arial"/>
          <w:sz w:val="24"/>
          <w:szCs w:val="24"/>
        </w:rPr>
      </w:pPr>
      <w:r>
        <w:rPr>
          <w:rFonts w:ascii="Arial" w:hAnsi="Arial" w:cs="Arial"/>
          <w:b/>
          <w:sz w:val="24"/>
          <w:szCs w:val="24"/>
        </w:rPr>
        <w:t>8</w:t>
      </w:r>
      <w:r w:rsidR="00751FF2">
        <w:rPr>
          <w:rFonts w:ascii="Arial" w:hAnsi="Arial" w:cs="Arial"/>
          <w:b/>
          <w:sz w:val="24"/>
          <w:szCs w:val="24"/>
        </w:rPr>
        <w:t xml:space="preserve"> </w:t>
      </w:r>
      <w:r w:rsidR="001D6B08">
        <w:rPr>
          <w:rFonts w:ascii="Arial" w:hAnsi="Arial" w:cs="Arial"/>
          <w:b/>
          <w:sz w:val="24"/>
          <w:szCs w:val="24"/>
        </w:rPr>
        <w:t>Octo</w:t>
      </w:r>
      <w:r w:rsidR="00440780">
        <w:rPr>
          <w:rFonts w:ascii="Arial" w:hAnsi="Arial" w:cs="Arial"/>
          <w:b/>
          <w:sz w:val="24"/>
          <w:szCs w:val="24"/>
        </w:rPr>
        <w:t>ber</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20</w:t>
      </w:r>
    </w:p>
    <w:sectPr w:rsidR="009B56A4" w:rsidRPr="00025210"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44B7" w14:textId="77777777" w:rsidR="007A4FFC" w:rsidRDefault="007A4FFC" w:rsidP="00936BD4">
      <w:pPr>
        <w:spacing w:after="0" w:line="240" w:lineRule="auto"/>
      </w:pPr>
      <w:r>
        <w:separator/>
      </w:r>
    </w:p>
  </w:endnote>
  <w:endnote w:type="continuationSeparator" w:id="0">
    <w:p w14:paraId="0E30D1BC" w14:textId="77777777" w:rsidR="007A4FFC" w:rsidRDefault="007A4FFC"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2B4810DE" w14:textId="7AB23BCD" w:rsidR="007A4FFC" w:rsidRDefault="007A4FFC">
        <w:pPr>
          <w:pStyle w:val="Footer"/>
          <w:jc w:val="center"/>
        </w:pPr>
        <w:r>
          <w:fldChar w:fldCharType="begin"/>
        </w:r>
        <w:r>
          <w:instrText xml:space="preserve"> PAGE   \* MERGEFORMAT </w:instrText>
        </w:r>
        <w:r>
          <w:fldChar w:fldCharType="separate"/>
        </w:r>
        <w:r w:rsidR="0015231C">
          <w:rPr>
            <w:noProof/>
          </w:rPr>
          <w:t>7</w:t>
        </w:r>
        <w:r>
          <w:rPr>
            <w:noProof/>
          </w:rPr>
          <w:fldChar w:fldCharType="end"/>
        </w:r>
      </w:p>
    </w:sdtContent>
  </w:sdt>
  <w:p w14:paraId="06BBCDE6"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19C96" w14:textId="77777777" w:rsidR="007A4FFC" w:rsidRDefault="007A4FFC" w:rsidP="00936BD4">
      <w:pPr>
        <w:spacing w:after="0" w:line="240" w:lineRule="auto"/>
      </w:pPr>
      <w:r>
        <w:separator/>
      </w:r>
    </w:p>
  </w:footnote>
  <w:footnote w:type="continuationSeparator" w:id="0">
    <w:p w14:paraId="4CE3980D" w14:textId="77777777" w:rsidR="007A4FFC" w:rsidRDefault="007A4FFC"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3855"/>
    <w:rsid w:val="00004163"/>
    <w:rsid w:val="00004F55"/>
    <w:rsid w:val="000060CC"/>
    <w:rsid w:val="00006187"/>
    <w:rsid w:val="00012C81"/>
    <w:rsid w:val="00012CAF"/>
    <w:rsid w:val="000158C3"/>
    <w:rsid w:val="0002005A"/>
    <w:rsid w:val="000208E2"/>
    <w:rsid w:val="000250D3"/>
    <w:rsid w:val="00025210"/>
    <w:rsid w:val="00026AA1"/>
    <w:rsid w:val="00026E65"/>
    <w:rsid w:val="000304E2"/>
    <w:rsid w:val="000318F3"/>
    <w:rsid w:val="00032922"/>
    <w:rsid w:val="00032D6D"/>
    <w:rsid w:val="00035054"/>
    <w:rsid w:val="00035B3D"/>
    <w:rsid w:val="000408F8"/>
    <w:rsid w:val="00040A89"/>
    <w:rsid w:val="000446C4"/>
    <w:rsid w:val="00044CAF"/>
    <w:rsid w:val="00044E57"/>
    <w:rsid w:val="000451CB"/>
    <w:rsid w:val="00045715"/>
    <w:rsid w:val="00046690"/>
    <w:rsid w:val="00052421"/>
    <w:rsid w:val="000530DC"/>
    <w:rsid w:val="00054088"/>
    <w:rsid w:val="00054439"/>
    <w:rsid w:val="00055D51"/>
    <w:rsid w:val="00060F6E"/>
    <w:rsid w:val="0006414D"/>
    <w:rsid w:val="00066405"/>
    <w:rsid w:val="00070DC7"/>
    <w:rsid w:val="00071E28"/>
    <w:rsid w:val="000730AD"/>
    <w:rsid w:val="000739D5"/>
    <w:rsid w:val="0008120B"/>
    <w:rsid w:val="00081614"/>
    <w:rsid w:val="00082CB1"/>
    <w:rsid w:val="00082DBE"/>
    <w:rsid w:val="000835E5"/>
    <w:rsid w:val="00085AD3"/>
    <w:rsid w:val="00085C61"/>
    <w:rsid w:val="00086046"/>
    <w:rsid w:val="00086724"/>
    <w:rsid w:val="00087A97"/>
    <w:rsid w:val="00087BCD"/>
    <w:rsid w:val="00090141"/>
    <w:rsid w:val="0009622A"/>
    <w:rsid w:val="0009740F"/>
    <w:rsid w:val="00097411"/>
    <w:rsid w:val="00097D74"/>
    <w:rsid w:val="000A5361"/>
    <w:rsid w:val="000A5A1B"/>
    <w:rsid w:val="000B1EAF"/>
    <w:rsid w:val="000B251C"/>
    <w:rsid w:val="000B260E"/>
    <w:rsid w:val="000B448C"/>
    <w:rsid w:val="000C1234"/>
    <w:rsid w:val="000C1509"/>
    <w:rsid w:val="000C2D87"/>
    <w:rsid w:val="000C5B14"/>
    <w:rsid w:val="000C5E65"/>
    <w:rsid w:val="000D1828"/>
    <w:rsid w:val="000D4ECD"/>
    <w:rsid w:val="000D4ED0"/>
    <w:rsid w:val="000D5C17"/>
    <w:rsid w:val="000E0D59"/>
    <w:rsid w:val="000E111D"/>
    <w:rsid w:val="000E1E58"/>
    <w:rsid w:val="000E5325"/>
    <w:rsid w:val="000E5AA9"/>
    <w:rsid w:val="000E5B0A"/>
    <w:rsid w:val="000E5FFF"/>
    <w:rsid w:val="000E7ACD"/>
    <w:rsid w:val="000F15FD"/>
    <w:rsid w:val="000F1B8A"/>
    <w:rsid w:val="000F1C09"/>
    <w:rsid w:val="000F364E"/>
    <w:rsid w:val="000F59DC"/>
    <w:rsid w:val="000F5D9F"/>
    <w:rsid w:val="000F7674"/>
    <w:rsid w:val="000F7C3F"/>
    <w:rsid w:val="000F7DE8"/>
    <w:rsid w:val="001005C2"/>
    <w:rsid w:val="00101A2A"/>
    <w:rsid w:val="001100F8"/>
    <w:rsid w:val="001102CE"/>
    <w:rsid w:val="00114021"/>
    <w:rsid w:val="001151FD"/>
    <w:rsid w:val="0011570D"/>
    <w:rsid w:val="0012026E"/>
    <w:rsid w:val="0012116D"/>
    <w:rsid w:val="0012131A"/>
    <w:rsid w:val="001227CD"/>
    <w:rsid w:val="0012309E"/>
    <w:rsid w:val="00124C76"/>
    <w:rsid w:val="001267D7"/>
    <w:rsid w:val="001274A3"/>
    <w:rsid w:val="001313E1"/>
    <w:rsid w:val="00132534"/>
    <w:rsid w:val="001349A3"/>
    <w:rsid w:val="00137FE1"/>
    <w:rsid w:val="00142789"/>
    <w:rsid w:val="00143253"/>
    <w:rsid w:val="00151418"/>
    <w:rsid w:val="0015231C"/>
    <w:rsid w:val="001603FD"/>
    <w:rsid w:val="00160672"/>
    <w:rsid w:val="00162868"/>
    <w:rsid w:val="001654FE"/>
    <w:rsid w:val="00167F07"/>
    <w:rsid w:val="00171492"/>
    <w:rsid w:val="001755AA"/>
    <w:rsid w:val="001762AE"/>
    <w:rsid w:val="00182947"/>
    <w:rsid w:val="00183C0A"/>
    <w:rsid w:val="00184674"/>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5209"/>
    <w:rsid w:val="001B57ED"/>
    <w:rsid w:val="001B5E82"/>
    <w:rsid w:val="001B7F18"/>
    <w:rsid w:val="001C00CE"/>
    <w:rsid w:val="001C2C36"/>
    <w:rsid w:val="001C2D4E"/>
    <w:rsid w:val="001C4EB1"/>
    <w:rsid w:val="001C63D0"/>
    <w:rsid w:val="001D134B"/>
    <w:rsid w:val="001D145D"/>
    <w:rsid w:val="001D16FA"/>
    <w:rsid w:val="001D3289"/>
    <w:rsid w:val="001D3851"/>
    <w:rsid w:val="001D468C"/>
    <w:rsid w:val="001D5E65"/>
    <w:rsid w:val="001D6B08"/>
    <w:rsid w:val="001D72AF"/>
    <w:rsid w:val="001D75E6"/>
    <w:rsid w:val="001E1E1B"/>
    <w:rsid w:val="001E3532"/>
    <w:rsid w:val="001E4A11"/>
    <w:rsid w:val="001E593C"/>
    <w:rsid w:val="001E7DA1"/>
    <w:rsid w:val="001F24A7"/>
    <w:rsid w:val="001F362A"/>
    <w:rsid w:val="001F7957"/>
    <w:rsid w:val="00201C21"/>
    <w:rsid w:val="00201D3F"/>
    <w:rsid w:val="00202101"/>
    <w:rsid w:val="00204C2C"/>
    <w:rsid w:val="0021298F"/>
    <w:rsid w:val="00213C9F"/>
    <w:rsid w:val="00215D65"/>
    <w:rsid w:val="002171BC"/>
    <w:rsid w:val="002200D9"/>
    <w:rsid w:val="00222022"/>
    <w:rsid w:val="00223A3D"/>
    <w:rsid w:val="00223A5B"/>
    <w:rsid w:val="00224AEB"/>
    <w:rsid w:val="002250AF"/>
    <w:rsid w:val="00226288"/>
    <w:rsid w:val="002273D5"/>
    <w:rsid w:val="00227942"/>
    <w:rsid w:val="00227C4E"/>
    <w:rsid w:val="002322A1"/>
    <w:rsid w:val="00232757"/>
    <w:rsid w:val="00236429"/>
    <w:rsid w:val="00236AAE"/>
    <w:rsid w:val="00236C1E"/>
    <w:rsid w:val="00236E4D"/>
    <w:rsid w:val="00240CF7"/>
    <w:rsid w:val="002410AF"/>
    <w:rsid w:val="002461E4"/>
    <w:rsid w:val="00246ACC"/>
    <w:rsid w:val="0024775C"/>
    <w:rsid w:val="00251C54"/>
    <w:rsid w:val="002524ED"/>
    <w:rsid w:val="00253AF6"/>
    <w:rsid w:val="00254918"/>
    <w:rsid w:val="00254B1E"/>
    <w:rsid w:val="00256261"/>
    <w:rsid w:val="0026017D"/>
    <w:rsid w:val="00260CC2"/>
    <w:rsid w:val="00261660"/>
    <w:rsid w:val="002623B6"/>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23FF"/>
    <w:rsid w:val="002937AD"/>
    <w:rsid w:val="00293E90"/>
    <w:rsid w:val="00296224"/>
    <w:rsid w:val="002971A9"/>
    <w:rsid w:val="002A1D57"/>
    <w:rsid w:val="002A2EEA"/>
    <w:rsid w:val="002A3769"/>
    <w:rsid w:val="002B155F"/>
    <w:rsid w:val="002B36DB"/>
    <w:rsid w:val="002B37BD"/>
    <w:rsid w:val="002B53BA"/>
    <w:rsid w:val="002B5977"/>
    <w:rsid w:val="002B7094"/>
    <w:rsid w:val="002C17A0"/>
    <w:rsid w:val="002C49F8"/>
    <w:rsid w:val="002C7DA5"/>
    <w:rsid w:val="002D0819"/>
    <w:rsid w:val="002D5DAB"/>
    <w:rsid w:val="002D68C7"/>
    <w:rsid w:val="002D7B0A"/>
    <w:rsid w:val="002E1725"/>
    <w:rsid w:val="002E566A"/>
    <w:rsid w:val="002E6878"/>
    <w:rsid w:val="002F3C31"/>
    <w:rsid w:val="002F7631"/>
    <w:rsid w:val="00303AF5"/>
    <w:rsid w:val="00305111"/>
    <w:rsid w:val="003063D3"/>
    <w:rsid w:val="00316E08"/>
    <w:rsid w:val="00320069"/>
    <w:rsid w:val="00321E90"/>
    <w:rsid w:val="003245E9"/>
    <w:rsid w:val="00324927"/>
    <w:rsid w:val="00326F5E"/>
    <w:rsid w:val="00332565"/>
    <w:rsid w:val="0033582F"/>
    <w:rsid w:val="00336851"/>
    <w:rsid w:val="003370EF"/>
    <w:rsid w:val="003379A5"/>
    <w:rsid w:val="0034156F"/>
    <w:rsid w:val="00342EBC"/>
    <w:rsid w:val="00343060"/>
    <w:rsid w:val="0034615A"/>
    <w:rsid w:val="0034756C"/>
    <w:rsid w:val="00347D10"/>
    <w:rsid w:val="00350C25"/>
    <w:rsid w:val="0035594E"/>
    <w:rsid w:val="00355A30"/>
    <w:rsid w:val="00357D63"/>
    <w:rsid w:val="00360F91"/>
    <w:rsid w:val="003625F3"/>
    <w:rsid w:val="00362F43"/>
    <w:rsid w:val="00363A01"/>
    <w:rsid w:val="00364677"/>
    <w:rsid w:val="00366292"/>
    <w:rsid w:val="00366FBB"/>
    <w:rsid w:val="00370553"/>
    <w:rsid w:val="00373335"/>
    <w:rsid w:val="003743FB"/>
    <w:rsid w:val="00374658"/>
    <w:rsid w:val="00377C47"/>
    <w:rsid w:val="003810FD"/>
    <w:rsid w:val="00382009"/>
    <w:rsid w:val="00382B70"/>
    <w:rsid w:val="003833DB"/>
    <w:rsid w:val="00384A73"/>
    <w:rsid w:val="00384E94"/>
    <w:rsid w:val="00387E10"/>
    <w:rsid w:val="003904AE"/>
    <w:rsid w:val="00390C7F"/>
    <w:rsid w:val="00392180"/>
    <w:rsid w:val="00392B8B"/>
    <w:rsid w:val="00395E5E"/>
    <w:rsid w:val="003A2052"/>
    <w:rsid w:val="003A2BCD"/>
    <w:rsid w:val="003A3721"/>
    <w:rsid w:val="003A5565"/>
    <w:rsid w:val="003A6B86"/>
    <w:rsid w:val="003A6F65"/>
    <w:rsid w:val="003A7B39"/>
    <w:rsid w:val="003B73A6"/>
    <w:rsid w:val="003C19F2"/>
    <w:rsid w:val="003C1AB3"/>
    <w:rsid w:val="003C1C3A"/>
    <w:rsid w:val="003C6EF6"/>
    <w:rsid w:val="003E20B0"/>
    <w:rsid w:val="003E3EC5"/>
    <w:rsid w:val="003E4AAA"/>
    <w:rsid w:val="003E5417"/>
    <w:rsid w:val="003E588B"/>
    <w:rsid w:val="003E5DC6"/>
    <w:rsid w:val="003E71A1"/>
    <w:rsid w:val="003F039B"/>
    <w:rsid w:val="003F0D21"/>
    <w:rsid w:val="003F4CE3"/>
    <w:rsid w:val="003F4DA6"/>
    <w:rsid w:val="003F4FD8"/>
    <w:rsid w:val="003F6884"/>
    <w:rsid w:val="003F6AB7"/>
    <w:rsid w:val="003F6ABF"/>
    <w:rsid w:val="004002C9"/>
    <w:rsid w:val="00401C65"/>
    <w:rsid w:val="0040214A"/>
    <w:rsid w:val="0040658D"/>
    <w:rsid w:val="00406CCE"/>
    <w:rsid w:val="0041207D"/>
    <w:rsid w:val="00412C71"/>
    <w:rsid w:val="0041418F"/>
    <w:rsid w:val="00415801"/>
    <w:rsid w:val="004161A8"/>
    <w:rsid w:val="00421A28"/>
    <w:rsid w:val="00422A63"/>
    <w:rsid w:val="00423028"/>
    <w:rsid w:val="00424AFA"/>
    <w:rsid w:val="00424F2D"/>
    <w:rsid w:val="00426E70"/>
    <w:rsid w:val="00431F50"/>
    <w:rsid w:val="0043331E"/>
    <w:rsid w:val="00433F18"/>
    <w:rsid w:val="00434CB7"/>
    <w:rsid w:val="00434CFC"/>
    <w:rsid w:val="00435964"/>
    <w:rsid w:val="004364A0"/>
    <w:rsid w:val="00440780"/>
    <w:rsid w:val="00442403"/>
    <w:rsid w:val="00444A7B"/>
    <w:rsid w:val="00445571"/>
    <w:rsid w:val="00445993"/>
    <w:rsid w:val="00446462"/>
    <w:rsid w:val="0045074C"/>
    <w:rsid w:val="00451956"/>
    <w:rsid w:val="0045271C"/>
    <w:rsid w:val="00457AAF"/>
    <w:rsid w:val="00460A28"/>
    <w:rsid w:val="004626A4"/>
    <w:rsid w:val="00466B06"/>
    <w:rsid w:val="0046703B"/>
    <w:rsid w:val="00472E6B"/>
    <w:rsid w:val="0047379A"/>
    <w:rsid w:val="004737A0"/>
    <w:rsid w:val="00473F80"/>
    <w:rsid w:val="004752DC"/>
    <w:rsid w:val="00477B40"/>
    <w:rsid w:val="004806BC"/>
    <w:rsid w:val="00482176"/>
    <w:rsid w:val="0048229C"/>
    <w:rsid w:val="0048588D"/>
    <w:rsid w:val="004864D1"/>
    <w:rsid w:val="00491DD9"/>
    <w:rsid w:val="004932CE"/>
    <w:rsid w:val="00494589"/>
    <w:rsid w:val="00495D8A"/>
    <w:rsid w:val="0049697C"/>
    <w:rsid w:val="00496C58"/>
    <w:rsid w:val="004A1855"/>
    <w:rsid w:val="004A1928"/>
    <w:rsid w:val="004A1D5D"/>
    <w:rsid w:val="004A2E61"/>
    <w:rsid w:val="004A5D3E"/>
    <w:rsid w:val="004B0B03"/>
    <w:rsid w:val="004B2DA5"/>
    <w:rsid w:val="004B3145"/>
    <w:rsid w:val="004B4C0D"/>
    <w:rsid w:val="004B5248"/>
    <w:rsid w:val="004B6036"/>
    <w:rsid w:val="004B6B3A"/>
    <w:rsid w:val="004B719F"/>
    <w:rsid w:val="004B732B"/>
    <w:rsid w:val="004B7A10"/>
    <w:rsid w:val="004C1CA0"/>
    <w:rsid w:val="004C260D"/>
    <w:rsid w:val="004C443F"/>
    <w:rsid w:val="004C4516"/>
    <w:rsid w:val="004C63DF"/>
    <w:rsid w:val="004C7E40"/>
    <w:rsid w:val="004D070D"/>
    <w:rsid w:val="004D125E"/>
    <w:rsid w:val="004D3477"/>
    <w:rsid w:val="004D3EF9"/>
    <w:rsid w:val="004D489D"/>
    <w:rsid w:val="004D57F2"/>
    <w:rsid w:val="004E3AFC"/>
    <w:rsid w:val="004E6740"/>
    <w:rsid w:val="004F38DE"/>
    <w:rsid w:val="004F3CD9"/>
    <w:rsid w:val="004F3F53"/>
    <w:rsid w:val="004F5996"/>
    <w:rsid w:val="004F7AE7"/>
    <w:rsid w:val="0050051D"/>
    <w:rsid w:val="0050644A"/>
    <w:rsid w:val="00506C39"/>
    <w:rsid w:val="00506E42"/>
    <w:rsid w:val="0051143F"/>
    <w:rsid w:val="00514EAA"/>
    <w:rsid w:val="0051683F"/>
    <w:rsid w:val="00517185"/>
    <w:rsid w:val="005172AD"/>
    <w:rsid w:val="00520DF1"/>
    <w:rsid w:val="005212CE"/>
    <w:rsid w:val="005232DD"/>
    <w:rsid w:val="00524266"/>
    <w:rsid w:val="005256CB"/>
    <w:rsid w:val="0052576E"/>
    <w:rsid w:val="005257AE"/>
    <w:rsid w:val="005277D0"/>
    <w:rsid w:val="0053211F"/>
    <w:rsid w:val="00532DF4"/>
    <w:rsid w:val="0053490F"/>
    <w:rsid w:val="00534A39"/>
    <w:rsid w:val="00535CAA"/>
    <w:rsid w:val="00537670"/>
    <w:rsid w:val="00537ED8"/>
    <w:rsid w:val="005442AF"/>
    <w:rsid w:val="00544D41"/>
    <w:rsid w:val="00545A0A"/>
    <w:rsid w:val="00551460"/>
    <w:rsid w:val="005516AB"/>
    <w:rsid w:val="00553E3E"/>
    <w:rsid w:val="00555343"/>
    <w:rsid w:val="00557A45"/>
    <w:rsid w:val="00557BD9"/>
    <w:rsid w:val="00557C09"/>
    <w:rsid w:val="00561DCF"/>
    <w:rsid w:val="00562E7B"/>
    <w:rsid w:val="005669A3"/>
    <w:rsid w:val="00567B32"/>
    <w:rsid w:val="00572AB5"/>
    <w:rsid w:val="00574DC9"/>
    <w:rsid w:val="00574EE9"/>
    <w:rsid w:val="00574FB7"/>
    <w:rsid w:val="005770D1"/>
    <w:rsid w:val="00580BAA"/>
    <w:rsid w:val="0058163F"/>
    <w:rsid w:val="00582AD1"/>
    <w:rsid w:val="00582BD9"/>
    <w:rsid w:val="00585296"/>
    <w:rsid w:val="00585D12"/>
    <w:rsid w:val="00592E0B"/>
    <w:rsid w:val="00593DD7"/>
    <w:rsid w:val="00594A0A"/>
    <w:rsid w:val="00595671"/>
    <w:rsid w:val="005A129B"/>
    <w:rsid w:val="005A4280"/>
    <w:rsid w:val="005A700A"/>
    <w:rsid w:val="005A72D6"/>
    <w:rsid w:val="005B3043"/>
    <w:rsid w:val="005B3C12"/>
    <w:rsid w:val="005C10D6"/>
    <w:rsid w:val="005C3B5C"/>
    <w:rsid w:val="005C601E"/>
    <w:rsid w:val="005C6A71"/>
    <w:rsid w:val="005C744D"/>
    <w:rsid w:val="005D01C0"/>
    <w:rsid w:val="005D155D"/>
    <w:rsid w:val="005D1B01"/>
    <w:rsid w:val="005D2183"/>
    <w:rsid w:val="005D3722"/>
    <w:rsid w:val="005D37EC"/>
    <w:rsid w:val="005D42C0"/>
    <w:rsid w:val="005D624D"/>
    <w:rsid w:val="005D6B01"/>
    <w:rsid w:val="005D6FB6"/>
    <w:rsid w:val="005E206D"/>
    <w:rsid w:val="005E2E8F"/>
    <w:rsid w:val="005E3359"/>
    <w:rsid w:val="005E4D8E"/>
    <w:rsid w:val="005E520A"/>
    <w:rsid w:val="005F0B8B"/>
    <w:rsid w:val="005F13FC"/>
    <w:rsid w:val="005F57BE"/>
    <w:rsid w:val="005F5924"/>
    <w:rsid w:val="005F6495"/>
    <w:rsid w:val="005F75F2"/>
    <w:rsid w:val="0060053B"/>
    <w:rsid w:val="006013FA"/>
    <w:rsid w:val="0060233D"/>
    <w:rsid w:val="0061066F"/>
    <w:rsid w:val="0061176B"/>
    <w:rsid w:val="006122B9"/>
    <w:rsid w:val="006130E6"/>
    <w:rsid w:val="00613D59"/>
    <w:rsid w:val="0061517F"/>
    <w:rsid w:val="00616D49"/>
    <w:rsid w:val="00620BAC"/>
    <w:rsid w:val="006210CD"/>
    <w:rsid w:val="006210DA"/>
    <w:rsid w:val="0062165E"/>
    <w:rsid w:val="00621C55"/>
    <w:rsid w:val="0062482D"/>
    <w:rsid w:val="00625ECE"/>
    <w:rsid w:val="006264E7"/>
    <w:rsid w:val="00626DE6"/>
    <w:rsid w:val="0062719B"/>
    <w:rsid w:val="00627B48"/>
    <w:rsid w:val="00627B93"/>
    <w:rsid w:val="00630989"/>
    <w:rsid w:val="00632B44"/>
    <w:rsid w:val="006334E9"/>
    <w:rsid w:val="00633AF7"/>
    <w:rsid w:val="006362F6"/>
    <w:rsid w:val="00642E8D"/>
    <w:rsid w:val="00643E18"/>
    <w:rsid w:val="00645779"/>
    <w:rsid w:val="006457B2"/>
    <w:rsid w:val="0064785C"/>
    <w:rsid w:val="00647C3E"/>
    <w:rsid w:val="00652403"/>
    <w:rsid w:val="006546B3"/>
    <w:rsid w:val="00654D9A"/>
    <w:rsid w:val="00655FFC"/>
    <w:rsid w:val="00657AED"/>
    <w:rsid w:val="00657F75"/>
    <w:rsid w:val="00661C10"/>
    <w:rsid w:val="00661C32"/>
    <w:rsid w:val="00662104"/>
    <w:rsid w:val="006665C9"/>
    <w:rsid w:val="00667475"/>
    <w:rsid w:val="00671CE7"/>
    <w:rsid w:val="006726C0"/>
    <w:rsid w:val="00672AFF"/>
    <w:rsid w:val="006739C0"/>
    <w:rsid w:val="00673A78"/>
    <w:rsid w:val="00681A9F"/>
    <w:rsid w:val="00683D30"/>
    <w:rsid w:val="00684238"/>
    <w:rsid w:val="0068424A"/>
    <w:rsid w:val="00686B0B"/>
    <w:rsid w:val="00686D1F"/>
    <w:rsid w:val="006873C4"/>
    <w:rsid w:val="00687677"/>
    <w:rsid w:val="00687882"/>
    <w:rsid w:val="00691070"/>
    <w:rsid w:val="00691F93"/>
    <w:rsid w:val="006960F0"/>
    <w:rsid w:val="006A154D"/>
    <w:rsid w:val="006A4CD1"/>
    <w:rsid w:val="006A592E"/>
    <w:rsid w:val="006B0D19"/>
    <w:rsid w:val="006B0DE8"/>
    <w:rsid w:val="006B3565"/>
    <w:rsid w:val="006B642D"/>
    <w:rsid w:val="006B73A9"/>
    <w:rsid w:val="006C2052"/>
    <w:rsid w:val="006D2602"/>
    <w:rsid w:val="006D32A7"/>
    <w:rsid w:val="006D50A8"/>
    <w:rsid w:val="006D678D"/>
    <w:rsid w:val="006D6C3A"/>
    <w:rsid w:val="006E0562"/>
    <w:rsid w:val="006E152B"/>
    <w:rsid w:val="006E462F"/>
    <w:rsid w:val="006E50F0"/>
    <w:rsid w:val="006E64F6"/>
    <w:rsid w:val="006E675A"/>
    <w:rsid w:val="006F26A9"/>
    <w:rsid w:val="006F2E78"/>
    <w:rsid w:val="006F3859"/>
    <w:rsid w:val="006F63B1"/>
    <w:rsid w:val="006F7497"/>
    <w:rsid w:val="00700409"/>
    <w:rsid w:val="00700F2F"/>
    <w:rsid w:val="00701260"/>
    <w:rsid w:val="007023F0"/>
    <w:rsid w:val="00703594"/>
    <w:rsid w:val="00703BC0"/>
    <w:rsid w:val="00704E6A"/>
    <w:rsid w:val="0070663A"/>
    <w:rsid w:val="00707420"/>
    <w:rsid w:val="00710DB2"/>
    <w:rsid w:val="007113FC"/>
    <w:rsid w:val="007243B0"/>
    <w:rsid w:val="00724BCE"/>
    <w:rsid w:val="00730627"/>
    <w:rsid w:val="00730C6B"/>
    <w:rsid w:val="00732BC8"/>
    <w:rsid w:val="007334A6"/>
    <w:rsid w:val="00737C0C"/>
    <w:rsid w:val="00740AD8"/>
    <w:rsid w:val="00740B03"/>
    <w:rsid w:val="0074213D"/>
    <w:rsid w:val="007423A7"/>
    <w:rsid w:val="007428EC"/>
    <w:rsid w:val="007462A7"/>
    <w:rsid w:val="00746E60"/>
    <w:rsid w:val="00751FF2"/>
    <w:rsid w:val="007552F4"/>
    <w:rsid w:val="00760C2F"/>
    <w:rsid w:val="00762126"/>
    <w:rsid w:val="007675BB"/>
    <w:rsid w:val="007756E7"/>
    <w:rsid w:val="00776D45"/>
    <w:rsid w:val="00781F9E"/>
    <w:rsid w:val="0078211F"/>
    <w:rsid w:val="00783437"/>
    <w:rsid w:val="00784AE2"/>
    <w:rsid w:val="007870A2"/>
    <w:rsid w:val="007879BE"/>
    <w:rsid w:val="00787A33"/>
    <w:rsid w:val="00787FAD"/>
    <w:rsid w:val="00790D3A"/>
    <w:rsid w:val="00791173"/>
    <w:rsid w:val="00792041"/>
    <w:rsid w:val="00792BDF"/>
    <w:rsid w:val="00792BFE"/>
    <w:rsid w:val="00794069"/>
    <w:rsid w:val="007A0A6D"/>
    <w:rsid w:val="007A4FFC"/>
    <w:rsid w:val="007A6518"/>
    <w:rsid w:val="007A67AA"/>
    <w:rsid w:val="007A6A78"/>
    <w:rsid w:val="007A72BE"/>
    <w:rsid w:val="007A73ED"/>
    <w:rsid w:val="007B4F60"/>
    <w:rsid w:val="007B7C58"/>
    <w:rsid w:val="007C1613"/>
    <w:rsid w:val="007C4D82"/>
    <w:rsid w:val="007C56EC"/>
    <w:rsid w:val="007C7218"/>
    <w:rsid w:val="007D3848"/>
    <w:rsid w:val="007D55A4"/>
    <w:rsid w:val="007D6086"/>
    <w:rsid w:val="007E2DE7"/>
    <w:rsid w:val="007E2F41"/>
    <w:rsid w:val="007E577D"/>
    <w:rsid w:val="007E6379"/>
    <w:rsid w:val="007E6674"/>
    <w:rsid w:val="007E7DE5"/>
    <w:rsid w:val="007F41D9"/>
    <w:rsid w:val="007F597C"/>
    <w:rsid w:val="007F62A7"/>
    <w:rsid w:val="007F7173"/>
    <w:rsid w:val="00800201"/>
    <w:rsid w:val="008010A0"/>
    <w:rsid w:val="00804C69"/>
    <w:rsid w:val="00805104"/>
    <w:rsid w:val="00805EA4"/>
    <w:rsid w:val="00814D3D"/>
    <w:rsid w:val="008211C9"/>
    <w:rsid w:val="008234B4"/>
    <w:rsid w:val="008271A7"/>
    <w:rsid w:val="00831D70"/>
    <w:rsid w:val="00834948"/>
    <w:rsid w:val="0083574B"/>
    <w:rsid w:val="00835B86"/>
    <w:rsid w:val="00836D4F"/>
    <w:rsid w:val="00840B0B"/>
    <w:rsid w:val="0084259C"/>
    <w:rsid w:val="00842C6B"/>
    <w:rsid w:val="00851A33"/>
    <w:rsid w:val="008524D1"/>
    <w:rsid w:val="00852509"/>
    <w:rsid w:val="008548F1"/>
    <w:rsid w:val="008560B9"/>
    <w:rsid w:val="008570FF"/>
    <w:rsid w:val="008571BD"/>
    <w:rsid w:val="008647DD"/>
    <w:rsid w:val="008658B5"/>
    <w:rsid w:val="0086649D"/>
    <w:rsid w:val="008700AB"/>
    <w:rsid w:val="0087062D"/>
    <w:rsid w:val="00873892"/>
    <w:rsid w:val="0087390A"/>
    <w:rsid w:val="0087442D"/>
    <w:rsid w:val="0087472B"/>
    <w:rsid w:val="00874A38"/>
    <w:rsid w:val="00874D48"/>
    <w:rsid w:val="00881553"/>
    <w:rsid w:val="008834C3"/>
    <w:rsid w:val="00883702"/>
    <w:rsid w:val="0088388A"/>
    <w:rsid w:val="00883A3D"/>
    <w:rsid w:val="00885C3E"/>
    <w:rsid w:val="00885E22"/>
    <w:rsid w:val="00887AEE"/>
    <w:rsid w:val="00887F80"/>
    <w:rsid w:val="00890856"/>
    <w:rsid w:val="00891D53"/>
    <w:rsid w:val="00892251"/>
    <w:rsid w:val="00892F45"/>
    <w:rsid w:val="00894421"/>
    <w:rsid w:val="008968D1"/>
    <w:rsid w:val="00897014"/>
    <w:rsid w:val="00897CAC"/>
    <w:rsid w:val="008A07B2"/>
    <w:rsid w:val="008A19C1"/>
    <w:rsid w:val="008A1C35"/>
    <w:rsid w:val="008A1D62"/>
    <w:rsid w:val="008A20C0"/>
    <w:rsid w:val="008A26E6"/>
    <w:rsid w:val="008A5622"/>
    <w:rsid w:val="008A7DD9"/>
    <w:rsid w:val="008B1940"/>
    <w:rsid w:val="008B332B"/>
    <w:rsid w:val="008B44B1"/>
    <w:rsid w:val="008C31FF"/>
    <w:rsid w:val="008C5C2F"/>
    <w:rsid w:val="008C7016"/>
    <w:rsid w:val="008C77B3"/>
    <w:rsid w:val="008D2AD8"/>
    <w:rsid w:val="008D2D58"/>
    <w:rsid w:val="008D3233"/>
    <w:rsid w:val="008E03F2"/>
    <w:rsid w:val="008E180B"/>
    <w:rsid w:val="008E5F3F"/>
    <w:rsid w:val="008F060F"/>
    <w:rsid w:val="008F1572"/>
    <w:rsid w:val="008F3733"/>
    <w:rsid w:val="008F5A3B"/>
    <w:rsid w:val="008F5F96"/>
    <w:rsid w:val="008F7267"/>
    <w:rsid w:val="00904629"/>
    <w:rsid w:val="009062AD"/>
    <w:rsid w:val="00907096"/>
    <w:rsid w:val="009104D4"/>
    <w:rsid w:val="00910CA5"/>
    <w:rsid w:val="0091456A"/>
    <w:rsid w:val="00916A7D"/>
    <w:rsid w:val="00917D1F"/>
    <w:rsid w:val="00921BC4"/>
    <w:rsid w:val="009230EA"/>
    <w:rsid w:val="0092405A"/>
    <w:rsid w:val="0092577F"/>
    <w:rsid w:val="0093195B"/>
    <w:rsid w:val="009329B2"/>
    <w:rsid w:val="0093371B"/>
    <w:rsid w:val="00933B15"/>
    <w:rsid w:val="00934498"/>
    <w:rsid w:val="00935139"/>
    <w:rsid w:val="00936BD4"/>
    <w:rsid w:val="0093791C"/>
    <w:rsid w:val="0094013C"/>
    <w:rsid w:val="00942435"/>
    <w:rsid w:val="009447B7"/>
    <w:rsid w:val="00944B6F"/>
    <w:rsid w:val="009554A8"/>
    <w:rsid w:val="00956945"/>
    <w:rsid w:val="00956E1C"/>
    <w:rsid w:val="009616FC"/>
    <w:rsid w:val="00962E49"/>
    <w:rsid w:val="009633A3"/>
    <w:rsid w:val="0096359A"/>
    <w:rsid w:val="009649F7"/>
    <w:rsid w:val="009653FF"/>
    <w:rsid w:val="00972EF2"/>
    <w:rsid w:val="00973ADD"/>
    <w:rsid w:val="00975D32"/>
    <w:rsid w:val="00976488"/>
    <w:rsid w:val="00977ED1"/>
    <w:rsid w:val="0098006B"/>
    <w:rsid w:val="0098127F"/>
    <w:rsid w:val="00982CC9"/>
    <w:rsid w:val="00983149"/>
    <w:rsid w:val="009846B0"/>
    <w:rsid w:val="00984EBC"/>
    <w:rsid w:val="00985BF5"/>
    <w:rsid w:val="00987ED0"/>
    <w:rsid w:val="00991B5F"/>
    <w:rsid w:val="00992E3D"/>
    <w:rsid w:val="00994B1F"/>
    <w:rsid w:val="00995E4A"/>
    <w:rsid w:val="00996F87"/>
    <w:rsid w:val="009A15DE"/>
    <w:rsid w:val="009A1A6F"/>
    <w:rsid w:val="009A1C29"/>
    <w:rsid w:val="009A4FBE"/>
    <w:rsid w:val="009A50AE"/>
    <w:rsid w:val="009A7BF0"/>
    <w:rsid w:val="009B053D"/>
    <w:rsid w:val="009B1B8F"/>
    <w:rsid w:val="009B2314"/>
    <w:rsid w:val="009B56A4"/>
    <w:rsid w:val="009B56F9"/>
    <w:rsid w:val="009B715C"/>
    <w:rsid w:val="009C047D"/>
    <w:rsid w:val="009C1057"/>
    <w:rsid w:val="009C2184"/>
    <w:rsid w:val="009C3210"/>
    <w:rsid w:val="009C41DA"/>
    <w:rsid w:val="009C6325"/>
    <w:rsid w:val="009C6DDE"/>
    <w:rsid w:val="009D0264"/>
    <w:rsid w:val="009D08F0"/>
    <w:rsid w:val="009D11C1"/>
    <w:rsid w:val="009D43D7"/>
    <w:rsid w:val="009D4B8A"/>
    <w:rsid w:val="009D5DB6"/>
    <w:rsid w:val="009D6A71"/>
    <w:rsid w:val="009D745B"/>
    <w:rsid w:val="009E010E"/>
    <w:rsid w:val="009E04BF"/>
    <w:rsid w:val="009E123A"/>
    <w:rsid w:val="009E20FE"/>
    <w:rsid w:val="009E59A4"/>
    <w:rsid w:val="009E5AE8"/>
    <w:rsid w:val="009E6B3C"/>
    <w:rsid w:val="009F2D60"/>
    <w:rsid w:val="009F4074"/>
    <w:rsid w:val="009F41EE"/>
    <w:rsid w:val="009F4861"/>
    <w:rsid w:val="00A00971"/>
    <w:rsid w:val="00A029E4"/>
    <w:rsid w:val="00A05E02"/>
    <w:rsid w:val="00A05EBB"/>
    <w:rsid w:val="00A06F03"/>
    <w:rsid w:val="00A116FE"/>
    <w:rsid w:val="00A11B9A"/>
    <w:rsid w:val="00A12186"/>
    <w:rsid w:val="00A1247B"/>
    <w:rsid w:val="00A12916"/>
    <w:rsid w:val="00A14143"/>
    <w:rsid w:val="00A1493C"/>
    <w:rsid w:val="00A149F4"/>
    <w:rsid w:val="00A154D9"/>
    <w:rsid w:val="00A25599"/>
    <w:rsid w:val="00A275F4"/>
    <w:rsid w:val="00A279CF"/>
    <w:rsid w:val="00A315E3"/>
    <w:rsid w:val="00A332F9"/>
    <w:rsid w:val="00A33B12"/>
    <w:rsid w:val="00A35725"/>
    <w:rsid w:val="00A375C9"/>
    <w:rsid w:val="00A37EEF"/>
    <w:rsid w:val="00A40744"/>
    <w:rsid w:val="00A41AB6"/>
    <w:rsid w:val="00A41B93"/>
    <w:rsid w:val="00A424E2"/>
    <w:rsid w:val="00A43B8B"/>
    <w:rsid w:val="00A51AE1"/>
    <w:rsid w:val="00A55072"/>
    <w:rsid w:val="00A5585C"/>
    <w:rsid w:val="00A56B35"/>
    <w:rsid w:val="00A56E72"/>
    <w:rsid w:val="00A61EDD"/>
    <w:rsid w:val="00A624F9"/>
    <w:rsid w:val="00A6263A"/>
    <w:rsid w:val="00A631B9"/>
    <w:rsid w:val="00A634F4"/>
    <w:rsid w:val="00A63B74"/>
    <w:rsid w:val="00A65183"/>
    <w:rsid w:val="00A657BD"/>
    <w:rsid w:val="00A6607E"/>
    <w:rsid w:val="00A661B0"/>
    <w:rsid w:val="00A66A0F"/>
    <w:rsid w:val="00A70F11"/>
    <w:rsid w:val="00A72BC5"/>
    <w:rsid w:val="00A73B3F"/>
    <w:rsid w:val="00A73CD7"/>
    <w:rsid w:val="00A74538"/>
    <w:rsid w:val="00A77811"/>
    <w:rsid w:val="00A81E50"/>
    <w:rsid w:val="00A81EAD"/>
    <w:rsid w:val="00A82DEB"/>
    <w:rsid w:val="00A835AA"/>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5A11"/>
    <w:rsid w:val="00AC70B1"/>
    <w:rsid w:val="00AC7946"/>
    <w:rsid w:val="00AC7EF6"/>
    <w:rsid w:val="00AD037A"/>
    <w:rsid w:val="00AD40A6"/>
    <w:rsid w:val="00AD4562"/>
    <w:rsid w:val="00AD5250"/>
    <w:rsid w:val="00AD5A7E"/>
    <w:rsid w:val="00AD5C66"/>
    <w:rsid w:val="00AD6255"/>
    <w:rsid w:val="00AE076C"/>
    <w:rsid w:val="00AE2681"/>
    <w:rsid w:val="00AE388F"/>
    <w:rsid w:val="00AF17A7"/>
    <w:rsid w:val="00AF3E45"/>
    <w:rsid w:val="00AF500A"/>
    <w:rsid w:val="00AF6A5C"/>
    <w:rsid w:val="00B01277"/>
    <w:rsid w:val="00B01572"/>
    <w:rsid w:val="00B0186B"/>
    <w:rsid w:val="00B03FBA"/>
    <w:rsid w:val="00B049DD"/>
    <w:rsid w:val="00B04AA2"/>
    <w:rsid w:val="00B05673"/>
    <w:rsid w:val="00B07BD2"/>
    <w:rsid w:val="00B11DF3"/>
    <w:rsid w:val="00B11FA7"/>
    <w:rsid w:val="00B13386"/>
    <w:rsid w:val="00B13967"/>
    <w:rsid w:val="00B1474E"/>
    <w:rsid w:val="00B21468"/>
    <w:rsid w:val="00B23B8D"/>
    <w:rsid w:val="00B24C4C"/>
    <w:rsid w:val="00B25E09"/>
    <w:rsid w:val="00B274C0"/>
    <w:rsid w:val="00B27D19"/>
    <w:rsid w:val="00B30B58"/>
    <w:rsid w:val="00B34135"/>
    <w:rsid w:val="00B3554B"/>
    <w:rsid w:val="00B36C61"/>
    <w:rsid w:val="00B376BF"/>
    <w:rsid w:val="00B41796"/>
    <w:rsid w:val="00B44E3A"/>
    <w:rsid w:val="00B463B6"/>
    <w:rsid w:val="00B50479"/>
    <w:rsid w:val="00B526C4"/>
    <w:rsid w:val="00B5636E"/>
    <w:rsid w:val="00B57B89"/>
    <w:rsid w:val="00B608F7"/>
    <w:rsid w:val="00B60FB4"/>
    <w:rsid w:val="00B62CCA"/>
    <w:rsid w:val="00B62FBD"/>
    <w:rsid w:val="00B65EFF"/>
    <w:rsid w:val="00B65FB6"/>
    <w:rsid w:val="00B65FF1"/>
    <w:rsid w:val="00B6601C"/>
    <w:rsid w:val="00B6655C"/>
    <w:rsid w:val="00B6673F"/>
    <w:rsid w:val="00B70B60"/>
    <w:rsid w:val="00B721E5"/>
    <w:rsid w:val="00B724E1"/>
    <w:rsid w:val="00B72939"/>
    <w:rsid w:val="00B730C1"/>
    <w:rsid w:val="00B73D20"/>
    <w:rsid w:val="00B74E26"/>
    <w:rsid w:val="00B76446"/>
    <w:rsid w:val="00B76CD6"/>
    <w:rsid w:val="00B8219B"/>
    <w:rsid w:val="00B84622"/>
    <w:rsid w:val="00B84970"/>
    <w:rsid w:val="00B85C7D"/>
    <w:rsid w:val="00B869F4"/>
    <w:rsid w:val="00B92D40"/>
    <w:rsid w:val="00B933ED"/>
    <w:rsid w:val="00B93896"/>
    <w:rsid w:val="00B95087"/>
    <w:rsid w:val="00B953B9"/>
    <w:rsid w:val="00B956AB"/>
    <w:rsid w:val="00B95F16"/>
    <w:rsid w:val="00BA1867"/>
    <w:rsid w:val="00BA22B0"/>
    <w:rsid w:val="00BA22F5"/>
    <w:rsid w:val="00BA3208"/>
    <w:rsid w:val="00BA37B3"/>
    <w:rsid w:val="00BA4FA2"/>
    <w:rsid w:val="00BB5096"/>
    <w:rsid w:val="00BB575C"/>
    <w:rsid w:val="00BC315E"/>
    <w:rsid w:val="00BC484A"/>
    <w:rsid w:val="00BC596F"/>
    <w:rsid w:val="00BC648F"/>
    <w:rsid w:val="00BC752C"/>
    <w:rsid w:val="00BD08B6"/>
    <w:rsid w:val="00BD33F6"/>
    <w:rsid w:val="00BE0424"/>
    <w:rsid w:val="00BE0662"/>
    <w:rsid w:val="00BE1C89"/>
    <w:rsid w:val="00BE21CA"/>
    <w:rsid w:val="00BE2D8D"/>
    <w:rsid w:val="00BE727B"/>
    <w:rsid w:val="00BE7A84"/>
    <w:rsid w:val="00BF0EEA"/>
    <w:rsid w:val="00BF2E1E"/>
    <w:rsid w:val="00BF4A4C"/>
    <w:rsid w:val="00BF4DDB"/>
    <w:rsid w:val="00BF66B7"/>
    <w:rsid w:val="00C00315"/>
    <w:rsid w:val="00C0057F"/>
    <w:rsid w:val="00C03F98"/>
    <w:rsid w:val="00C03FFB"/>
    <w:rsid w:val="00C04743"/>
    <w:rsid w:val="00C07163"/>
    <w:rsid w:val="00C1614B"/>
    <w:rsid w:val="00C162BA"/>
    <w:rsid w:val="00C202EA"/>
    <w:rsid w:val="00C21F2F"/>
    <w:rsid w:val="00C221DE"/>
    <w:rsid w:val="00C22ECD"/>
    <w:rsid w:val="00C25391"/>
    <w:rsid w:val="00C2553F"/>
    <w:rsid w:val="00C275F1"/>
    <w:rsid w:val="00C30290"/>
    <w:rsid w:val="00C31717"/>
    <w:rsid w:val="00C332AC"/>
    <w:rsid w:val="00C34FAE"/>
    <w:rsid w:val="00C35B46"/>
    <w:rsid w:val="00C37062"/>
    <w:rsid w:val="00C377D7"/>
    <w:rsid w:val="00C40974"/>
    <w:rsid w:val="00C40C0D"/>
    <w:rsid w:val="00C43C68"/>
    <w:rsid w:val="00C43EC0"/>
    <w:rsid w:val="00C440F6"/>
    <w:rsid w:val="00C46BE0"/>
    <w:rsid w:val="00C51AD1"/>
    <w:rsid w:val="00C53708"/>
    <w:rsid w:val="00C53C43"/>
    <w:rsid w:val="00C57943"/>
    <w:rsid w:val="00C57B55"/>
    <w:rsid w:val="00C60B7E"/>
    <w:rsid w:val="00C60C03"/>
    <w:rsid w:val="00C6491B"/>
    <w:rsid w:val="00C66721"/>
    <w:rsid w:val="00C6746A"/>
    <w:rsid w:val="00C675D7"/>
    <w:rsid w:val="00C676FE"/>
    <w:rsid w:val="00C70886"/>
    <w:rsid w:val="00C71831"/>
    <w:rsid w:val="00C72D4D"/>
    <w:rsid w:val="00C73C52"/>
    <w:rsid w:val="00C74068"/>
    <w:rsid w:val="00C746BE"/>
    <w:rsid w:val="00C763D2"/>
    <w:rsid w:val="00C77496"/>
    <w:rsid w:val="00C77B2F"/>
    <w:rsid w:val="00C80146"/>
    <w:rsid w:val="00C80CD7"/>
    <w:rsid w:val="00C8394F"/>
    <w:rsid w:val="00C84AE4"/>
    <w:rsid w:val="00C85003"/>
    <w:rsid w:val="00C87C5F"/>
    <w:rsid w:val="00C901BF"/>
    <w:rsid w:val="00C90AAC"/>
    <w:rsid w:val="00C912A1"/>
    <w:rsid w:val="00C913A9"/>
    <w:rsid w:val="00C926F4"/>
    <w:rsid w:val="00C92CA5"/>
    <w:rsid w:val="00C933D5"/>
    <w:rsid w:val="00C97139"/>
    <w:rsid w:val="00C97796"/>
    <w:rsid w:val="00CA1DD8"/>
    <w:rsid w:val="00CA1E03"/>
    <w:rsid w:val="00CA54B0"/>
    <w:rsid w:val="00CA6D5A"/>
    <w:rsid w:val="00CA6F27"/>
    <w:rsid w:val="00CA7F7A"/>
    <w:rsid w:val="00CB397D"/>
    <w:rsid w:val="00CB6601"/>
    <w:rsid w:val="00CB667C"/>
    <w:rsid w:val="00CB6B38"/>
    <w:rsid w:val="00CC05C7"/>
    <w:rsid w:val="00CC06B4"/>
    <w:rsid w:val="00CC0839"/>
    <w:rsid w:val="00CC097B"/>
    <w:rsid w:val="00CC2D2B"/>
    <w:rsid w:val="00CC5ECE"/>
    <w:rsid w:val="00CC7CB8"/>
    <w:rsid w:val="00CC7DBC"/>
    <w:rsid w:val="00CD2C75"/>
    <w:rsid w:val="00CD2D82"/>
    <w:rsid w:val="00CD55D4"/>
    <w:rsid w:val="00CE0FC0"/>
    <w:rsid w:val="00CE6333"/>
    <w:rsid w:val="00CE657E"/>
    <w:rsid w:val="00CF0666"/>
    <w:rsid w:val="00CF08C1"/>
    <w:rsid w:val="00CF0F7B"/>
    <w:rsid w:val="00CF1EAF"/>
    <w:rsid w:val="00CF2080"/>
    <w:rsid w:val="00CF50FA"/>
    <w:rsid w:val="00CF629D"/>
    <w:rsid w:val="00CF64F5"/>
    <w:rsid w:val="00CF685B"/>
    <w:rsid w:val="00D0105F"/>
    <w:rsid w:val="00D023AD"/>
    <w:rsid w:val="00D03A06"/>
    <w:rsid w:val="00D05F2A"/>
    <w:rsid w:val="00D13AB0"/>
    <w:rsid w:val="00D14CAB"/>
    <w:rsid w:val="00D14FDE"/>
    <w:rsid w:val="00D15C0A"/>
    <w:rsid w:val="00D15EE4"/>
    <w:rsid w:val="00D17FDD"/>
    <w:rsid w:val="00D2392F"/>
    <w:rsid w:val="00D276D6"/>
    <w:rsid w:val="00D303EB"/>
    <w:rsid w:val="00D3148C"/>
    <w:rsid w:val="00D32732"/>
    <w:rsid w:val="00D341D9"/>
    <w:rsid w:val="00D366F3"/>
    <w:rsid w:val="00D42383"/>
    <w:rsid w:val="00D43B46"/>
    <w:rsid w:val="00D44972"/>
    <w:rsid w:val="00D44F1A"/>
    <w:rsid w:val="00D45A87"/>
    <w:rsid w:val="00D55E03"/>
    <w:rsid w:val="00D612A3"/>
    <w:rsid w:val="00D61466"/>
    <w:rsid w:val="00D6229F"/>
    <w:rsid w:val="00D62689"/>
    <w:rsid w:val="00D62A11"/>
    <w:rsid w:val="00D62CB5"/>
    <w:rsid w:val="00D62E1A"/>
    <w:rsid w:val="00D6380E"/>
    <w:rsid w:val="00D64E11"/>
    <w:rsid w:val="00D65040"/>
    <w:rsid w:val="00D65868"/>
    <w:rsid w:val="00D65F34"/>
    <w:rsid w:val="00D66112"/>
    <w:rsid w:val="00D67D6A"/>
    <w:rsid w:val="00D70980"/>
    <w:rsid w:val="00D7105D"/>
    <w:rsid w:val="00D748B3"/>
    <w:rsid w:val="00D74AC6"/>
    <w:rsid w:val="00D74D66"/>
    <w:rsid w:val="00D75D28"/>
    <w:rsid w:val="00D76261"/>
    <w:rsid w:val="00D7751E"/>
    <w:rsid w:val="00D813E0"/>
    <w:rsid w:val="00D81ACB"/>
    <w:rsid w:val="00D9714C"/>
    <w:rsid w:val="00D97312"/>
    <w:rsid w:val="00DA0E5F"/>
    <w:rsid w:val="00DA11AD"/>
    <w:rsid w:val="00DA31D3"/>
    <w:rsid w:val="00DA6430"/>
    <w:rsid w:val="00DB27B6"/>
    <w:rsid w:val="00DB2B79"/>
    <w:rsid w:val="00DB4FCC"/>
    <w:rsid w:val="00DB7381"/>
    <w:rsid w:val="00DC2247"/>
    <w:rsid w:val="00DC32A6"/>
    <w:rsid w:val="00DD203E"/>
    <w:rsid w:val="00DD2698"/>
    <w:rsid w:val="00DD562F"/>
    <w:rsid w:val="00DD79C2"/>
    <w:rsid w:val="00DE10AB"/>
    <w:rsid w:val="00DE2029"/>
    <w:rsid w:val="00DE2E94"/>
    <w:rsid w:val="00DE441F"/>
    <w:rsid w:val="00DE5282"/>
    <w:rsid w:val="00DF3EC0"/>
    <w:rsid w:val="00DF48C8"/>
    <w:rsid w:val="00DF4C47"/>
    <w:rsid w:val="00DF4EF8"/>
    <w:rsid w:val="00DF5AD8"/>
    <w:rsid w:val="00E00D23"/>
    <w:rsid w:val="00E03FFD"/>
    <w:rsid w:val="00E048FB"/>
    <w:rsid w:val="00E04A03"/>
    <w:rsid w:val="00E10445"/>
    <w:rsid w:val="00E11720"/>
    <w:rsid w:val="00E1243A"/>
    <w:rsid w:val="00E131BD"/>
    <w:rsid w:val="00E14EE8"/>
    <w:rsid w:val="00E15BC6"/>
    <w:rsid w:val="00E16FD8"/>
    <w:rsid w:val="00E202CD"/>
    <w:rsid w:val="00E22A91"/>
    <w:rsid w:val="00E26F20"/>
    <w:rsid w:val="00E27047"/>
    <w:rsid w:val="00E30068"/>
    <w:rsid w:val="00E3100A"/>
    <w:rsid w:val="00E31EC3"/>
    <w:rsid w:val="00E32713"/>
    <w:rsid w:val="00E33C3E"/>
    <w:rsid w:val="00E37C70"/>
    <w:rsid w:val="00E43D3D"/>
    <w:rsid w:val="00E43FC9"/>
    <w:rsid w:val="00E50E2E"/>
    <w:rsid w:val="00E50EEF"/>
    <w:rsid w:val="00E5281E"/>
    <w:rsid w:val="00E53D9F"/>
    <w:rsid w:val="00E54FCD"/>
    <w:rsid w:val="00E55B5B"/>
    <w:rsid w:val="00E57041"/>
    <w:rsid w:val="00E60455"/>
    <w:rsid w:val="00E6423D"/>
    <w:rsid w:val="00E67A5E"/>
    <w:rsid w:val="00E70E4C"/>
    <w:rsid w:val="00E733A9"/>
    <w:rsid w:val="00E81C02"/>
    <w:rsid w:val="00E83B79"/>
    <w:rsid w:val="00E84D37"/>
    <w:rsid w:val="00E8576E"/>
    <w:rsid w:val="00E86973"/>
    <w:rsid w:val="00E873CB"/>
    <w:rsid w:val="00E902DC"/>
    <w:rsid w:val="00E927F3"/>
    <w:rsid w:val="00E93FE4"/>
    <w:rsid w:val="00E964B5"/>
    <w:rsid w:val="00E977DE"/>
    <w:rsid w:val="00E9783D"/>
    <w:rsid w:val="00EA2B3B"/>
    <w:rsid w:val="00EA3CC2"/>
    <w:rsid w:val="00EA4FC9"/>
    <w:rsid w:val="00EA576D"/>
    <w:rsid w:val="00EA7741"/>
    <w:rsid w:val="00EB18CC"/>
    <w:rsid w:val="00EB1A3E"/>
    <w:rsid w:val="00EB504C"/>
    <w:rsid w:val="00EB609C"/>
    <w:rsid w:val="00EC2178"/>
    <w:rsid w:val="00EC4A87"/>
    <w:rsid w:val="00EC593A"/>
    <w:rsid w:val="00EC7525"/>
    <w:rsid w:val="00ED253E"/>
    <w:rsid w:val="00ED6065"/>
    <w:rsid w:val="00ED6A68"/>
    <w:rsid w:val="00ED754A"/>
    <w:rsid w:val="00EE03C6"/>
    <w:rsid w:val="00EE1E72"/>
    <w:rsid w:val="00EE2036"/>
    <w:rsid w:val="00EE5A3C"/>
    <w:rsid w:val="00EE5BFB"/>
    <w:rsid w:val="00EF09EA"/>
    <w:rsid w:val="00EF232A"/>
    <w:rsid w:val="00EF4415"/>
    <w:rsid w:val="00EF565B"/>
    <w:rsid w:val="00EF6747"/>
    <w:rsid w:val="00EF6AF4"/>
    <w:rsid w:val="00F03368"/>
    <w:rsid w:val="00F03C63"/>
    <w:rsid w:val="00F04ED4"/>
    <w:rsid w:val="00F07472"/>
    <w:rsid w:val="00F0783D"/>
    <w:rsid w:val="00F11CEB"/>
    <w:rsid w:val="00F1284E"/>
    <w:rsid w:val="00F129B0"/>
    <w:rsid w:val="00F13477"/>
    <w:rsid w:val="00F15A56"/>
    <w:rsid w:val="00F16EB0"/>
    <w:rsid w:val="00F1772F"/>
    <w:rsid w:val="00F17E38"/>
    <w:rsid w:val="00F2149C"/>
    <w:rsid w:val="00F22BBD"/>
    <w:rsid w:val="00F27329"/>
    <w:rsid w:val="00F304AA"/>
    <w:rsid w:val="00F30FC8"/>
    <w:rsid w:val="00F33410"/>
    <w:rsid w:val="00F3500E"/>
    <w:rsid w:val="00F35256"/>
    <w:rsid w:val="00F35339"/>
    <w:rsid w:val="00F3787E"/>
    <w:rsid w:val="00F40B91"/>
    <w:rsid w:val="00F42893"/>
    <w:rsid w:val="00F4293F"/>
    <w:rsid w:val="00F440A5"/>
    <w:rsid w:val="00F47D19"/>
    <w:rsid w:val="00F47F75"/>
    <w:rsid w:val="00F509CD"/>
    <w:rsid w:val="00F54152"/>
    <w:rsid w:val="00F548E1"/>
    <w:rsid w:val="00F55AF8"/>
    <w:rsid w:val="00F5648E"/>
    <w:rsid w:val="00F614A2"/>
    <w:rsid w:val="00F71957"/>
    <w:rsid w:val="00F7274B"/>
    <w:rsid w:val="00F84124"/>
    <w:rsid w:val="00F852C0"/>
    <w:rsid w:val="00F85670"/>
    <w:rsid w:val="00F930F6"/>
    <w:rsid w:val="00F939E2"/>
    <w:rsid w:val="00F96055"/>
    <w:rsid w:val="00F96789"/>
    <w:rsid w:val="00F97EB0"/>
    <w:rsid w:val="00FA02FB"/>
    <w:rsid w:val="00FA18CA"/>
    <w:rsid w:val="00FA2A38"/>
    <w:rsid w:val="00FA6B9C"/>
    <w:rsid w:val="00FB0822"/>
    <w:rsid w:val="00FB2B62"/>
    <w:rsid w:val="00FB2F9C"/>
    <w:rsid w:val="00FB39E3"/>
    <w:rsid w:val="00FB42BD"/>
    <w:rsid w:val="00FB48A1"/>
    <w:rsid w:val="00FB49F6"/>
    <w:rsid w:val="00FC1EE1"/>
    <w:rsid w:val="00FC37D0"/>
    <w:rsid w:val="00FC5510"/>
    <w:rsid w:val="00FC5F2B"/>
    <w:rsid w:val="00FC74D2"/>
    <w:rsid w:val="00FD0630"/>
    <w:rsid w:val="00FD0819"/>
    <w:rsid w:val="00FD2AF2"/>
    <w:rsid w:val="00FD4F66"/>
    <w:rsid w:val="00FE590B"/>
    <w:rsid w:val="00FE5E09"/>
    <w:rsid w:val="00FE7958"/>
    <w:rsid w:val="00FF2358"/>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665B"/>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7C1613"/>
    <w:p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2Char">
    <w:name w:val="Heading 2 Char"/>
    <w:basedOn w:val="DefaultParagraphFont"/>
    <w:link w:val="Heading2"/>
    <w:rsid w:val="007C1613"/>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267350978">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 w:id="16781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332426-C150-4136-A0A1-D24F9876B87F}"/>
</file>

<file path=customXml/itemProps2.xml><?xml version="1.0" encoding="utf-8"?>
<ds:datastoreItem xmlns:ds="http://schemas.openxmlformats.org/officeDocument/2006/customXml" ds:itemID="{12E29797-88E5-40AB-9F46-A6AA5BB3E559}"/>
</file>

<file path=customXml/itemProps3.xml><?xml version="1.0" encoding="utf-8"?>
<ds:datastoreItem xmlns:ds="http://schemas.openxmlformats.org/officeDocument/2006/customXml" ds:itemID="{467947DE-B2F1-4E95-9BED-4E02BA35B3F2}"/>
</file>

<file path=customXml/itemProps4.xml><?xml version="1.0" encoding="utf-8"?>
<ds:datastoreItem xmlns:ds="http://schemas.openxmlformats.org/officeDocument/2006/customXml" ds:itemID="{D18E7B46-05C8-467B-9D6E-B520AD563507}"/>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ERT-User</cp:lastModifiedBy>
  <cp:revision>3</cp:revision>
  <cp:lastPrinted>2019-12-05T06:52:00Z</cp:lastPrinted>
  <dcterms:created xsi:type="dcterms:W3CDTF">2020-10-08T09:18:00Z</dcterms:created>
  <dcterms:modified xsi:type="dcterms:W3CDTF">2020-10-08T10:20:00Z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