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A5942">
        <w:rPr>
          <w:rFonts w:ascii="Arial" w:hAnsi="Arial" w:cs="Arial"/>
          <w:b/>
          <w:sz w:val="24"/>
          <w:szCs w:val="24"/>
        </w:rPr>
        <w:t>97</w:t>
      </w:r>
      <w:r w:rsidRPr="005B080A">
        <w:rPr>
          <w:rFonts w:ascii="Arial" w:hAnsi="Arial" w:cs="Arial"/>
          <w:b/>
          <w:sz w:val="24"/>
          <w:szCs w:val="24"/>
        </w:rPr>
        <w:t>/</w:t>
      </w:r>
      <w:r w:rsidR="00AA5942">
        <w:rPr>
          <w:rFonts w:ascii="Arial" w:hAnsi="Arial" w:cs="Arial"/>
          <w:b/>
          <w:sz w:val="24"/>
          <w:szCs w:val="24"/>
        </w:rPr>
        <w:t>20</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77777777" w:rsidR="00AB3DEA" w:rsidRPr="005B080A" w:rsidRDefault="00AA5942" w:rsidP="00AB3DEA">
      <w:pPr>
        <w:ind w:left="1440" w:firstLine="720"/>
        <w:jc w:val="both"/>
        <w:rPr>
          <w:rFonts w:ascii="Arial" w:hAnsi="Arial" w:cs="Arial"/>
          <w:b/>
          <w:sz w:val="24"/>
          <w:szCs w:val="24"/>
        </w:rPr>
      </w:pPr>
      <w:r>
        <w:rPr>
          <w:rFonts w:ascii="Arial" w:hAnsi="Arial" w:cs="Arial"/>
          <w:b/>
          <w:sz w:val="24"/>
          <w:szCs w:val="24"/>
        </w:rPr>
        <w:t xml:space="preserve">Francis </w:t>
      </w:r>
      <w:proofErr w:type="spellStart"/>
      <w:r>
        <w:rPr>
          <w:rFonts w:ascii="Arial" w:hAnsi="Arial" w:cs="Arial"/>
          <w:b/>
          <w:sz w:val="24"/>
          <w:szCs w:val="24"/>
        </w:rPr>
        <w:t>Supparayen</w:t>
      </w:r>
      <w:proofErr w:type="spellEnd"/>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77777777" w:rsidR="00AB3DEA" w:rsidRPr="005B080A" w:rsidRDefault="00AA5942" w:rsidP="00AB3DEA">
      <w:pPr>
        <w:ind w:left="1440" w:firstLine="720"/>
        <w:jc w:val="both"/>
        <w:rPr>
          <w:rFonts w:ascii="Arial" w:hAnsi="Arial" w:cs="Arial"/>
          <w:b/>
          <w:sz w:val="24"/>
          <w:szCs w:val="24"/>
        </w:rPr>
      </w:pPr>
      <w:r>
        <w:rPr>
          <w:rFonts w:ascii="Arial" w:hAnsi="Arial" w:cs="Arial"/>
          <w:b/>
          <w:sz w:val="24"/>
          <w:szCs w:val="24"/>
        </w:rPr>
        <w:t xml:space="preserve">Karen K. </w:t>
      </w:r>
      <w:proofErr w:type="spellStart"/>
      <w:r>
        <w:rPr>
          <w:rFonts w:ascii="Arial" w:hAnsi="Arial" w:cs="Arial"/>
          <w:b/>
          <w:sz w:val="24"/>
          <w:szCs w:val="24"/>
        </w:rPr>
        <w:t>Veerapen</w:t>
      </w:r>
      <w:proofErr w:type="spellEnd"/>
      <w:r>
        <w:rPr>
          <w:rFonts w:ascii="Arial" w:hAnsi="Arial" w:cs="Arial"/>
          <w:b/>
          <w:sz w:val="24"/>
          <w:szCs w:val="24"/>
        </w:rPr>
        <w:tab/>
      </w:r>
      <w:r w:rsidR="00AB3DEA" w:rsidRPr="005B080A">
        <w:rPr>
          <w:rFonts w:ascii="Arial" w:hAnsi="Arial" w:cs="Arial"/>
          <w:b/>
          <w:sz w:val="24"/>
          <w:szCs w:val="24"/>
        </w:rPr>
        <w:tab/>
      </w:r>
      <w:r w:rsidR="00AB3DEA" w:rsidRPr="005B080A">
        <w:rPr>
          <w:rFonts w:ascii="Arial" w:hAnsi="Arial" w:cs="Arial"/>
          <w:b/>
          <w:sz w:val="24"/>
          <w:szCs w:val="24"/>
        </w:rPr>
        <w:tab/>
        <w:t>Member</w:t>
      </w:r>
    </w:p>
    <w:p w14:paraId="1ED36740"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proofErr w:type="spellStart"/>
      <w:r w:rsidR="00AA5942">
        <w:rPr>
          <w:rFonts w:ascii="Arial" w:hAnsi="Arial" w:cs="Arial"/>
          <w:b/>
          <w:sz w:val="24"/>
          <w:szCs w:val="24"/>
        </w:rPr>
        <w:t>Arassen</w:t>
      </w:r>
      <w:proofErr w:type="spellEnd"/>
      <w:r w:rsidR="00AA5942">
        <w:rPr>
          <w:rFonts w:ascii="Arial" w:hAnsi="Arial" w:cs="Arial"/>
          <w:b/>
          <w:sz w:val="24"/>
          <w:szCs w:val="24"/>
        </w:rPr>
        <w:t xml:space="preserve"> </w:t>
      </w:r>
      <w:proofErr w:type="spellStart"/>
      <w:r w:rsidR="00AA5942">
        <w:rPr>
          <w:rFonts w:ascii="Arial" w:hAnsi="Arial" w:cs="Arial"/>
          <w:b/>
          <w:sz w:val="24"/>
          <w:szCs w:val="24"/>
        </w:rPr>
        <w:t>Kallee</w:t>
      </w:r>
      <w:proofErr w:type="spellEnd"/>
      <w:r w:rsidR="00AA5942">
        <w:rPr>
          <w:rFonts w:ascii="Arial" w:hAnsi="Arial" w:cs="Arial"/>
          <w:b/>
          <w:sz w:val="24"/>
          <w:szCs w:val="24"/>
        </w:rPr>
        <w:tab/>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2F2CD1C0" w14:textId="77777777" w:rsidR="00AB3DEA" w:rsidRDefault="00AB3DEA" w:rsidP="00AB3DEA">
      <w:pPr>
        <w:rPr>
          <w:rFonts w:ascii="Arial" w:hAnsi="Arial" w:cs="Arial"/>
          <w:b/>
          <w:sz w:val="24"/>
          <w:szCs w:val="24"/>
        </w:rPr>
      </w:pPr>
    </w:p>
    <w:p w14:paraId="657781DF" w14:textId="77777777" w:rsidR="00AB3DEA" w:rsidRPr="005B080A" w:rsidRDefault="00AB3DEA"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77777777" w:rsidR="00AB3DEA" w:rsidRPr="005B080A" w:rsidRDefault="00AB3DEA" w:rsidP="00AB3DEA">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sidR="00AF32F1">
        <w:rPr>
          <w:rFonts w:ascii="Arial" w:hAnsi="Arial" w:cs="Arial"/>
          <w:b/>
          <w:sz w:val="24"/>
          <w:szCs w:val="24"/>
        </w:rPr>
        <w:t>S</w:t>
      </w:r>
      <w:r w:rsidR="009F0669">
        <w:rPr>
          <w:rFonts w:ascii="Arial" w:hAnsi="Arial" w:cs="Arial"/>
          <w:b/>
          <w:sz w:val="24"/>
          <w:szCs w:val="24"/>
        </w:rPr>
        <w:t>havindra</w:t>
      </w:r>
      <w:proofErr w:type="spellEnd"/>
      <w:r w:rsidR="009F0669">
        <w:rPr>
          <w:rFonts w:ascii="Arial" w:hAnsi="Arial" w:cs="Arial"/>
          <w:b/>
          <w:sz w:val="24"/>
          <w:szCs w:val="24"/>
        </w:rPr>
        <w:t xml:space="preserve"> </w:t>
      </w:r>
      <w:proofErr w:type="spellStart"/>
      <w:r w:rsidR="009F0669">
        <w:rPr>
          <w:rFonts w:ascii="Arial" w:hAnsi="Arial" w:cs="Arial"/>
          <w:b/>
          <w:sz w:val="24"/>
          <w:szCs w:val="24"/>
        </w:rPr>
        <w:t>Dinoo</w:t>
      </w:r>
      <w:proofErr w:type="spellEnd"/>
      <w:r w:rsidR="009F0669">
        <w:rPr>
          <w:rFonts w:ascii="Arial" w:hAnsi="Arial" w:cs="Arial"/>
          <w:b/>
          <w:sz w:val="24"/>
          <w:szCs w:val="24"/>
        </w:rPr>
        <w:t xml:space="preserve"> </w:t>
      </w:r>
      <w:proofErr w:type="spellStart"/>
      <w:r w:rsidR="009F0669">
        <w:rPr>
          <w:rFonts w:ascii="Arial" w:hAnsi="Arial" w:cs="Arial"/>
          <w:b/>
          <w:sz w:val="24"/>
          <w:szCs w:val="24"/>
        </w:rPr>
        <w:t>Sunassee</w:t>
      </w:r>
      <w:proofErr w:type="spellEnd"/>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77777777" w:rsidR="00AB3DEA" w:rsidRDefault="009F0669" w:rsidP="00AB3DEA">
      <w:pPr>
        <w:ind w:left="1440" w:firstLine="720"/>
        <w:jc w:val="center"/>
        <w:rPr>
          <w:rFonts w:ascii="Arial" w:hAnsi="Arial" w:cs="Arial"/>
          <w:b/>
          <w:sz w:val="28"/>
          <w:szCs w:val="28"/>
        </w:rPr>
      </w:pPr>
      <w:r>
        <w:rPr>
          <w:rFonts w:ascii="Arial" w:hAnsi="Arial" w:cs="Arial"/>
          <w:b/>
          <w:sz w:val="24"/>
          <w:szCs w:val="24"/>
        </w:rPr>
        <w:t>Airports of Mauritius Co Ltd</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940F9F6" w14:textId="77777777" w:rsidR="00E72B5F" w:rsidRDefault="00E72B5F" w:rsidP="00AB3DEA">
      <w:pPr>
        <w:ind w:left="1440" w:firstLine="720"/>
        <w:jc w:val="center"/>
        <w:rPr>
          <w:rFonts w:ascii="Arial" w:hAnsi="Arial" w:cs="Arial"/>
          <w:b/>
          <w:sz w:val="28"/>
          <w:szCs w:val="28"/>
        </w:rPr>
      </w:pPr>
    </w:p>
    <w:p w14:paraId="7697CBD0" w14:textId="77777777" w:rsidR="00E72B5F" w:rsidRDefault="00E72B5F" w:rsidP="00AB3DEA">
      <w:pPr>
        <w:jc w:val="both"/>
        <w:rPr>
          <w:rFonts w:ascii="Arial" w:hAnsi="Arial" w:cs="Arial"/>
          <w:sz w:val="24"/>
          <w:szCs w:val="24"/>
        </w:rPr>
      </w:pPr>
    </w:p>
    <w:p w14:paraId="58089533" w14:textId="77777777"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Pr>
          <w:rFonts w:ascii="Arial" w:hAnsi="Arial" w:cs="Arial"/>
          <w:sz w:val="24"/>
          <w:szCs w:val="24"/>
        </w:rPr>
        <w:t>70</w:t>
      </w:r>
      <w:r w:rsidRPr="00FB39E3">
        <w:rPr>
          <w:rFonts w:ascii="Arial" w:hAnsi="Arial" w:cs="Arial"/>
          <w:sz w:val="24"/>
          <w:szCs w:val="24"/>
        </w:rPr>
        <w:t>(</w:t>
      </w:r>
      <w:r>
        <w:rPr>
          <w:rFonts w:ascii="Arial" w:hAnsi="Arial" w:cs="Arial"/>
          <w:sz w:val="24"/>
          <w:szCs w:val="24"/>
        </w:rPr>
        <w:t>4</w:t>
      </w:r>
      <w:r w:rsidRPr="00FB39E3">
        <w:rPr>
          <w:rFonts w:ascii="Arial" w:hAnsi="Arial" w:cs="Arial"/>
          <w:sz w:val="24"/>
          <w:szCs w:val="24"/>
        </w:rPr>
        <w:t>)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The parties were assisted by Counsel.  </w:t>
      </w:r>
      <w:r w:rsidRPr="00FB39E3">
        <w:rPr>
          <w:rFonts w:ascii="Arial" w:hAnsi="Arial" w:cs="Arial"/>
          <w:sz w:val="24"/>
          <w:szCs w:val="24"/>
        </w:rPr>
        <w:t xml:space="preserve">The terms of reference </w:t>
      </w:r>
      <w:r>
        <w:rPr>
          <w:rFonts w:ascii="Arial" w:hAnsi="Arial" w:cs="Arial"/>
          <w:sz w:val="24"/>
          <w:szCs w:val="24"/>
        </w:rPr>
        <w:t xml:space="preserve">of the points in dispute read as </w:t>
      </w:r>
      <w:r w:rsidRPr="00FB39E3">
        <w:rPr>
          <w:rFonts w:ascii="Arial" w:hAnsi="Arial" w:cs="Arial"/>
          <w:sz w:val="24"/>
          <w:szCs w:val="24"/>
        </w:rPr>
        <w:t xml:space="preserve">follows: </w:t>
      </w:r>
    </w:p>
    <w:p w14:paraId="5C50B339" w14:textId="77777777" w:rsidR="00310F65" w:rsidRDefault="00310F65" w:rsidP="00AF5E7A">
      <w:pPr>
        <w:pStyle w:val="NoSpacing"/>
        <w:ind w:left="720"/>
        <w:jc w:val="both"/>
        <w:rPr>
          <w:rFonts w:ascii="Arial" w:hAnsi="Arial" w:cs="Arial"/>
          <w:i/>
          <w:sz w:val="24"/>
          <w:szCs w:val="24"/>
        </w:rPr>
      </w:pPr>
      <w:r>
        <w:rPr>
          <w:rFonts w:ascii="Arial" w:hAnsi="Arial" w:cs="Arial"/>
          <w:i/>
          <w:sz w:val="24"/>
          <w:szCs w:val="24"/>
        </w:rPr>
        <w:t xml:space="preserve">“Whether I, </w:t>
      </w:r>
      <w:proofErr w:type="spellStart"/>
      <w:r>
        <w:rPr>
          <w:rFonts w:ascii="Arial" w:hAnsi="Arial" w:cs="Arial"/>
          <w:i/>
          <w:sz w:val="24"/>
          <w:szCs w:val="24"/>
        </w:rPr>
        <w:t>Sunassee</w:t>
      </w:r>
      <w:proofErr w:type="spellEnd"/>
      <w:r>
        <w:rPr>
          <w:rFonts w:ascii="Arial" w:hAnsi="Arial" w:cs="Arial"/>
          <w:i/>
          <w:sz w:val="24"/>
          <w:szCs w:val="24"/>
        </w:rPr>
        <w:t xml:space="preserve"> </w:t>
      </w:r>
      <w:proofErr w:type="spellStart"/>
      <w:r>
        <w:rPr>
          <w:rFonts w:ascii="Arial" w:hAnsi="Arial" w:cs="Arial"/>
          <w:i/>
          <w:sz w:val="24"/>
          <w:szCs w:val="24"/>
        </w:rPr>
        <w:t>Dinoo</w:t>
      </w:r>
      <w:proofErr w:type="spellEnd"/>
      <w:r>
        <w:rPr>
          <w:rFonts w:ascii="Arial" w:hAnsi="Arial" w:cs="Arial"/>
          <w:i/>
          <w:sz w:val="24"/>
          <w:szCs w:val="24"/>
        </w:rPr>
        <w:t xml:space="preserve"> </w:t>
      </w:r>
      <w:proofErr w:type="spellStart"/>
      <w:r>
        <w:rPr>
          <w:rFonts w:ascii="Arial" w:hAnsi="Arial" w:cs="Arial"/>
          <w:i/>
          <w:sz w:val="24"/>
          <w:szCs w:val="24"/>
        </w:rPr>
        <w:t>Shavindra</w:t>
      </w:r>
      <w:proofErr w:type="spellEnd"/>
      <w:r>
        <w:rPr>
          <w:rFonts w:ascii="Arial" w:hAnsi="Arial" w:cs="Arial"/>
          <w:i/>
          <w:sz w:val="24"/>
          <w:szCs w:val="24"/>
        </w:rPr>
        <w:t xml:space="preserve">, President of the Airport of Mauritius Ltd Employees Union and Ex- Airport operations control </w:t>
      </w:r>
      <w:proofErr w:type="spellStart"/>
      <w:r>
        <w:rPr>
          <w:rFonts w:ascii="Arial" w:hAnsi="Arial" w:cs="Arial"/>
          <w:i/>
          <w:sz w:val="24"/>
          <w:szCs w:val="24"/>
        </w:rPr>
        <w:t>center</w:t>
      </w:r>
      <w:proofErr w:type="spellEnd"/>
      <w:r>
        <w:rPr>
          <w:rFonts w:ascii="Arial" w:hAnsi="Arial" w:cs="Arial"/>
          <w:i/>
          <w:sz w:val="24"/>
          <w:szCs w:val="24"/>
        </w:rPr>
        <w:t xml:space="preserve"> operator of the AML, summarily dismissed on the 25</w:t>
      </w:r>
      <w:r w:rsidRPr="00310F65">
        <w:rPr>
          <w:rFonts w:ascii="Arial" w:hAnsi="Arial" w:cs="Arial"/>
          <w:i/>
          <w:sz w:val="24"/>
          <w:szCs w:val="24"/>
          <w:vertAlign w:val="superscript"/>
        </w:rPr>
        <w:t>th</w:t>
      </w:r>
      <w:r>
        <w:rPr>
          <w:rFonts w:ascii="Arial" w:hAnsi="Arial" w:cs="Arial"/>
          <w:i/>
          <w:sz w:val="24"/>
          <w:szCs w:val="24"/>
        </w:rPr>
        <w:t xml:space="preserve"> of July 2020, must be re-instated in my post as mentioned above, pursuant to Section 64(1A)(d) and (f) of the Employment Relations Act 2019.”</w:t>
      </w:r>
    </w:p>
    <w:p w14:paraId="1EF8688D" w14:textId="77777777" w:rsidR="00310F65" w:rsidRDefault="00310F65" w:rsidP="00AF5E7A">
      <w:pPr>
        <w:pStyle w:val="NoSpacing"/>
        <w:ind w:left="720"/>
        <w:jc w:val="both"/>
        <w:rPr>
          <w:rFonts w:ascii="Arial" w:hAnsi="Arial" w:cs="Arial"/>
          <w:i/>
          <w:sz w:val="24"/>
          <w:szCs w:val="24"/>
        </w:rPr>
      </w:pPr>
    </w:p>
    <w:p w14:paraId="3ACFB0B4" w14:textId="77777777" w:rsidR="00462A70" w:rsidRDefault="00462A70" w:rsidP="00310F65">
      <w:pPr>
        <w:pStyle w:val="NoSpacing"/>
        <w:jc w:val="both"/>
        <w:rPr>
          <w:rFonts w:ascii="Arial" w:hAnsi="Arial" w:cs="Arial"/>
          <w:sz w:val="24"/>
          <w:szCs w:val="24"/>
        </w:rPr>
      </w:pPr>
      <w:r>
        <w:rPr>
          <w:rFonts w:ascii="Arial" w:hAnsi="Arial" w:cs="Arial"/>
          <w:sz w:val="24"/>
          <w:szCs w:val="24"/>
        </w:rPr>
        <w:t>It is apposite to note that the Respondent has raised a preliminary objection in its Statement of Reply which reads as follows:</w:t>
      </w:r>
    </w:p>
    <w:p w14:paraId="4CBACE2B" w14:textId="77777777" w:rsidR="00462A70" w:rsidRDefault="00462A70" w:rsidP="00310F65">
      <w:pPr>
        <w:pStyle w:val="NoSpacing"/>
        <w:jc w:val="both"/>
        <w:rPr>
          <w:rFonts w:ascii="Arial" w:hAnsi="Arial" w:cs="Arial"/>
          <w:sz w:val="24"/>
          <w:szCs w:val="24"/>
        </w:rPr>
      </w:pPr>
    </w:p>
    <w:p w14:paraId="35842D3A" w14:textId="77777777" w:rsidR="00462A70" w:rsidRPr="00462A70" w:rsidRDefault="00462A70" w:rsidP="00462A70">
      <w:pPr>
        <w:pStyle w:val="NoSpacing"/>
        <w:numPr>
          <w:ilvl w:val="0"/>
          <w:numId w:val="13"/>
        </w:numPr>
        <w:jc w:val="both"/>
        <w:rPr>
          <w:rFonts w:ascii="Arial" w:hAnsi="Arial" w:cs="Arial"/>
          <w:i/>
          <w:sz w:val="24"/>
          <w:szCs w:val="24"/>
        </w:rPr>
      </w:pPr>
      <w:r w:rsidRPr="00462A70">
        <w:rPr>
          <w:rFonts w:ascii="Arial" w:hAnsi="Arial" w:cs="Arial"/>
          <w:i/>
          <w:sz w:val="24"/>
          <w:szCs w:val="24"/>
        </w:rPr>
        <w:lastRenderedPageBreak/>
        <w:t>The Disputant’s present application falls outside the jurisdiction of the Employment Relations Tribunal as set out under section 64(1)(A) of the Employment Relations Act inasmuch as the Disputant’s employment was terminated summarily on grounds of gross misconduct and breach of trust following disciplinary proceedings which were initiated against the latter in his capacity as employee of the Respondent.</w:t>
      </w:r>
    </w:p>
    <w:p w14:paraId="2AC7C93D" w14:textId="77777777" w:rsidR="00462A70" w:rsidRPr="00462A70" w:rsidRDefault="00462A70" w:rsidP="00462A70">
      <w:pPr>
        <w:pStyle w:val="NoSpacing"/>
        <w:numPr>
          <w:ilvl w:val="0"/>
          <w:numId w:val="13"/>
        </w:numPr>
        <w:jc w:val="both"/>
        <w:rPr>
          <w:rFonts w:ascii="Arial" w:hAnsi="Arial" w:cs="Arial"/>
          <w:i/>
          <w:sz w:val="24"/>
          <w:szCs w:val="24"/>
        </w:rPr>
      </w:pPr>
      <w:r w:rsidRPr="00462A70">
        <w:rPr>
          <w:rFonts w:ascii="Arial" w:hAnsi="Arial" w:cs="Arial"/>
          <w:i/>
          <w:sz w:val="24"/>
          <w:szCs w:val="24"/>
        </w:rPr>
        <w:t>The Respondent accordingly moves that the application be dismissed with cost.</w:t>
      </w:r>
    </w:p>
    <w:p w14:paraId="4D7FE15B" w14:textId="77777777" w:rsidR="00462A70" w:rsidRDefault="00462A70" w:rsidP="00462A70">
      <w:pPr>
        <w:pStyle w:val="NoSpacing"/>
        <w:jc w:val="both"/>
        <w:rPr>
          <w:rFonts w:ascii="Arial" w:hAnsi="Arial" w:cs="Arial"/>
          <w:sz w:val="24"/>
          <w:szCs w:val="24"/>
        </w:rPr>
      </w:pPr>
    </w:p>
    <w:p w14:paraId="3DF542BD" w14:textId="77777777" w:rsidR="0088313A" w:rsidRDefault="00462A70" w:rsidP="00310F65">
      <w:pPr>
        <w:pStyle w:val="NoSpacing"/>
        <w:jc w:val="both"/>
        <w:rPr>
          <w:rFonts w:ascii="Arial" w:hAnsi="Arial" w:cs="Arial"/>
          <w:sz w:val="24"/>
          <w:szCs w:val="24"/>
        </w:rPr>
      </w:pPr>
      <w:r>
        <w:rPr>
          <w:rFonts w:ascii="Arial" w:hAnsi="Arial" w:cs="Arial"/>
          <w:sz w:val="24"/>
          <w:szCs w:val="24"/>
        </w:rPr>
        <w:t xml:space="preserve">In view of the short delay currently provided by law (following the amendments brought to the Act by The Covid-19 </w:t>
      </w:r>
      <w:r w:rsidR="0088313A">
        <w:rPr>
          <w:rFonts w:ascii="Arial" w:hAnsi="Arial" w:cs="Arial"/>
          <w:sz w:val="24"/>
          <w:szCs w:val="24"/>
        </w:rPr>
        <w:t>(Miscellaneous Provisions) Act)</w:t>
      </w:r>
      <w:r>
        <w:rPr>
          <w:rFonts w:ascii="Arial" w:hAnsi="Arial" w:cs="Arial"/>
          <w:sz w:val="24"/>
          <w:szCs w:val="24"/>
        </w:rPr>
        <w:t xml:space="preserve"> to determine such a matter</w:t>
      </w:r>
      <w:r w:rsidR="0088313A">
        <w:rPr>
          <w:rFonts w:ascii="Arial" w:hAnsi="Arial" w:cs="Arial"/>
          <w:sz w:val="24"/>
          <w:szCs w:val="24"/>
        </w:rPr>
        <w:t>, it was agreed that the preliminary objection was going to be taken together with the merits of the case.  T</w:t>
      </w:r>
      <w:r>
        <w:rPr>
          <w:rFonts w:ascii="Arial" w:hAnsi="Arial" w:cs="Arial"/>
          <w:sz w:val="24"/>
          <w:szCs w:val="24"/>
        </w:rPr>
        <w:t xml:space="preserve">he Disputant and the representative of the Respondent </w:t>
      </w:r>
      <w:proofErr w:type="spellStart"/>
      <w:r>
        <w:rPr>
          <w:rFonts w:ascii="Arial" w:hAnsi="Arial" w:cs="Arial"/>
          <w:sz w:val="24"/>
          <w:szCs w:val="24"/>
        </w:rPr>
        <w:t>deponed</w:t>
      </w:r>
      <w:proofErr w:type="spellEnd"/>
      <w:r>
        <w:rPr>
          <w:rFonts w:ascii="Arial" w:hAnsi="Arial" w:cs="Arial"/>
          <w:sz w:val="24"/>
          <w:szCs w:val="24"/>
        </w:rPr>
        <w:t xml:space="preserve"> before the Tribunal</w:t>
      </w:r>
      <w:r w:rsidR="0088313A">
        <w:rPr>
          <w:rFonts w:ascii="Arial" w:hAnsi="Arial" w:cs="Arial"/>
          <w:sz w:val="24"/>
          <w:szCs w:val="24"/>
        </w:rPr>
        <w:t xml:space="preserve"> and both Counsel offered oral submissions.</w:t>
      </w:r>
    </w:p>
    <w:p w14:paraId="050E2EF8" w14:textId="77777777" w:rsidR="0088313A" w:rsidRDefault="0088313A" w:rsidP="00310F65">
      <w:pPr>
        <w:pStyle w:val="NoSpacing"/>
        <w:jc w:val="both"/>
        <w:rPr>
          <w:rFonts w:ascii="Arial" w:hAnsi="Arial" w:cs="Arial"/>
          <w:sz w:val="24"/>
          <w:szCs w:val="24"/>
        </w:rPr>
      </w:pPr>
    </w:p>
    <w:p w14:paraId="0C2C9F90" w14:textId="77777777" w:rsidR="00835284" w:rsidRDefault="0088313A" w:rsidP="00835284">
      <w:pPr>
        <w:pStyle w:val="NoSpacing"/>
        <w:jc w:val="both"/>
        <w:rPr>
          <w:rFonts w:ascii="Arial" w:hAnsi="Arial" w:cs="Arial"/>
          <w:sz w:val="24"/>
          <w:szCs w:val="24"/>
        </w:rPr>
      </w:pPr>
      <w:r>
        <w:rPr>
          <w:rFonts w:ascii="Arial" w:hAnsi="Arial" w:cs="Arial"/>
          <w:sz w:val="24"/>
          <w:szCs w:val="24"/>
        </w:rPr>
        <w:t xml:space="preserve">The Tribunal has carefully considered all the evidence on record and the submissions of Counsel.  </w:t>
      </w:r>
      <w:r w:rsidR="00835284">
        <w:rPr>
          <w:rFonts w:ascii="Arial" w:hAnsi="Arial" w:cs="Arial"/>
          <w:sz w:val="24"/>
          <w:szCs w:val="24"/>
        </w:rPr>
        <w:t>The jurisdiction of the Tribunal emanates from the definition of “labour dispute” under section 2 of the Act, as amended and which reads as follows:</w:t>
      </w:r>
    </w:p>
    <w:p w14:paraId="26F20505" w14:textId="77777777" w:rsidR="00835284" w:rsidRDefault="00835284" w:rsidP="00835284">
      <w:pPr>
        <w:pStyle w:val="NoSpacing"/>
        <w:jc w:val="both"/>
        <w:rPr>
          <w:rFonts w:ascii="Arial" w:hAnsi="Arial" w:cs="Arial"/>
          <w:sz w:val="24"/>
          <w:szCs w:val="24"/>
        </w:rPr>
      </w:pPr>
    </w:p>
    <w:p w14:paraId="3872DACF" w14:textId="77777777" w:rsidR="00E72B5F" w:rsidRDefault="00E72B5F" w:rsidP="00441635">
      <w:pPr>
        <w:spacing w:line="360" w:lineRule="auto"/>
        <w:ind w:left="567"/>
        <w:jc w:val="both"/>
        <w:rPr>
          <w:rFonts w:ascii="Arial" w:hAnsi="Arial" w:cs="Arial"/>
          <w:i/>
          <w:sz w:val="24"/>
          <w:szCs w:val="24"/>
          <w:lang w:val="en-GB"/>
        </w:rPr>
      </w:pPr>
    </w:p>
    <w:p w14:paraId="3D9F67E5" w14:textId="77777777" w:rsidR="00441635" w:rsidRPr="00441635" w:rsidRDefault="00441635" w:rsidP="00441635">
      <w:pPr>
        <w:spacing w:line="360" w:lineRule="auto"/>
        <w:ind w:left="567"/>
        <w:jc w:val="both"/>
        <w:rPr>
          <w:rFonts w:ascii="Arial" w:hAnsi="Arial" w:cs="Arial"/>
          <w:i/>
          <w:sz w:val="24"/>
          <w:szCs w:val="24"/>
          <w:lang w:val="en-GB"/>
        </w:rPr>
      </w:pPr>
      <w:r w:rsidRPr="00441635">
        <w:rPr>
          <w:rFonts w:ascii="Arial" w:hAnsi="Arial" w:cs="Arial"/>
          <w:i/>
          <w:sz w:val="24"/>
          <w:szCs w:val="24"/>
          <w:lang w:val="en-GB"/>
        </w:rPr>
        <w:t>“</w:t>
      </w:r>
      <w:proofErr w:type="gramStart"/>
      <w:r w:rsidRPr="00441635">
        <w:rPr>
          <w:rFonts w:ascii="Arial" w:hAnsi="Arial" w:cs="Arial"/>
          <w:i/>
          <w:sz w:val="24"/>
          <w:szCs w:val="24"/>
          <w:lang w:val="en-GB"/>
        </w:rPr>
        <w:t>labour</w:t>
      </w:r>
      <w:proofErr w:type="gramEnd"/>
      <w:r w:rsidRPr="00441635">
        <w:rPr>
          <w:rFonts w:ascii="Arial" w:hAnsi="Arial" w:cs="Arial"/>
          <w:i/>
          <w:sz w:val="24"/>
          <w:szCs w:val="24"/>
          <w:lang w:val="en-GB"/>
        </w:rPr>
        <w:t xml:space="preserve"> dispute” – </w:t>
      </w:r>
    </w:p>
    <w:p w14:paraId="630DE1E0" w14:textId="77777777" w:rsidR="00441635" w:rsidRPr="00441635" w:rsidRDefault="00441635" w:rsidP="00441635">
      <w:pPr>
        <w:pStyle w:val="Default"/>
        <w:numPr>
          <w:ilvl w:val="0"/>
          <w:numId w:val="14"/>
        </w:numPr>
        <w:spacing w:line="360" w:lineRule="auto"/>
        <w:ind w:left="1440" w:hanging="1440"/>
        <w:jc w:val="both"/>
        <w:rPr>
          <w:i/>
          <w:color w:val="auto"/>
          <w:lang w:val="en-GB"/>
        </w:rPr>
      </w:pPr>
      <w:r w:rsidRPr="00441635">
        <w:rPr>
          <w:i/>
          <w:color w:val="auto"/>
          <w:lang w:val="en-GB"/>
        </w:rPr>
        <w:t xml:space="preserve">   </w:t>
      </w:r>
      <w:r w:rsidRPr="00441635">
        <w:rPr>
          <w:i/>
          <w:color w:val="auto"/>
          <w:lang w:val="en-GB"/>
        </w:rPr>
        <w:tab/>
      </w:r>
      <w:r w:rsidRPr="00441635">
        <w:rPr>
          <w:i/>
          <w:color w:val="auto"/>
          <w:lang w:val="en-GB"/>
        </w:rPr>
        <w:tab/>
        <w:t>(a)</w:t>
      </w:r>
      <w:r w:rsidRPr="00441635">
        <w:rPr>
          <w:i/>
          <w:color w:val="auto"/>
          <w:lang w:val="en-GB"/>
        </w:rPr>
        <w:tab/>
        <w:t>means a dispute between a worker, a recognised trade union of workers or a joint negotiating panel, and an employer which relates wholly or mainly to –</w:t>
      </w:r>
    </w:p>
    <w:p w14:paraId="269F279E" w14:textId="77777777" w:rsidR="00441635" w:rsidRPr="00441635" w:rsidRDefault="00441635" w:rsidP="00441635">
      <w:pPr>
        <w:pStyle w:val="Default"/>
        <w:numPr>
          <w:ilvl w:val="0"/>
          <w:numId w:val="14"/>
        </w:numPr>
        <w:spacing w:line="360" w:lineRule="auto"/>
        <w:jc w:val="both"/>
        <w:rPr>
          <w:i/>
          <w:color w:val="auto"/>
          <w:lang w:val="en-GB"/>
        </w:rPr>
      </w:pPr>
    </w:p>
    <w:p w14:paraId="42BF98B0" w14:textId="77777777" w:rsidR="00441635" w:rsidRPr="00441635" w:rsidRDefault="00441635" w:rsidP="00441635">
      <w:pPr>
        <w:pStyle w:val="Default"/>
        <w:spacing w:line="360" w:lineRule="auto"/>
        <w:ind w:left="2700" w:hanging="480"/>
        <w:jc w:val="both"/>
        <w:rPr>
          <w:i/>
          <w:color w:val="auto"/>
          <w:lang w:val="en-GB"/>
        </w:rPr>
      </w:pPr>
      <w:r w:rsidRPr="00441635">
        <w:rPr>
          <w:i/>
          <w:color w:val="auto"/>
          <w:lang w:val="en-GB"/>
        </w:rPr>
        <w:t>(i)</w:t>
      </w:r>
      <w:r w:rsidRPr="00441635">
        <w:rPr>
          <w:i/>
          <w:color w:val="auto"/>
          <w:lang w:val="en-GB"/>
        </w:rPr>
        <w:tab/>
      </w:r>
      <w:proofErr w:type="gramStart"/>
      <w:r w:rsidRPr="00441635">
        <w:rPr>
          <w:i/>
          <w:color w:val="auto"/>
          <w:lang w:val="en-GB"/>
        </w:rPr>
        <w:t>the</w:t>
      </w:r>
      <w:proofErr w:type="gramEnd"/>
      <w:r w:rsidRPr="00441635">
        <w:rPr>
          <w:i/>
          <w:color w:val="auto"/>
          <w:lang w:val="en-GB"/>
        </w:rPr>
        <w:t xml:space="preserve"> wages, terms and conditions of employment of, promotion of, or allocation of work to, a worker or group of workers;</w:t>
      </w:r>
    </w:p>
    <w:p w14:paraId="4B516BEF" w14:textId="77777777" w:rsidR="00441635" w:rsidRPr="00441635" w:rsidRDefault="00441635" w:rsidP="00441635">
      <w:pPr>
        <w:pStyle w:val="Default"/>
        <w:numPr>
          <w:ilvl w:val="0"/>
          <w:numId w:val="14"/>
        </w:numPr>
        <w:spacing w:line="360" w:lineRule="auto"/>
        <w:jc w:val="both"/>
        <w:rPr>
          <w:i/>
          <w:color w:val="auto"/>
          <w:lang w:val="en-GB"/>
        </w:rPr>
      </w:pPr>
    </w:p>
    <w:p w14:paraId="0DA67B0E" w14:textId="2A626114" w:rsidR="00441635" w:rsidRPr="00441635" w:rsidRDefault="00441635" w:rsidP="00441635">
      <w:pPr>
        <w:pStyle w:val="Default"/>
        <w:numPr>
          <w:ilvl w:val="8"/>
          <w:numId w:val="14"/>
        </w:numPr>
        <w:spacing w:line="360" w:lineRule="auto"/>
        <w:ind w:left="2610" w:hanging="2610"/>
        <w:jc w:val="both"/>
        <w:rPr>
          <w:i/>
          <w:color w:val="auto"/>
          <w:lang w:val="en-GB"/>
        </w:rPr>
      </w:pPr>
      <w:r w:rsidRPr="00441635">
        <w:rPr>
          <w:i/>
          <w:color w:val="auto"/>
          <w:lang w:val="en-GB"/>
        </w:rPr>
        <w:t>(ii)</w:t>
      </w:r>
      <w:r w:rsidRPr="00441635">
        <w:rPr>
          <w:i/>
          <w:color w:val="auto"/>
          <w:lang w:val="en-GB"/>
        </w:rPr>
        <w:tab/>
        <w:t>the reinstatement of a worker, other than a worker who is appointed</w:t>
      </w:r>
      <w:r>
        <w:rPr>
          <w:i/>
          <w:color w:val="auto"/>
          <w:lang w:val="en-GB"/>
        </w:rPr>
        <w:t xml:space="preserve"> </w:t>
      </w:r>
      <w:r w:rsidRPr="00441635">
        <w:rPr>
          <w:i/>
          <w:color w:val="auto"/>
          <w:lang w:val="en-GB"/>
        </w:rPr>
        <w:t>by, or under delegated powers by, the Judicial and Legal Service Commission, the Public Service Commission or the Local Government Service Commission –</w:t>
      </w:r>
    </w:p>
    <w:p w14:paraId="46CB89A6" w14:textId="5B761942" w:rsidR="00441635" w:rsidRPr="00441635" w:rsidRDefault="00441635" w:rsidP="00441635">
      <w:pPr>
        <w:pStyle w:val="Default"/>
        <w:numPr>
          <w:ilvl w:val="8"/>
          <w:numId w:val="14"/>
        </w:numPr>
        <w:spacing w:line="360" w:lineRule="auto"/>
        <w:ind w:left="2430" w:hanging="2430"/>
        <w:jc w:val="both"/>
        <w:rPr>
          <w:i/>
          <w:color w:val="auto"/>
          <w:lang w:val="en-GB"/>
        </w:rPr>
      </w:pPr>
      <w:r w:rsidRPr="00441635">
        <w:rPr>
          <w:i/>
          <w:color w:val="auto"/>
          <w:lang w:val="en-GB"/>
        </w:rPr>
        <w:t xml:space="preserve">                             (A)</w:t>
      </w:r>
      <w:r w:rsidRPr="00441635">
        <w:rPr>
          <w:i/>
          <w:color w:val="auto"/>
          <w:lang w:val="en-GB"/>
        </w:rPr>
        <w:tab/>
        <w:t>where the worker is suspended from employment, except where the alleged misconduct of the worker is subject to criminal proceedings; or</w:t>
      </w:r>
    </w:p>
    <w:p w14:paraId="096C7CAD" w14:textId="77777777" w:rsidR="00441635" w:rsidRPr="00441635" w:rsidRDefault="00441635" w:rsidP="00441635">
      <w:pPr>
        <w:pStyle w:val="Default"/>
        <w:numPr>
          <w:ilvl w:val="0"/>
          <w:numId w:val="14"/>
        </w:numPr>
        <w:spacing w:line="360" w:lineRule="auto"/>
        <w:jc w:val="both"/>
        <w:rPr>
          <w:i/>
          <w:color w:val="auto"/>
          <w:lang w:val="en-GB"/>
        </w:rPr>
      </w:pPr>
    </w:p>
    <w:p w14:paraId="21F7A462" w14:textId="77777777" w:rsidR="00441635" w:rsidRPr="00441635" w:rsidRDefault="00441635" w:rsidP="00441635">
      <w:pPr>
        <w:pStyle w:val="Default"/>
        <w:spacing w:line="360" w:lineRule="auto"/>
        <w:ind w:left="2430"/>
        <w:jc w:val="both"/>
        <w:rPr>
          <w:i/>
          <w:color w:val="auto"/>
          <w:lang w:val="en-GB"/>
        </w:rPr>
      </w:pPr>
      <w:r w:rsidRPr="00441635">
        <w:rPr>
          <w:i/>
          <w:color w:val="auto"/>
          <w:lang w:val="en-GB"/>
        </w:rPr>
        <w:lastRenderedPageBreak/>
        <w:t>(B)</w:t>
      </w:r>
      <w:r w:rsidRPr="00441635">
        <w:rPr>
          <w:i/>
          <w:color w:val="auto"/>
          <w:lang w:val="en-GB"/>
        </w:rPr>
        <w:tab/>
      </w:r>
      <w:proofErr w:type="gramStart"/>
      <w:r w:rsidRPr="00441635">
        <w:rPr>
          <w:i/>
          <w:color w:val="auto"/>
          <w:lang w:val="en-GB"/>
        </w:rPr>
        <w:t>where</w:t>
      </w:r>
      <w:proofErr w:type="gramEnd"/>
      <w:r w:rsidRPr="00441635">
        <w:rPr>
          <w:i/>
          <w:color w:val="auto"/>
          <w:lang w:val="en-GB"/>
        </w:rPr>
        <w:t xml:space="preserve"> the employment of the worker is terminated on the grounds specified in section 64(1A);</w:t>
      </w:r>
    </w:p>
    <w:p w14:paraId="634948A1" w14:textId="28644668" w:rsidR="00441635" w:rsidRPr="00441635" w:rsidRDefault="00441635" w:rsidP="00441635">
      <w:pPr>
        <w:spacing w:line="360" w:lineRule="auto"/>
        <w:ind w:left="1701" w:hanging="567"/>
        <w:jc w:val="both"/>
        <w:rPr>
          <w:rFonts w:ascii="Arial" w:hAnsi="Arial" w:cs="Arial"/>
          <w:i/>
          <w:sz w:val="24"/>
          <w:szCs w:val="24"/>
          <w:lang w:val="en-GB"/>
        </w:rPr>
      </w:pPr>
      <w:r w:rsidRPr="00441635">
        <w:rPr>
          <w:rFonts w:ascii="Arial" w:hAnsi="Arial" w:cs="Arial"/>
          <w:i/>
          <w:sz w:val="24"/>
          <w:szCs w:val="24"/>
          <w:lang w:val="en-GB"/>
        </w:rPr>
        <w:t>(b)</w:t>
      </w:r>
      <w:r w:rsidRPr="00441635">
        <w:rPr>
          <w:rFonts w:ascii="Arial" w:hAnsi="Arial" w:cs="Arial"/>
          <w:i/>
          <w:sz w:val="24"/>
          <w:szCs w:val="24"/>
          <w:lang w:val="en-GB"/>
        </w:rPr>
        <w:tab/>
      </w:r>
      <w:r>
        <w:rPr>
          <w:rFonts w:ascii="Arial" w:hAnsi="Arial" w:cs="Arial"/>
          <w:i/>
          <w:sz w:val="24"/>
          <w:szCs w:val="24"/>
          <w:lang w:val="en-GB"/>
        </w:rPr>
        <w:t>….</w:t>
      </w:r>
      <w:r w:rsidRPr="00441635">
        <w:rPr>
          <w:rFonts w:ascii="Arial" w:hAnsi="Arial" w:cs="Arial"/>
          <w:i/>
          <w:sz w:val="24"/>
          <w:szCs w:val="24"/>
          <w:lang w:val="en-GB"/>
        </w:rPr>
        <w:t xml:space="preserve"> </w:t>
      </w:r>
    </w:p>
    <w:p w14:paraId="6F5E4DE4" w14:textId="58103C56" w:rsidR="00835284" w:rsidRPr="00441635" w:rsidRDefault="00441635" w:rsidP="00441635">
      <w:pPr>
        <w:pStyle w:val="NoSpacing"/>
        <w:ind w:left="2160" w:hanging="1026"/>
        <w:jc w:val="both"/>
        <w:rPr>
          <w:rFonts w:ascii="Arial" w:hAnsi="Arial" w:cs="Arial"/>
          <w:i/>
          <w:sz w:val="24"/>
          <w:szCs w:val="24"/>
        </w:rPr>
      </w:pPr>
      <w:r w:rsidRPr="00441635">
        <w:rPr>
          <w:rFonts w:ascii="Arial" w:hAnsi="Arial" w:cs="Arial"/>
          <w:i/>
          <w:sz w:val="24"/>
          <w:szCs w:val="24"/>
        </w:rPr>
        <w:t xml:space="preserve">(c)    </w:t>
      </w:r>
      <w:r w:rsidR="00835284" w:rsidRPr="00441635">
        <w:rPr>
          <w:rFonts w:ascii="Arial" w:hAnsi="Arial" w:cs="Arial"/>
          <w:i/>
          <w:sz w:val="24"/>
          <w:szCs w:val="24"/>
        </w:rPr>
        <w:t>…</w:t>
      </w:r>
    </w:p>
    <w:p w14:paraId="0FDF21F0" w14:textId="77777777" w:rsidR="00835284" w:rsidRDefault="00835284" w:rsidP="00835284">
      <w:pPr>
        <w:pStyle w:val="NoSpacing"/>
        <w:jc w:val="both"/>
        <w:rPr>
          <w:rFonts w:ascii="Arial" w:hAnsi="Arial" w:cs="Arial"/>
          <w:sz w:val="24"/>
          <w:szCs w:val="24"/>
        </w:rPr>
      </w:pPr>
    </w:p>
    <w:p w14:paraId="7E259C45" w14:textId="77777777" w:rsidR="00835284" w:rsidRDefault="00835284" w:rsidP="00835284">
      <w:pPr>
        <w:pStyle w:val="NoSpacing"/>
        <w:jc w:val="both"/>
        <w:rPr>
          <w:rFonts w:ascii="Arial" w:hAnsi="Arial" w:cs="Arial"/>
          <w:sz w:val="24"/>
          <w:szCs w:val="24"/>
        </w:rPr>
      </w:pPr>
    </w:p>
    <w:p w14:paraId="03E90A17" w14:textId="77777777" w:rsidR="00835284" w:rsidRDefault="00835284" w:rsidP="00835284">
      <w:pPr>
        <w:pStyle w:val="NoSpacing"/>
        <w:jc w:val="both"/>
        <w:rPr>
          <w:rFonts w:ascii="Arial" w:hAnsi="Arial" w:cs="Arial"/>
          <w:sz w:val="24"/>
          <w:szCs w:val="24"/>
        </w:rPr>
      </w:pPr>
    </w:p>
    <w:p w14:paraId="6BBA72D7" w14:textId="008E852D" w:rsidR="00F5723C" w:rsidRDefault="00F5723C" w:rsidP="00835284">
      <w:pPr>
        <w:pStyle w:val="NoSpacing"/>
        <w:jc w:val="both"/>
        <w:rPr>
          <w:rFonts w:ascii="Arial" w:hAnsi="Arial" w:cs="Arial"/>
          <w:sz w:val="24"/>
          <w:szCs w:val="24"/>
        </w:rPr>
      </w:pPr>
      <w:r>
        <w:rPr>
          <w:rFonts w:ascii="Arial" w:hAnsi="Arial" w:cs="Arial"/>
          <w:sz w:val="24"/>
          <w:szCs w:val="24"/>
        </w:rPr>
        <w:t xml:space="preserve">It is apposite to note that prior to the 2019 amendment to the Act (by Act No. 21 of 2019) “reinstatement” was merely mentioned in the </w:t>
      </w:r>
      <w:r w:rsidR="00441635">
        <w:rPr>
          <w:rFonts w:ascii="Arial" w:hAnsi="Arial" w:cs="Arial"/>
          <w:sz w:val="24"/>
          <w:szCs w:val="24"/>
        </w:rPr>
        <w:t xml:space="preserve">then </w:t>
      </w:r>
      <w:r>
        <w:rPr>
          <w:rFonts w:ascii="Arial" w:hAnsi="Arial" w:cs="Arial"/>
          <w:sz w:val="24"/>
          <w:szCs w:val="24"/>
        </w:rPr>
        <w:t>first paragraph of the definition of “labour dispute” along with other terms such as wages, terms and conditions of employment, promotion or allocation of work.  The Act then did not contain any</w:t>
      </w:r>
      <w:r w:rsidR="00835284">
        <w:rPr>
          <w:rFonts w:ascii="Arial" w:hAnsi="Arial" w:cs="Arial"/>
          <w:sz w:val="24"/>
          <w:szCs w:val="24"/>
        </w:rPr>
        <w:t xml:space="preserve"> </w:t>
      </w:r>
      <w:r>
        <w:rPr>
          <w:rFonts w:ascii="Arial" w:hAnsi="Arial" w:cs="Arial"/>
          <w:sz w:val="24"/>
          <w:szCs w:val="24"/>
        </w:rPr>
        <w:t xml:space="preserve">substantive provisions in relation to how or in what circumstances the Tribunal could enquire into a dispute relating wholly or mainly to the reinstatement of a worker.  In the case of </w:t>
      </w:r>
      <w:proofErr w:type="spellStart"/>
      <w:r w:rsidR="005C6C16" w:rsidRPr="005C6C16">
        <w:rPr>
          <w:rFonts w:ascii="Arial" w:hAnsi="Arial" w:cs="Arial"/>
          <w:b/>
          <w:sz w:val="24"/>
          <w:szCs w:val="24"/>
        </w:rPr>
        <w:t>M</w:t>
      </w:r>
      <w:r w:rsidR="00E72B5F">
        <w:rPr>
          <w:rFonts w:ascii="Arial" w:hAnsi="Arial" w:cs="Arial"/>
          <w:b/>
          <w:sz w:val="24"/>
          <w:szCs w:val="24"/>
        </w:rPr>
        <w:t>eetoo</w:t>
      </w:r>
      <w:proofErr w:type="spellEnd"/>
      <w:r w:rsidR="00E72B5F">
        <w:rPr>
          <w:rFonts w:ascii="Arial" w:hAnsi="Arial" w:cs="Arial"/>
          <w:b/>
          <w:sz w:val="24"/>
          <w:szCs w:val="24"/>
        </w:rPr>
        <w:t xml:space="preserve"> H.S</w:t>
      </w:r>
      <w:r w:rsidR="005C6C16" w:rsidRPr="005C6C16">
        <w:rPr>
          <w:rFonts w:ascii="Arial" w:hAnsi="Arial" w:cs="Arial"/>
          <w:b/>
          <w:sz w:val="24"/>
          <w:szCs w:val="24"/>
        </w:rPr>
        <w:t xml:space="preserve"> v E</w:t>
      </w:r>
      <w:r w:rsidR="00E72B5F">
        <w:rPr>
          <w:rFonts w:ascii="Arial" w:hAnsi="Arial" w:cs="Arial"/>
          <w:b/>
          <w:sz w:val="24"/>
          <w:szCs w:val="24"/>
        </w:rPr>
        <w:t>mployment Relations Tribunal</w:t>
      </w:r>
      <w:r w:rsidR="005C6C16" w:rsidRPr="005C6C16">
        <w:rPr>
          <w:rFonts w:ascii="Arial" w:hAnsi="Arial" w:cs="Arial"/>
          <w:b/>
          <w:sz w:val="24"/>
          <w:szCs w:val="24"/>
        </w:rPr>
        <w:t xml:space="preserve"> 2018 SCJ 133</w:t>
      </w:r>
      <w:r>
        <w:rPr>
          <w:rFonts w:ascii="Arial" w:hAnsi="Arial" w:cs="Arial"/>
          <w:sz w:val="24"/>
          <w:szCs w:val="24"/>
        </w:rPr>
        <w:t>, the Supreme Court</w:t>
      </w:r>
      <w:r w:rsidR="00E81F76">
        <w:rPr>
          <w:rFonts w:ascii="Arial" w:hAnsi="Arial" w:cs="Arial"/>
          <w:sz w:val="24"/>
          <w:szCs w:val="24"/>
        </w:rPr>
        <w:t xml:space="preserve">, upholding an award of the Tribunal in </w:t>
      </w:r>
      <w:r w:rsidR="00A23EA7">
        <w:rPr>
          <w:rFonts w:ascii="Arial" w:hAnsi="Arial" w:cs="Arial"/>
          <w:sz w:val="24"/>
          <w:szCs w:val="24"/>
        </w:rPr>
        <w:t xml:space="preserve">the case of </w:t>
      </w:r>
      <w:r w:rsidR="00A23EA7" w:rsidRPr="00A260D9">
        <w:rPr>
          <w:rFonts w:ascii="Arial" w:hAnsi="Arial" w:cs="Arial"/>
          <w:b/>
          <w:sz w:val="24"/>
          <w:szCs w:val="24"/>
        </w:rPr>
        <w:t xml:space="preserve">Mrs </w:t>
      </w:r>
      <w:proofErr w:type="spellStart"/>
      <w:r w:rsidR="00A23EA7" w:rsidRPr="00A260D9">
        <w:rPr>
          <w:rFonts w:ascii="Arial" w:hAnsi="Arial" w:cs="Arial"/>
          <w:b/>
          <w:sz w:val="24"/>
          <w:szCs w:val="24"/>
        </w:rPr>
        <w:t>Hemowtee</w:t>
      </w:r>
      <w:proofErr w:type="spellEnd"/>
      <w:r w:rsidR="00A23EA7" w:rsidRPr="00A260D9">
        <w:rPr>
          <w:rFonts w:ascii="Arial" w:hAnsi="Arial" w:cs="Arial"/>
          <w:b/>
          <w:sz w:val="24"/>
          <w:szCs w:val="24"/>
        </w:rPr>
        <w:t xml:space="preserve"> </w:t>
      </w:r>
      <w:proofErr w:type="spellStart"/>
      <w:r w:rsidR="00A23EA7" w:rsidRPr="00A260D9">
        <w:rPr>
          <w:rFonts w:ascii="Arial" w:hAnsi="Arial" w:cs="Arial"/>
          <w:b/>
          <w:sz w:val="24"/>
          <w:szCs w:val="24"/>
        </w:rPr>
        <w:t>Salaye</w:t>
      </w:r>
      <w:proofErr w:type="spellEnd"/>
      <w:r w:rsidR="00A260D9" w:rsidRPr="00A260D9">
        <w:rPr>
          <w:rFonts w:ascii="Arial" w:hAnsi="Arial" w:cs="Arial"/>
          <w:b/>
          <w:sz w:val="24"/>
          <w:szCs w:val="24"/>
        </w:rPr>
        <w:t xml:space="preserve"> </w:t>
      </w:r>
      <w:proofErr w:type="spellStart"/>
      <w:r w:rsidR="00A260D9" w:rsidRPr="00A260D9">
        <w:rPr>
          <w:rFonts w:ascii="Arial" w:hAnsi="Arial" w:cs="Arial"/>
          <w:b/>
          <w:sz w:val="24"/>
          <w:szCs w:val="24"/>
        </w:rPr>
        <w:t>Meetoo</w:t>
      </w:r>
      <w:proofErr w:type="spellEnd"/>
      <w:r w:rsidR="00A260D9" w:rsidRPr="00A260D9">
        <w:rPr>
          <w:rFonts w:ascii="Arial" w:hAnsi="Arial" w:cs="Arial"/>
          <w:b/>
          <w:sz w:val="24"/>
          <w:szCs w:val="24"/>
        </w:rPr>
        <w:t xml:space="preserve"> and Mauritius Broadcasting Corporation, ERT/RN 195/15</w:t>
      </w:r>
      <w:r w:rsidR="00A260D9">
        <w:rPr>
          <w:rFonts w:ascii="Arial" w:hAnsi="Arial" w:cs="Arial"/>
          <w:sz w:val="24"/>
          <w:szCs w:val="24"/>
        </w:rPr>
        <w:t xml:space="preserve"> </w:t>
      </w:r>
      <w:r w:rsidR="005C6C16">
        <w:rPr>
          <w:rFonts w:ascii="Arial" w:hAnsi="Arial" w:cs="Arial"/>
          <w:sz w:val="24"/>
          <w:szCs w:val="24"/>
        </w:rPr>
        <w:t>stated the following:</w:t>
      </w:r>
    </w:p>
    <w:p w14:paraId="474004DC" w14:textId="77777777" w:rsidR="00E72B5F" w:rsidRDefault="00E72B5F" w:rsidP="00835284">
      <w:pPr>
        <w:pStyle w:val="NoSpacing"/>
        <w:jc w:val="both"/>
        <w:rPr>
          <w:rFonts w:ascii="Arial" w:hAnsi="Arial" w:cs="Arial"/>
          <w:sz w:val="24"/>
          <w:szCs w:val="24"/>
        </w:rPr>
      </w:pPr>
    </w:p>
    <w:p w14:paraId="1E6F01B6" w14:textId="5FBA6A6F" w:rsidR="005C6C16" w:rsidRDefault="005C6C16" w:rsidP="00835284">
      <w:pPr>
        <w:pStyle w:val="NoSpacing"/>
        <w:jc w:val="both"/>
        <w:rPr>
          <w:rFonts w:ascii="Arial" w:hAnsi="Arial" w:cs="Arial"/>
          <w:i/>
          <w:sz w:val="24"/>
          <w:szCs w:val="24"/>
        </w:rPr>
      </w:pPr>
      <w:r>
        <w:rPr>
          <w:rFonts w:ascii="Arial" w:hAnsi="Arial" w:cs="Arial"/>
          <w:i/>
          <w:sz w:val="24"/>
          <w:szCs w:val="24"/>
        </w:rPr>
        <w:t>…</w:t>
      </w:r>
    </w:p>
    <w:p w14:paraId="1C4A536C" w14:textId="37123FF0" w:rsidR="005C6C16" w:rsidRDefault="005C6C16" w:rsidP="00835284">
      <w:pPr>
        <w:pStyle w:val="NoSpacing"/>
        <w:jc w:val="both"/>
        <w:rPr>
          <w:rFonts w:ascii="Arial" w:hAnsi="Arial" w:cs="Arial"/>
          <w:i/>
          <w:sz w:val="24"/>
          <w:szCs w:val="24"/>
        </w:rPr>
      </w:pPr>
      <w:r w:rsidRPr="005C6C16">
        <w:rPr>
          <w:rFonts w:ascii="Arial" w:hAnsi="Arial" w:cs="Arial"/>
          <w:i/>
          <w:sz w:val="24"/>
          <w:szCs w:val="24"/>
        </w:rPr>
        <w:t xml:space="preserve">Section 71 (a) of the Employment Relations Act 2008 specifically provides that the Tribunal shall not enquire into any labour dispute where the dispute relates to any issue within the exclusive jurisdiction of the Industrial Court. Section 3 of the Industrial Court Act provides that the Industrial Court has exclusive jurisdiction to try any matter arising out of the enactments specified in the First Schedule to that Act. And the Employment Rights Act is so specified in that Schedule. In that connection, Mr S. Mohamed submitted on behalf of Mrs </w:t>
      </w:r>
      <w:proofErr w:type="spellStart"/>
      <w:r w:rsidRPr="005C6C16">
        <w:rPr>
          <w:rFonts w:ascii="Arial" w:hAnsi="Arial" w:cs="Arial"/>
          <w:i/>
          <w:sz w:val="24"/>
          <w:szCs w:val="24"/>
        </w:rPr>
        <w:t>Meetoo</w:t>
      </w:r>
      <w:proofErr w:type="spellEnd"/>
      <w:r w:rsidRPr="005C6C16">
        <w:rPr>
          <w:rFonts w:ascii="Arial" w:hAnsi="Arial" w:cs="Arial"/>
          <w:i/>
          <w:sz w:val="24"/>
          <w:szCs w:val="24"/>
        </w:rPr>
        <w:t xml:space="preserve"> that, whilst the Industrial Court has admittedly sole jurisdiction to deal with cases of unjustified dismissal under the Employments Rights Act, the dispute before the Tribunal was not about unjustified dismissal but about reinstatement. We are unable to accept that contention. The Tribunal could not consider reinstatement without hearing evidence, and making a determination, on the issue of unjustified dismissal, an exercise which would be in breach of Section 3 of the Industrial Court Act</w:t>
      </w:r>
      <w:r>
        <w:rPr>
          <w:rFonts w:ascii="Arial" w:hAnsi="Arial" w:cs="Arial"/>
          <w:i/>
          <w:sz w:val="24"/>
          <w:szCs w:val="24"/>
        </w:rPr>
        <w:t>.</w:t>
      </w:r>
    </w:p>
    <w:p w14:paraId="0D920D3B" w14:textId="64D4FC67" w:rsidR="005C6C16" w:rsidRDefault="005C6C16" w:rsidP="00835284">
      <w:pPr>
        <w:pStyle w:val="NoSpacing"/>
        <w:jc w:val="both"/>
        <w:rPr>
          <w:rFonts w:ascii="Arial" w:hAnsi="Arial" w:cs="Arial"/>
          <w:i/>
          <w:sz w:val="24"/>
          <w:szCs w:val="24"/>
        </w:rPr>
      </w:pPr>
      <w:r>
        <w:rPr>
          <w:rFonts w:ascii="Arial" w:hAnsi="Arial" w:cs="Arial"/>
          <w:i/>
          <w:sz w:val="24"/>
          <w:szCs w:val="24"/>
        </w:rPr>
        <w:t>…</w:t>
      </w:r>
    </w:p>
    <w:p w14:paraId="59E3E870" w14:textId="4B1CF623" w:rsidR="005C6C16" w:rsidRPr="005C6C16" w:rsidRDefault="005C6C16" w:rsidP="00835284">
      <w:pPr>
        <w:pStyle w:val="NoSpacing"/>
        <w:jc w:val="both"/>
        <w:rPr>
          <w:rFonts w:ascii="Arial" w:hAnsi="Arial" w:cs="Arial"/>
          <w:i/>
          <w:sz w:val="24"/>
          <w:szCs w:val="24"/>
        </w:rPr>
      </w:pPr>
      <w:r w:rsidRPr="005C6C16">
        <w:rPr>
          <w:rFonts w:ascii="Arial" w:hAnsi="Arial" w:cs="Arial"/>
          <w:i/>
          <w:sz w:val="24"/>
          <w:szCs w:val="24"/>
        </w:rPr>
        <w:t xml:space="preserve">We wish to add something about the inclusion of the word “reinstatement” in the definition of “labour dispute” in the Employment Relations Act 2008. Indeed, “labour dispute” is defined as including a dispute between “a </w:t>
      </w:r>
      <w:proofErr w:type="gramStart"/>
      <w:r w:rsidRPr="005C6C16">
        <w:rPr>
          <w:rFonts w:ascii="Arial" w:hAnsi="Arial" w:cs="Arial"/>
          <w:i/>
          <w:sz w:val="24"/>
          <w:szCs w:val="24"/>
        </w:rPr>
        <w:t>worker</w:t>
      </w:r>
      <w:proofErr w:type="gramEnd"/>
      <w:r w:rsidRPr="005C6C16">
        <w:rPr>
          <w:rFonts w:ascii="Arial" w:hAnsi="Arial" w:cs="Arial"/>
          <w:i/>
          <w:sz w:val="24"/>
          <w:szCs w:val="24"/>
        </w:rPr>
        <w:t xml:space="preserve"> …. </w:t>
      </w:r>
      <w:proofErr w:type="gramStart"/>
      <w:r w:rsidRPr="005C6C16">
        <w:rPr>
          <w:rFonts w:ascii="Arial" w:hAnsi="Arial" w:cs="Arial"/>
          <w:i/>
          <w:sz w:val="24"/>
          <w:szCs w:val="24"/>
        </w:rPr>
        <w:t>and</w:t>
      </w:r>
      <w:proofErr w:type="gramEnd"/>
      <w:r w:rsidRPr="005C6C16">
        <w:rPr>
          <w:rFonts w:ascii="Arial" w:hAnsi="Arial" w:cs="Arial"/>
          <w:i/>
          <w:sz w:val="24"/>
          <w:szCs w:val="24"/>
        </w:rPr>
        <w:t xml:space="preserve"> an employer” which relates wholly or mainly to, inter alia, “reinstatement” of a worker. However, as rightly pointed out by the Tribunal in its award, the said Act covers the jurisdiction of the National Remuneration Board and the Commission for Conciliation and Mediation. The mere inclusion of reinstatement as an issue in relation to which there may be a “labour dispute” is insufficient, in the absence of a specific provision of the law, to confer on the Tribunal jurisdiction to deal with the issue of reinstatement following termination of employment in the teeth of sections 71 (a) of the Employment Relations Act 2008 and section 3 of the Industrial Court Act.</w:t>
      </w:r>
    </w:p>
    <w:p w14:paraId="6AD48A2E" w14:textId="77777777" w:rsidR="00F5723C" w:rsidRPr="005C6C16" w:rsidRDefault="00F5723C" w:rsidP="00835284">
      <w:pPr>
        <w:pStyle w:val="NoSpacing"/>
        <w:jc w:val="both"/>
        <w:rPr>
          <w:rFonts w:ascii="Arial" w:hAnsi="Arial" w:cs="Arial"/>
          <w:i/>
          <w:sz w:val="24"/>
          <w:szCs w:val="24"/>
        </w:rPr>
      </w:pPr>
    </w:p>
    <w:p w14:paraId="76C5EC16" w14:textId="77777777" w:rsidR="00B73B76" w:rsidRDefault="00B73B76" w:rsidP="00835284">
      <w:pPr>
        <w:pStyle w:val="NoSpacing"/>
        <w:jc w:val="both"/>
        <w:rPr>
          <w:rFonts w:ascii="Arial" w:hAnsi="Arial" w:cs="Arial"/>
          <w:sz w:val="24"/>
          <w:szCs w:val="24"/>
        </w:rPr>
      </w:pPr>
      <w:r>
        <w:rPr>
          <w:rFonts w:ascii="Arial" w:hAnsi="Arial" w:cs="Arial"/>
          <w:sz w:val="24"/>
          <w:szCs w:val="24"/>
        </w:rPr>
        <w:t>The law has since then been amended in 2019 and sections 64(1A) and 70(2A), 70(2B) and 70(2C) now provide as follows:</w:t>
      </w:r>
    </w:p>
    <w:p w14:paraId="21FEFF0E" w14:textId="77777777" w:rsidR="00B73B76" w:rsidRDefault="00B73B76" w:rsidP="00835284">
      <w:pPr>
        <w:pStyle w:val="NoSpacing"/>
        <w:jc w:val="both"/>
        <w:rPr>
          <w:rFonts w:ascii="Arial" w:hAnsi="Arial" w:cs="Arial"/>
          <w:sz w:val="24"/>
          <w:szCs w:val="24"/>
        </w:rPr>
      </w:pPr>
    </w:p>
    <w:p w14:paraId="4E8B87B0" w14:textId="77777777" w:rsidR="00B73B76" w:rsidRDefault="00B73B76" w:rsidP="00835284">
      <w:pPr>
        <w:pStyle w:val="NoSpacing"/>
        <w:jc w:val="both"/>
        <w:rPr>
          <w:rFonts w:ascii="Arial" w:hAnsi="Arial" w:cs="Arial"/>
          <w:sz w:val="24"/>
          <w:szCs w:val="24"/>
        </w:rPr>
      </w:pPr>
    </w:p>
    <w:p w14:paraId="0A9D02B5" w14:textId="7707CA1B" w:rsidR="00441635" w:rsidRPr="00441635" w:rsidRDefault="00441635" w:rsidP="00441635">
      <w:pPr>
        <w:spacing w:line="360" w:lineRule="auto"/>
        <w:ind w:left="720"/>
        <w:jc w:val="both"/>
        <w:rPr>
          <w:rFonts w:ascii="Arial" w:hAnsi="Arial" w:cs="Arial"/>
          <w:i/>
          <w:sz w:val="24"/>
          <w:szCs w:val="24"/>
        </w:rPr>
      </w:pPr>
      <w:r>
        <w:rPr>
          <w:rFonts w:ascii="Arial" w:hAnsi="Arial" w:cs="Arial"/>
          <w:i/>
          <w:sz w:val="24"/>
          <w:szCs w:val="24"/>
        </w:rPr>
        <w:t>64</w:t>
      </w:r>
      <w:r w:rsidRPr="00441635">
        <w:rPr>
          <w:rFonts w:ascii="Arial" w:hAnsi="Arial" w:cs="Arial"/>
          <w:i/>
          <w:sz w:val="24"/>
          <w:szCs w:val="24"/>
        </w:rPr>
        <w:t>(1A)</w:t>
      </w:r>
      <w:r w:rsidRPr="00441635">
        <w:rPr>
          <w:rFonts w:ascii="Arial" w:hAnsi="Arial" w:cs="Arial"/>
          <w:i/>
          <w:sz w:val="24"/>
          <w:szCs w:val="24"/>
        </w:rPr>
        <w:tab/>
        <w:t>No dispute on the reinstatement of a worker in relation to the termination of his employment shall be reported except where the termination is effected by reason of –</w:t>
      </w:r>
    </w:p>
    <w:p w14:paraId="2026A00C" w14:textId="77777777" w:rsidR="00441635" w:rsidRPr="00441635" w:rsidRDefault="00441635" w:rsidP="00441635">
      <w:pPr>
        <w:spacing w:line="360" w:lineRule="auto"/>
        <w:ind w:left="2880" w:hanging="720"/>
        <w:jc w:val="both"/>
        <w:rPr>
          <w:rFonts w:ascii="Arial" w:hAnsi="Arial" w:cs="Arial"/>
          <w:i/>
          <w:sz w:val="24"/>
          <w:szCs w:val="24"/>
        </w:rPr>
      </w:pPr>
      <w:r w:rsidRPr="00441635">
        <w:rPr>
          <w:rFonts w:ascii="Arial" w:hAnsi="Arial" w:cs="Arial"/>
          <w:i/>
          <w:sz w:val="24"/>
          <w:szCs w:val="24"/>
        </w:rPr>
        <w:t>(a)</w:t>
      </w:r>
      <w:r w:rsidRPr="00441635">
        <w:rPr>
          <w:rFonts w:ascii="Arial" w:hAnsi="Arial" w:cs="Arial"/>
          <w:i/>
          <w:sz w:val="24"/>
          <w:szCs w:val="24"/>
        </w:rPr>
        <w:tab/>
        <w:t xml:space="preserve">discrimination on the ground of a worker’s race, </w:t>
      </w:r>
      <w:proofErr w:type="spellStart"/>
      <w:r w:rsidRPr="00441635">
        <w:rPr>
          <w:rFonts w:ascii="Arial" w:hAnsi="Arial" w:cs="Arial"/>
          <w:i/>
          <w:sz w:val="24"/>
          <w:szCs w:val="24"/>
        </w:rPr>
        <w:t>colour</w:t>
      </w:r>
      <w:proofErr w:type="spellEnd"/>
      <w:r w:rsidRPr="00441635">
        <w:rPr>
          <w:rFonts w:ascii="Arial" w:hAnsi="Arial" w:cs="Arial"/>
          <w:i/>
          <w:sz w:val="24"/>
          <w:szCs w:val="24"/>
        </w:rPr>
        <w:t>, caste, national extraction, social origin, pregnancy, religion, political opinion, sex, sexual orientation, HIV status, marital status, disability or family responsibilities;</w:t>
      </w:r>
    </w:p>
    <w:p w14:paraId="3931A13E" w14:textId="265BB023" w:rsidR="00441635" w:rsidRPr="00441635" w:rsidRDefault="00441635" w:rsidP="00441635">
      <w:pPr>
        <w:spacing w:line="360" w:lineRule="auto"/>
        <w:ind w:left="2880" w:hanging="720"/>
        <w:jc w:val="both"/>
        <w:rPr>
          <w:rFonts w:ascii="Arial" w:hAnsi="Arial" w:cs="Arial"/>
          <w:i/>
          <w:sz w:val="24"/>
          <w:szCs w:val="24"/>
        </w:rPr>
      </w:pPr>
      <w:r w:rsidRPr="00441635">
        <w:rPr>
          <w:rFonts w:ascii="Arial" w:hAnsi="Arial" w:cs="Arial"/>
          <w:i/>
          <w:sz w:val="24"/>
          <w:szCs w:val="24"/>
        </w:rPr>
        <w:t>(b)</w:t>
      </w:r>
      <w:r w:rsidRPr="00441635">
        <w:rPr>
          <w:rFonts w:ascii="Arial" w:hAnsi="Arial" w:cs="Arial"/>
          <w:i/>
          <w:sz w:val="24"/>
          <w:szCs w:val="24"/>
        </w:rPr>
        <w:tab/>
      </w:r>
      <w:proofErr w:type="gramStart"/>
      <w:r w:rsidRPr="00441635">
        <w:rPr>
          <w:rFonts w:ascii="Arial" w:hAnsi="Arial" w:cs="Arial"/>
          <w:i/>
          <w:sz w:val="24"/>
          <w:szCs w:val="24"/>
        </w:rPr>
        <w:t>a</w:t>
      </w:r>
      <w:proofErr w:type="gramEnd"/>
      <w:r w:rsidRPr="00441635">
        <w:rPr>
          <w:rFonts w:ascii="Arial" w:hAnsi="Arial" w:cs="Arial"/>
          <w:i/>
          <w:sz w:val="24"/>
          <w:szCs w:val="24"/>
        </w:rPr>
        <w:t xml:space="preserve"> worker being on maternity leave or by reason of the worker’s absence for the purpose of nursing her </w:t>
      </w:r>
      <w:proofErr w:type="spellStart"/>
      <w:r w:rsidRPr="00441635">
        <w:rPr>
          <w:rFonts w:ascii="Arial" w:hAnsi="Arial" w:cs="Arial"/>
          <w:i/>
          <w:sz w:val="24"/>
          <w:szCs w:val="24"/>
        </w:rPr>
        <w:t>unweaned</w:t>
      </w:r>
      <w:proofErr w:type="spellEnd"/>
      <w:r w:rsidR="008305A6">
        <w:rPr>
          <w:rFonts w:ascii="Arial" w:hAnsi="Arial" w:cs="Arial"/>
          <w:i/>
          <w:sz w:val="24"/>
          <w:szCs w:val="24"/>
        </w:rPr>
        <w:t xml:space="preserve"> </w:t>
      </w:r>
      <w:r w:rsidRPr="00441635">
        <w:rPr>
          <w:rFonts w:ascii="Arial" w:hAnsi="Arial" w:cs="Arial"/>
          <w:i/>
          <w:sz w:val="24"/>
          <w:szCs w:val="24"/>
        </w:rPr>
        <w:t>child;</w:t>
      </w:r>
    </w:p>
    <w:p w14:paraId="648C12E3" w14:textId="77777777" w:rsidR="00441635" w:rsidRPr="00441635" w:rsidRDefault="00441635" w:rsidP="00441635">
      <w:pPr>
        <w:spacing w:line="360" w:lineRule="auto"/>
        <w:ind w:left="2880" w:hanging="720"/>
        <w:jc w:val="both"/>
        <w:rPr>
          <w:rFonts w:ascii="Arial" w:hAnsi="Arial" w:cs="Arial"/>
          <w:i/>
          <w:sz w:val="24"/>
          <w:szCs w:val="24"/>
        </w:rPr>
      </w:pPr>
      <w:r w:rsidRPr="00441635">
        <w:rPr>
          <w:rFonts w:ascii="Arial" w:hAnsi="Arial" w:cs="Arial"/>
          <w:i/>
          <w:sz w:val="24"/>
          <w:szCs w:val="24"/>
          <w:lang w:val="en-GB"/>
        </w:rPr>
        <w:t>(c)</w:t>
      </w:r>
      <w:r w:rsidRPr="00441635">
        <w:rPr>
          <w:rFonts w:ascii="Arial" w:hAnsi="Arial" w:cs="Arial"/>
          <w:i/>
          <w:sz w:val="24"/>
          <w:szCs w:val="24"/>
          <w:lang w:val="en-GB"/>
        </w:rPr>
        <w:tab/>
      </w:r>
      <w:proofErr w:type="gramStart"/>
      <w:r w:rsidRPr="00441635">
        <w:rPr>
          <w:rFonts w:ascii="Arial" w:hAnsi="Arial" w:cs="Arial"/>
          <w:i/>
          <w:sz w:val="24"/>
          <w:szCs w:val="24"/>
          <w:lang w:val="en-GB"/>
        </w:rPr>
        <w:t>a</w:t>
      </w:r>
      <w:proofErr w:type="gramEnd"/>
      <w:r w:rsidRPr="00441635">
        <w:rPr>
          <w:rFonts w:ascii="Arial" w:hAnsi="Arial" w:cs="Arial"/>
          <w:i/>
          <w:sz w:val="24"/>
          <w:szCs w:val="24"/>
          <w:lang w:val="en-GB"/>
        </w:rPr>
        <w:t xml:space="preserve"> worker’s temporary absence from work because of injury sustained </w:t>
      </w:r>
      <w:r w:rsidRPr="00441635">
        <w:rPr>
          <w:rFonts w:ascii="Arial" w:hAnsi="Arial" w:cs="Arial"/>
          <w:i/>
          <w:sz w:val="24"/>
          <w:szCs w:val="24"/>
        </w:rPr>
        <w:t>at work or sickness duly notified to the employer and certified by a medical practitioner;</w:t>
      </w:r>
    </w:p>
    <w:p w14:paraId="3EDD8A61" w14:textId="77777777" w:rsidR="00441635" w:rsidRPr="00441635" w:rsidRDefault="00441635" w:rsidP="00441635">
      <w:pPr>
        <w:spacing w:line="360" w:lineRule="auto"/>
        <w:ind w:left="2557" w:hanging="397"/>
        <w:jc w:val="both"/>
        <w:rPr>
          <w:rFonts w:ascii="Arial" w:hAnsi="Arial" w:cs="Arial"/>
          <w:i/>
          <w:sz w:val="24"/>
          <w:szCs w:val="24"/>
        </w:rPr>
      </w:pPr>
      <w:r w:rsidRPr="00441635">
        <w:rPr>
          <w:rFonts w:ascii="Arial" w:hAnsi="Arial" w:cs="Arial"/>
          <w:i/>
          <w:sz w:val="24"/>
          <w:szCs w:val="24"/>
        </w:rPr>
        <w:t>(d)</w:t>
      </w:r>
      <w:r w:rsidRPr="00441635">
        <w:rPr>
          <w:rFonts w:ascii="Arial" w:hAnsi="Arial" w:cs="Arial"/>
          <w:i/>
          <w:sz w:val="24"/>
          <w:szCs w:val="24"/>
        </w:rPr>
        <w:tab/>
        <w:t>a worker becoming or being a member of a trade union, seeking or holding of trade union office, or participating in trade union activities;</w:t>
      </w:r>
    </w:p>
    <w:p w14:paraId="365895B5" w14:textId="61B271DA" w:rsidR="00441635" w:rsidRPr="00441635" w:rsidRDefault="00441635" w:rsidP="00441635">
      <w:pPr>
        <w:spacing w:line="360" w:lineRule="auto"/>
        <w:ind w:left="2410" w:hanging="425"/>
        <w:jc w:val="both"/>
        <w:rPr>
          <w:rFonts w:ascii="Arial" w:hAnsi="Arial" w:cs="Arial"/>
          <w:i/>
          <w:sz w:val="24"/>
          <w:szCs w:val="24"/>
        </w:rPr>
      </w:pPr>
      <w:r w:rsidRPr="00441635">
        <w:rPr>
          <w:rFonts w:ascii="Arial" w:hAnsi="Arial" w:cs="Arial"/>
          <w:i/>
          <w:sz w:val="24"/>
          <w:szCs w:val="24"/>
        </w:rPr>
        <w:t>(e)</w:t>
      </w:r>
      <w:r w:rsidRPr="00441635">
        <w:rPr>
          <w:rFonts w:ascii="Arial" w:hAnsi="Arial" w:cs="Arial"/>
          <w:i/>
          <w:sz w:val="24"/>
          <w:szCs w:val="24"/>
        </w:rPr>
        <w:tab/>
        <w:t>the worker filing, in good faith, a complaint, or participating in proceedings against an employer involving alleged breach of any terms and conditions of employment; or</w:t>
      </w:r>
    </w:p>
    <w:p w14:paraId="7F740396" w14:textId="5F323AFE" w:rsidR="00441635" w:rsidRPr="00441635" w:rsidRDefault="00441635" w:rsidP="00441635">
      <w:pPr>
        <w:spacing w:line="360" w:lineRule="auto"/>
        <w:ind w:left="2154" w:hanging="169"/>
        <w:jc w:val="both"/>
        <w:rPr>
          <w:rFonts w:ascii="Arial" w:hAnsi="Arial" w:cs="Arial"/>
          <w:i/>
          <w:sz w:val="24"/>
          <w:szCs w:val="24"/>
        </w:rPr>
      </w:pPr>
      <w:r w:rsidRPr="00441635">
        <w:rPr>
          <w:rFonts w:ascii="Arial" w:hAnsi="Arial" w:cs="Arial"/>
          <w:i/>
          <w:sz w:val="24"/>
          <w:szCs w:val="24"/>
        </w:rPr>
        <w:t>(f)</w:t>
      </w:r>
      <w:r>
        <w:rPr>
          <w:rFonts w:ascii="Arial" w:hAnsi="Arial" w:cs="Arial"/>
          <w:i/>
          <w:sz w:val="24"/>
          <w:szCs w:val="24"/>
        </w:rPr>
        <w:t xml:space="preserve"> </w:t>
      </w:r>
      <w:proofErr w:type="gramStart"/>
      <w:r w:rsidRPr="00441635">
        <w:rPr>
          <w:rFonts w:ascii="Arial" w:hAnsi="Arial" w:cs="Arial"/>
          <w:i/>
          <w:sz w:val="24"/>
          <w:szCs w:val="24"/>
        </w:rPr>
        <w:t>a</w:t>
      </w:r>
      <w:proofErr w:type="gramEnd"/>
      <w:r w:rsidRPr="00441635">
        <w:rPr>
          <w:rFonts w:ascii="Arial" w:hAnsi="Arial" w:cs="Arial"/>
          <w:i/>
          <w:sz w:val="24"/>
          <w:szCs w:val="24"/>
        </w:rPr>
        <w:t xml:space="preserve"> worker’s exercise of any of the rights provided for in this Act or other enactment, or in such agreement, or collective agreement or award.</w:t>
      </w:r>
    </w:p>
    <w:p w14:paraId="42A6ECC9" w14:textId="091A0157" w:rsidR="00441635" w:rsidRPr="00441635" w:rsidRDefault="00441635" w:rsidP="00441635">
      <w:pPr>
        <w:spacing w:line="360" w:lineRule="auto"/>
        <w:ind w:left="1134" w:hanging="567"/>
        <w:jc w:val="both"/>
        <w:rPr>
          <w:rFonts w:ascii="Arial" w:hAnsi="Arial" w:cs="Arial"/>
          <w:i/>
          <w:sz w:val="24"/>
          <w:szCs w:val="24"/>
          <w:lang w:val="en-GB"/>
        </w:rPr>
      </w:pPr>
      <w:r>
        <w:rPr>
          <w:rFonts w:ascii="Arial" w:hAnsi="Arial" w:cs="Arial"/>
          <w:i/>
          <w:sz w:val="24"/>
          <w:szCs w:val="24"/>
          <w:lang w:val="en-GB"/>
        </w:rPr>
        <w:t>70</w:t>
      </w:r>
      <w:r w:rsidRPr="00441635">
        <w:rPr>
          <w:rFonts w:ascii="Arial" w:hAnsi="Arial" w:cs="Arial"/>
          <w:i/>
          <w:sz w:val="24"/>
          <w:szCs w:val="24"/>
          <w:lang w:val="en-GB"/>
        </w:rPr>
        <w:t>(2A)</w:t>
      </w:r>
      <w:r w:rsidRPr="00441635">
        <w:rPr>
          <w:rFonts w:ascii="Arial" w:hAnsi="Arial" w:cs="Arial"/>
          <w:i/>
          <w:sz w:val="24"/>
          <w:szCs w:val="24"/>
          <w:lang w:val="en-GB"/>
        </w:rPr>
        <w:tab/>
      </w:r>
      <w:r w:rsidRPr="00441635">
        <w:rPr>
          <w:rFonts w:ascii="Arial" w:hAnsi="Arial" w:cs="Arial"/>
          <w:i/>
          <w:sz w:val="24"/>
          <w:szCs w:val="24"/>
          <w:lang w:val="en-GB"/>
        </w:rPr>
        <w:tab/>
        <w:t>(a)</w:t>
      </w:r>
      <w:r w:rsidRPr="00441635">
        <w:rPr>
          <w:rFonts w:ascii="Arial" w:hAnsi="Arial" w:cs="Arial"/>
          <w:i/>
          <w:sz w:val="24"/>
          <w:szCs w:val="24"/>
          <w:lang w:val="en-GB"/>
        </w:rPr>
        <w:tab/>
        <w:t xml:space="preserve">Where the Tribunal finds that the claim for reinstatement of a worker in relation to his suspension from work is justified, the Tribunal shall, </w:t>
      </w:r>
      <w:r w:rsidRPr="00441635">
        <w:rPr>
          <w:rFonts w:ascii="Arial" w:hAnsi="Arial" w:cs="Arial"/>
          <w:i/>
          <w:sz w:val="24"/>
          <w:szCs w:val="24"/>
          <w:lang w:val="en-GB"/>
        </w:rPr>
        <w:lastRenderedPageBreak/>
        <w:t>subject to the consent of the worker, make an award for the reinstatement of the worker.</w:t>
      </w:r>
    </w:p>
    <w:p w14:paraId="7FA030B2" w14:textId="45B217AF" w:rsidR="00441635" w:rsidRPr="00441635" w:rsidRDefault="00441635" w:rsidP="00441635">
      <w:pPr>
        <w:spacing w:line="360" w:lineRule="auto"/>
        <w:ind w:left="1440"/>
        <w:jc w:val="both"/>
        <w:rPr>
          <w:rFonts w:ascii="Arial" w:hAnsi="Arial" w:cs="Arial"/>
          <w:i/>
          <w:sz w:val="24"/>
          <w:szCs w:val="24"/>
          <w:lang w:val="en-GB"/>
        </w:rPr>
      </w:pPr>
      <w:r w:rsidRPr="00441635">
        <w:rPr>
          <w:rFonts w:ascii="Arial" w:hAnsi="Arial" w:cs="Arial"/>
          <w:i/>
          <w:sz w:val="24"/>
          <w:szCs w:val="24"/>
          <w:lang w:val="en-GB"/>
        </w:rPr>
        <w:t>(b)</w:t>
      </w:r>
      <w:r w:rsidRPr="00441635">
        <w:rPr>
          <w:rFonts w:ascii="Arial" w:hAnsi="Arial" w:cs="Arial"/>
          <w:i/>
          <w:sz w:val="24"/>
          <w:szCs w:val="24"/>
          <w:lang w:val="en-GB"/>
        </w:rPr>
        <w:tab/>
        <w:t>The Tribunal shall not make an award for the reinstatement in relation to the suspension from work of a worker where the Tribunal, after having heard the case, is of opinion that the bond of trust between the worker and the employer may have been broken.</w:t>
      </w:r>
    </w:p>
    <w:p w14:paraId="21D71F1C" w14:textId="5C436D70" w:rsidR="00441635" w:rsidRPr="00441635" w:rsidRDefault="00441635" w:rsidP="00441635">
      <w:pPr>
        <w:spacing w:line="360" w:lineRule="auto"/>
        <w:ind w:left="1440" w:hanging="720"/>
        <w:jc w:val="both"/>
        <w:rPr>
          <w:rFonts w:ascii="Arial" w:hAnsi="Arial" w:cs="Arial"/>
          <w:i/>
          <w:sz w:val="24"/>
          <w:szCs w:val="24"/>
          <w:lang w:val="en-GB"/>
        </w:rPr>
      </w:pPr>
      <w:r w:rsidRPr="00441635">
        <w:rPr>
          <w:rFonts w:ascii="Arial" w:hAnsi="Arial" w:cs="Arial"/>
          <w:i/>
          <w:sz w:val="24"/>
          <w:szCs w:val="24"/>
          <w:lang w:val="en-GB"/>
        </w:rPr>
        <w:t>(2B)</w:t>
      </w:r>
      <w:r w:rsidRPr="00441635">
        <w:rPr>
          <w:rFonts w:ascii="Arial" w:hAnsi="Arial" w:cs="Arial"/>
          <w:i/>
          <w:sz w:val="24"/>
          <w:szCs w:val="24"/>
          <w:lang w:val="en-GB"/>
        </w:rPr>
        <w:tab/>
        <w:t>Subject to subsection (2A), where the Tribunal finds that the claim for reinstatement of a worker in relation to the termination of his employment on any of the grounds specified in section 64(1A) is justified, the Tribunal shall –</w:t>
      </w:r>
    </w:p>
    <w:p w14:paraId="772B18CF" w14:textId="21CA4BDD" w:rsidR="00441635" w:rsidRPr="00441635" w:rsidRDefault="00441635" w:rsidP="00441635">
      <w:pPr>
        <w:spacing w:line="360" w:lineRule="auto"/>
        <w:ind w:left="1440" w:firstLine="720"/>
        <w:jc w:val="both"/>
        <w:rPr>
          <w:rFonts w:ascii="Arial" w:hAnsi="Arial" w:cs="Arial"/>
          <w:i/>
          <w:sz w:val="24"/>
          <w:szCs w:val="24"/>
          <w:lang w:val="en-GB"/>
        </w:rPr>
      </w:pPr>
      <w:r w:rsidRPr="00441635">
        <w:rPr>
          <w:rFonts w:ascii="Arial" w:hAnsi="Arial" w:cs="Arial"/>
          <w:i/>
          <w:sz w:val="24"/>
          <w:szCs w:val="24"/>
          <w:lang w:val="en-GB"/>
        </w:rPr>
        <w:t>(a)</w:t>
      </w:r>
      <w:r w:rsidRPr="00441635">
        <w:rPr>
          <w:rFonts w:ascii="Arial" w:hAnsi="Arial" w:cs="Arial"/>
          <w:i/>
          <w:sz w:val="24"/>
          <w:szCs w:val="24"/>
          <w:lang w:val="en-GB"/>
        </w:rPr>
        <w:tab/>
      </w:r>
      <w:proofErr w:type="gramStart"/>
      <w:r w:rsidRPr="00441635">
        <w:rPr>
          <w:rFonts w:ascii="Arial" w:hAnsi="Arial" w:cs="Arial"/>
          <w:i/>
          <w:sz w:val="24"/>
          <w:szCs w:val="24"/>
          <w:lang w:val="en-GB"/>
        </w:rPr>
        <w:t>subject</w:t>
      </w:r>
      <w:proofErr w:type="gramEnd"/>
      <w:r w:rsidRPr="00441635">
        <w:rPr>
          <w:rFonts w:ascii="Arial" w:hAnsi="Arial" w:cs="Arial"/>
          <w:i/>
          <w:sz w:val="24"/>
          <w:szCs w:val="24"/>
          <w:lang w:val="en-GB"/>
        </w:rPr>
        <w:t xml:space="preserve"> to the consent of the worker; and</w:t>
      </w:r>
    </w:p>
    <w:p w14:paraId="4C8588D1" w14:textId="68CD1F85" w:rsidR="00441635" w:rsidRPr="00441635" w:rsidRDefault="00441635" w:rsidP="00441635">
      <w:pPr>
        <w:spacing w:line="360" w:lineRule="auto"/>
        <w:ind w:left="2880" w:hanging="720"/>
        <w:jc w:val="both"/>
        <w:rPr>
          <w:rFonts w:ascii="Arial" w:hAnsi="Arial" w:cs="Arial"/>
          <w:i/>
          <w:sz w:val="24"/>
          <w:szCs w:val="24"/>
          <w:lang w:val="en-GB"/>
        </w:rPr>
      </w:pPr>
      <w:r w:rsidRPr="00441635">
        <w:rPr>
          <w:rFonts w:ascii="Arial" w:hAnsi="Arial" w:cs="Arial"/>
          <w:i/>
          <w:sz w:val="24"/>
          <w:szCs w:val="24"/>
          <w:lang w:val="en-GB"/>
        </w:rPr>
        <w:t>(b)</w:t>
      </w:r>
      <w:r w:rsidRPr="00441635">
        <w:rPr>
          <w:rFonts w:ascii="Arial" w:hAnsi="Arial" w:cs="Arial"/>
          <w:i/>
          <w:sz w:val="24"/>
          <w:szCs w:val="24"/>
          <w:lang w:val="en-GB"/>
        </w:rPr>
        <w:tab/>
      </w:r>
      <w:proofErr w:type="gramStart"/>
      <w:r w:rsidRPr="00441635">
        <w:rPr>
          <w:rFonts w:ascii="Arial" w:hAnsi="Arial" w:cs="Arial"/>
          <w:i/>
          <w:sz w:val="24"/>
          <w:szCs w:val="24"/>
          <w:lang w:val="en-GB"/>
        </w:rPr>
        <w:t>where</w:t>
      </w:r>
      <w:proofErr w:type="gramEnd"/>
      <w:r w:rsidRPr="00441635">
        <w:rPr>
          <w:rFonts w:ascii="Arial" w:hAnsi="Arial" w:cs="Arial"/>
          <w:i/>
          <w:sz w:val="24"/>
          <w:szCs w:val="24"/>
          <w:lang w:val="en-GB"/>
        </w:rPr>
        <w:t xml:space="preserve"> it has reason to believe that the relationship between the employer and the worker has not irretrievably been broken,</w:t>
      </w:r>
    </w:p>
    <w:p w14:paraId="39DE9A49" w14:textId="77777777" w:rsidR="00441635" w:rsidRPr="00441635" w:rsidRDefault="00441635" w:rsidP="00441635">
      <w:pPr>
        <w:spacing w:line="360" w:lineRule="auto"/>
        <w:ind w:left="1440"/>
        <w:jc w:val="both"/>
        <w:rPr>
          <w:rFonts w:ascii="Arial" w:hAnsi="Arial" w:cs="Arial"/>
          <w:i/>
          <w:sz w:val="24"/>
          <w:szCs w:val="24"/>
          <w:lang w:val="en-GB"/>
        </w:rPr>
      </w:pPr>
      <w:proofErr w:type="gramStart"/>
      <w:r w:rsidRPr="00441635">
        <w:rPr>
          <w:rFonts w:ascii="Arial" w:hAnsi="Arial" w:cs="Arial"/>
          <w:i/>
          <w:sz w:val="24"/>
          <w:szCs w:val="24"/>
          <w:lang w:val="en-GB"/>
        </w:rPr>
        <w:t>make</w:t>
      </w:r>
      <w:proofErr w:type="gramEnd"/>
      <w:r w:rsidRPr="00441635">
        <w:rPr>
          <w:rFonts w:ascii="Arial" w:hAnsi="Arial" w:cs="Arial"/>
          <w:i/>
          <w:sz w:val="24"/>
          <w:szCs w:val="24"/>
          <w:lang w:val="en-GB"/>
        </w:rPr>
        <w:t xml:space="preserve"> an award for the reinstatement of the worker and, where it deems appropriate, make an order for the payment of remuneration to the worker from the date of the termination to the date of his reinstatement.</w:t>
      </w:r>
    </w:p>
    <w:p w14:paraId="20BA9299" w14:textId="30E32971" w:rsidR="00441635" w:rsidRPr="00286EEF" w:rsidRDefault="00441635" w:rsidP="00441635">
      <w:pPr>
        <w:tabs>
          <w:tab w:val="left" w:pos="1440"/>
          <w:tab w:val="left" w:pos="2160"/>
        </w:tabs>
        <w:spacing w:line="360" w:lineRule="auto"/>
        <w:ind w:left="1134" w:hanging="567"/>
        <w:jc w:val="both"/>
        <w:rPr>
          <w:rFonts w:ascii="Arial" w:hAnsi="Arial" w:cs="Arial"/>
          <w:lang w:val="en-GB"/>
        </w:rPr>
      </w:pPr>
      <w:r w:rsidRPr="00441635">
        <w:rPr>
          <w:rFonts w:ascii="Arial" w:hAnsi="Arial" w:cs="Arial"/>
          <w:i/>
          <w:sz w:val="24"/>
          <w:szCs w:val="24"/>
          <w:lang w:val="en-GB"/>
        </w:rPr>
        <w:t>(2C)</w:t>
      </w:r>
      <w:r w:rsidRPr="00441635">
        <w:rPr>
          <w:rFonts w:ascii="Arial" w:hAnsi="Arial" w:cs="Arial"/>
          <w:i/>
          <w:sz w:val="24"/>
          <w:szCs w:val="24"/>
          <w:lang w:val="en-GB"/>
        </w:rPr>
        <w:tab/>
        <w:t xml:space="preserve">Where the Tribunal does not give an award for the reinstatement of a </w:t>
      </w:r>
      <w:proofErr w:type="gramStart"/>
      <w:r w:rsidRPr="00441635">
        <w:rPr>
          <w:rFonts w:ascii="Arial" w:hAnsi="Arial" w:cs="Arial"/>
          <w:i/>
          <w:sz w:val="24"/>
          <w:szCs w:val="24"/>
          <w:lang w:val="en-GB"/>
        </w:rPr>
        <w:t>worker,</w:t>
      </w:r>
      <w:proofErr w:type="gramEnd"/>
      <w:r w:rsidRPr="00441635">
        <w:rPr>
          <w:rFonts w:ascii="Arial" w:hAnsi="Arial" w:cs="Arial"/>
          <w:i/>
          <w:sz w:val="24"/>
          <w:szCs w:val="24"/>
          <w:lang w:val="en-GB"/>
        </w:rPr>
        <w:t xml:space="preserve"> the worker may institute proceedings before the Court for unjustified termination of employment</w:t>
      </w:r>
      <w:r>
        <w:rPr>
          <w:rFonts w:ascii="Arial" w:hAnsi="Arial" w:cs="Arial"/>
          <w:i/>
          <w:sz w:val="24"/>
          <w:szCs w:val="24"/>
          <w:lang w:val="en-GB"/>
        </w:rPr>
        <w:t>.</w:t>
      </w:r>
    </w:p>
    <w:p w14:paraId="2BA565D5" w14:textId="77777777" w:rsidR="00B73B76" w:rsidRDefault="00B73B76" w:rsidP="00835284">
      <w:pPr>
        <w:pStyle w:val="NoSpacing"/>
        <w:jc w:val="both"/>
        <w:rPr>
          <w:rFonts w:ascii="Arial" w:hAnsi="Arial" w:cs="Arial"/>
          <w:sz w:val="24"/>
          <w:szCs w:val="24"/>
        </w:rPr>
      </w:pPr>
    </w:p>
    <w:p w14:paraId="03405494" w14:textId="22A50AF6" w:rsidR="002E37A2" w:rsidRDefault="007C23E7" w:rsidP="00835284">
      <w:pPr>
        <w:pStyle w:val="NoSpacing"/>
        <w:jc w:val="both"/>
        <w:rPr>
          <w:rFonts w:ascii="Arial" w:hAnsi="Arial" w:cs="Arial"/>
          <w:sz w:val="24"/>
          <w:szCs w:val="24"/>
        </w:rPr>
      </w:pPr>
      <w:r>
        <w:rPr>
          <w:rFonts w:ascii="Arial" w:hAnsi="Arial" w:cs="Arial"/>
          <w:sz w:val="24"/>
          <w:szCs w:val="24"/>
        </w:rPr>
        <w:t xml:space="preserve">It is </w:t>
      </w:r>
      <w:r w:rsidR="00B9301D">
        <w:rPr>
          <w:rFonts w:ascii="Arial" w:hAnsi="Arial" w:cs="Arial"/>
          <w:sz w:val="24"/>
          <w:szCs w:val="24"/>
        </w:rPr>
        <w:t xml:space="preserve">an accepted principle that the law must be interpreted in such a way that </w:t>
      </w:r>
      <w:r>
        <w:rPr>
          <w:rFonts w:ascii="Arial" w:hAnsi="Arial" w:cs="Arial"/>
          <w:sz w:val="24"/>
          <w:szCs w:val="24"/>
        </w:rPr>
        <w:t xml:space="preserve">the legislator </w:t>
      </w:r>
      <w:r w:rsidR="00B9301D">
        <w:rPr>
          <w:rFonts w:ascii="Arial" w:hAnsi="Arial" w:cs="Arial"/>
          <w:sz w:val="24"/>
          <w:szCs w:val="24"/>
        </w:rPr>
        <w:t xml:space="preserve">is not deemed to have </w:t>
      </w:r>
      <w:r>
        <w:rPr>
          <w:rFonts w:ascii="Arial" w:hAnsi="Arial" w:cs="Arial"/>
          <w:sz w:val="24"/>
          <w:szCs w:val="24"/>
        </w:rPr>
        <w:t>legislate</w:t>
      </w:r>
      <w:r w:rsidR="00B9301D">
        <w:rPr>
          <w:rFonts w:ascii="Arial" w:hAnsi="Arial" w:cs="Arial"/>
          <w:sz w:val="24"/>
          <w:szCs w:val="24"/>
        </w:rPr>
        <w:t>d</w:t>
      </w:r>
      <w:r>
        <w:rPr>
          <w:rFonts w:ascii="Arial" w:hAnsi="Arial" w:cs="Arial"/>
          <w:sz w:val="24"/>
          <w:szCs w:val="24"/>
        </w:rPr>
        <w:t xml:space="preserve"> in vain.  Also, it is clear in the present case that the intention of Parliament was to give jurisdiction to the Tribunal to enquire into </w:t>
      </w:r>
      <w:r w:rsidR="00B9301D">
        <w:rPr>
          <w:rFonts w:ascii="Arial" w:hAnsi="Arial" w:cs="Arial"/>
          <w:sz w:val="24"/>
          <w:szCs w:val="24"/>
        </w:rPr>
        <w:t xml:space="preserve">the reinstatement of a worker in </w:t>
      </w:r>
      <w:r>
        <w:rPr>
          <w:rFonts w:ascii="Arial" w:hAnsi="Arial" w:cs="Arial"/>
          <w:sz w:val="24"/>
          <w:szCs w:val="24"/>
        </w:rPr>
        <w:t xml:space="preserve">certain </w:t>
      </w:r>
      <w:r w:rsidR="00B9301D">
        <w:rPr>
          <w:rFonts w:ascii="Arial" w:hAnsi="Arial" w:cs="Arial"/>
          <w:sz w:val="24"/>
          <w:szCs w:val="24"/>
        </w:rPr>
        <w:t>specific cases.</w:t>
      </w:r>
      <w:r>
        <w:rPr>
          <w:rFonts w:ascii="Arial" w:hAnsi="Arial" w:cs="Arial"/>
          <w:sz w:val="24"/>
          <w:szCs w:val="24"/>
        </w:rPr>
        <w:t xml:space="preserve">  From section 64(1A) (above)</w:t>
      </w:r>
      <w:r w:rsidR="008A7E4D">
        <w:rPr>
          <w:rFonts w:ascii="Arial" w:hAnsi="Arial" w:cs="Arial"/>
          <w:sz w:val="24"/>
          <w:szCs w:val="24"/>
        </w:rPr>
        <w:t xml:space="preserve">, the disputes in relation to reinstatement which can be </w:t>
      </w:r>
      <w:r w:rsidR="00437935">
        <w:rPr>
          <w:rFonts w:ascii="Arial" w:hAnsi="Arial" w:cs="Arial"/>
          <w:sz w:val="24"/>
          <w:szCs w:val="24"/>
        </w:rPr>
        <w:t>reported</w:t>
      </w:r>
      <w:r w:rsidR="008A7E4D">
        <w:rPr>
          <w:rFonts w:ascii="Arial" w:hAnsi="Arial" w:cs="Arial"/>
          <w:sz w:val="24"/>
          <w:szCs w:val="24"/>
        </w:rPr>
        <w:t xml:space="preserve"> have been listed down</w:t>
      </w:r>
      <w:r w:rsidR="00FF059C">
        <w:rPr>
          <w:rFonts w:ascii="Arial" w:hAnsi="Arial" w:cs="Arial"/>
          <w:sz w:val="24"/>
          <w:szCs w:val="24"/>
        </w:rPr>
        <w:t xml:space="preserve"> and the manner in which the section has been drafted indicates that the list is an exhaustive list</w:t>
      </w:r>
      <w:r w:rsidR="008A7E4D">
        <w:rPr>
          <w:rFonts w:ascii="Arial" w:hAnsi="Arial" w:cs="Arial"/>
          <w:sz w:val="24"/>
          <w:szCs w:val="24"/>
        </w:rPr>
        <w:t xml:space="preserve">.  </w:t>
      </w:r>
      <w:r w:rsidR="00D3294D">
        <w:rPr>
          <w:rFonts w:ascii="Arial" w:hAnsi="Arial" w:cs="Arial"/>
          <w:sz w:val="24"/>
          <w:szCs w:val="24"/>
        </w:rPr>
        <w:t xml:space="preserve">Be that as it may, </w:t>
      </w:r>
      <w:r w:rsidR="002E37A2">
        <w:rPr>
          <w:rFonts w:ascii="Arial" w:hAnsi="Arial" w:cs="Arial"/>
          <w:sz w:val="24"/>
          <w:szCs w:val="24"/>
        </w:rPr>
        <w:t>the above provisions will still have to be interpreted in such a manner that there is no conflict among provisions in the same Act or conflict between provisions in the Act and provisions in other pieces of legislation.</w:t>
      </w:r>
    </w:p>
    <w:p w14:paraId="55F96E15" w14:textId="77777777" w:rsidR="002E37A2" w:rsidRDefault="002E37A2" w:rsidP="00835284">
      <w:pPr>
        <w:pStyle w:val="NoSpacing"/>
        <w:jc w:val="both"/>
        <w:rPr>
          <w:rFonts w:ascii="Arial" w:hAnsi="Arial" w:cs="Arial"/>
          <w:sz w:val="24"/>
          <w:szCs w:val="24"/>
        </w:rPr>
      </w:pPr>
    </w:p>
    <w:p w14:paraId="5D00FDF0" w14:textId="77777777" w:rsidR="002E37A2" w:rsidRDefault="002E37A2" w:rsidP="00835284">
      <w:pPr>
        <w:pStyle w:val="NoSpacing"/>
        <w:jc w:val="both"/>
        <w:rPr>
          <w:rFonts w:ascii="Arial" w:hAnsi="Arial" w:cs="Arial"/>
          <w:sz w:val="24"/>
          <w:szCs w:val="24"/>
        </w:rPr>
      </w:pPr>
      <w:r>
        <w:rPr>
          <w:rFonts w:ascii="Arial" w:hAnsi="Arial" w:cs="Arial"/>
          <w:sz w:val="24"/>
          <w:szCs w:val="24"/>
        </w:rPr>
        <w:lastRenderedPageBreak/>
        <w:t>Thus, it is appropriate, at this stage, to refer to section 71 of the Act which reads as follows:</w:t>
      </w:r>
    </w:p>
    <w:p w14:paraId="53C19DBD" w14:textId="77777777" w:rsidR="00BE55BE" w:rsidRPr="00286EEF" w:rsidRDefault="00BE55BE" w:rsidP="00BE55BE">
      <w:pPr>
        <w:pStyle w:val="Default"/>
        <w:spacing w:line="360" w:lineRule="auto"/>
        <w:rPr>
          <w:sz w:val="22"/>
          <w:szCs w:val="22"/>
          <w:lang w:val="en-GB"/>
        </w:rPr>
      </w:pPr>
    </w:p>
    <w:p w14:paraId="45CD2D68" w14:textId="77777777" w:rsidR="00BE55BE" w:rsidRPr="00BE55BE" w:rsidRDefault="00BE55BE" w:rsidP="00BE55BE">
      <w:pPr>
        <w:pStyle w:val="Heading2"/>
        <w:numPr>
          <w:ilvl w:val="0"/>
          <w:numId w:val="0"/>
        </w:numPr>
        <w:spacing w:before="0" w:line="360" w:lineRule="auto"/>
        <w:jc w:val="both"/>
        <w:rPr>
          <w:rFonts w:cs="Arial"/>
          <w:i/>
          <w:sz w:val="24"/>
          <w:lang w:val="en-GB"/>
        </w:rPr>
      </w:pPr>
      <w:bookmarkStart w:id="0" w:name="_Toc200353306"/>
      <w:bookmarkStart w:id="1" w:name="B71"/>
      <w:r w:rsidRPr="00BE55BE">
        <w:rPr>
          <w:rFonts w:cs="Arial"/>
          <w:b/>
          <w:bCs/>
          <w:i/>
          <w:sz w:val="24"/>
          <w:lang w:val="en-GB"/>
        </w:rPr>
        <w:t>71.</w:t>
      </w:r>
      <w:r w:rsidRPr="00BE55BE">
        <w:rPr>
          <w:rFonts w:cs="Arial"/>
          <w:b/>
          <w:bCs/>
          <w:i/>
          <w:sz w:val="24"/>
          <w:lang w:val="en-GB"/>
        </w:rPr>
        <w:tab/>
        <w:t>Exclusion of jurisdiction of Tribunal</w:t>
      </w:r>
      <w:bookmarkEnd w:id="0"/>
      <w:r w:rsidRPr="00BE55BE">
        <w:rPr>
          <w:rFonts w:cs="Arial"/>
          <w:i/>
          <w:sz w:val="24"/>
          <w:lang w:val="en-GB"/>
        </w:rPr>
        <w:t xml:space="preserve"> </w:t>
      </w:r>
    </w:p>
    <w:bookmarkEnd w:id="1"/>
    <w:p w14:paraId="6B53CF23" w14:textId="77777777" w:rsidR="00BE55BE" w:rsidRPr="00BE55BE" w:rsidRDefault="00BE55BE" w:rsidP="00BE55BE">
      <w:pPr>
        <w:pStyle w:val="Default"/>
        <w:spacing w:line="360" w:lineRule="auto"/>
        <w:jc w:val="both"/>
        <w:rPr>
          <w:i/>
          <w:color w:val="auto"/>
          <w:lang w:val="en-GB"/>
        </w:rPr>
      </w:pPr>
    </w:p>
    <w:p w14:paraId="093E6230" w14:textId="77777777" w:rsidR="00BE55BE" w:rsidRPr="00BE55BE" w:rsidRDefault="00BE55BE" w:rsidP="00BE55BE">
      <w:pPr>
        <w:spacing w:line="360" w:lineRule="auto"/>
        <w:ind w:left="567"/>
        <w:jc w:val="both"/>
        <w:rPr>
          <w:rFonts w:ascii="Arial" w:hAnsi="Arial" w:cs="Arial"/>
          <w:i/>
          <w:sz w:val="24"/>
          <w:szCs w:val="24"/>
          <w:lang w:val="en-GB"/>
        </w:rPr>
      </w:pPr>
      <w:r w:rsidRPr="00BE55BE">
        <w:rPr>
          <w:rFonts w:ascii="Arial" w:hAnsi="Arial" w:cs="Arial"/>
          <w:i/>
          <w:sz w:val="24"/>
          <w:szCs w:val="24"/>
          <w:lang w:val="en-GB"/>
        </w:rPr>
        <w:t>The Tribunal shall not enquire into any labour dispute where the dispute relates to any issue –</w:t>
      </w:r>
    </w:p>
    <w:p w14:paraId="518B8037" w14:textId="77777777" w:rsidR="00BE55BE" w:rsidRPr="00BE55BE" w:rsidRDefault="00BE55BE" w:rsidP="00BE55BE">
      <w:pPr>
        <w:spacing w:line="360" w:lineRule="auto"/>
        <w:ind w:left="1701" w:hanging="567"/>
        <w:jc w:val="both"/>
        <w:rPr>
          <w:rFonts w:ascii="Arial" w:hAnsi="Arial" w:cs="Arial"/>
          <w:i/>
          <w:sz w:val="24"/>
          <w:szCs w:val="24"/>
          <w:lang w:val="en-GB"/>
        </w:rPr>
      </w:pPr>
      <w:r w:rsidRPr="00BE55BE">
        <w:rPr>
          <w:rFonts w:ascii="Arial" w:hAnsi="Arial" w:cs="Arial"/>
          <w:i/>
          <w:sz w:val="24"/>
          <w:szCs w:val="24"/>
          <w:lang w:val="en-GB"/>
        </w:rPr>
        <w:t>(a)</w:t>
      </w:r>
      <w:r w:rsidRPr="00BE55BE">
        <w:rPr>
          <w:rFonts w:ascii="Arial" w:hAnsi="Arial" w:cs="Arial"/>
          <w:i/>
          <w:sz w:val="24"/>
          <w:szCs w:val="24"/>
          <w:lang w:val="en-GB"/>
        </w:rPr>
        <w:tab/>
      </w:r>
      <w:proofErr w:type="gramStart"/>
      <w:r w:rsidRPr="00BE55BE">
        <w:rPr>
          <w:rFonts w:ascii="Arial" w:hAnsi="Arial" w:cs="Arial"/>
          <w:i/>
          <w:sz w:val="24"/>
          <w:szCs w:val="24"/>
          <w:lang w:val="en-GB"/>
        </w:rPr>
        <w:t>within</w:t>
      </w:r>
      <w:proofErr w:type="gramEnd"/>
      <w:r w:rsidRPr="00BE55BE">
        <w:rPr>
          <w:rFonts w:ascii="Arial" w:hAnsi="Arial" w:cs="Arial"/>
          <w:i/>
          <w:sz w:val="24"/>
          <w:szCs w:val="24"/>
          <w:lang w:val="en-GB"/>
        </w:rPr>
        <w:t xml:space="preserve"> the exclusive jurisdiction of the Industrial Court; </w:t>
      </w:r>
    </w:p>
    <w:p w14:paraId="1A608145" w14:textId="77777777" w:rsidR="00BE55BE" w:rsidRPr="00BE55BE" w:rsidRDefault="00BE55BE" w:rsidP="00BE55BE">
      <w:pPr>
        <w:spacing w:line="360" w:lineRule="auto"/>
        <w:ind w:left="1701" w:hanging="567"/>
        <w:jc w:val="both"/>
        <w:rPr>
          <w:rFonts w:ascii="Arial" w:hAnsi="Arial" w:cs="Arial"/>
          <w:i/>
          <w:sz w:val="24"/>
          <w:szCs w:val="24"/>
          <w:lang w:val="en-GB"/>
        </w:rPr>
      </w:pPr>
      <w:r w:rsidRPr="00BE55BE">
        <w:rPr>
          <w:rFonts w:ascii="Arial" w:hAnsi="Arial" w:cs="Arial"/>
          <w:i/>
          <w:sz w:val="24"/>
          <w:szCs w:val="24"/>
          <w:lang w:val="en-GB"/>
        </w:rPr>
        <w:t>(b)</w:t>
      </w:r>
      <w:r w:rsidRPr="00BE55BE">
        <w:rPr>
          <w:rFonts w:ascii="Arial" w:hAnsi="Arial" w:cs="Arial"/>
          <w:i/>
          <w:sz w:val="24"/>
          <w:szCs w:val="24"/>
          <w:lang w:val="en-GB"/>
        </w:rPr>
        <w:tab/>
      </w:r>
      <w:proofErr w:type="gramStart"/>
      <w:r w:rsidRPr="00BE55BE">
        <w:rPr>
          <w:rFonts w:ascii="Arial" w:hAnsi="Arial" w:cs="Arial"/>
          <w:i/>
          <w:sz w:val="24"/>
          <w:szCs w:val="24"/>
          <w:lang w:val="en-GB"/>
        </w:rPr>
        <w:t>which</w:t>
      </w:r>
      <w:proofErr w:type="gramEnd"/>
      <w:r w:rsidRPr="00BE55BE">
        <w:rPr>
          <w:rFonts w:ascii="Arial" w:hAnsi="Arial" w:cs="Arial"/>
          <w:i/>
          <w:sz w:val="24"/>
          <w:szCs w:val="24"/>
          <w:lang w:val="en-GB"/>
        </w:rPr>
        <w:t xml:space="preserve"> is the subject of pending proceedings before the Commission or any court of law. </w:t>
      </w:r>
    </w:p>
    <w:p w14:paraId="7697DBB8" w14:textId="77777777" w:rsidR="002E37A2" w:rsidRDefault="002E37A2" w:rsidP="00835284">
      <w:pPr>
        <w:pStyle w:val="NoSpacing"/>
        <w:jc w:val="both"/>
        <w:rPr>
          <w:rFonts w:ascii="Arial" w:hAnsi="Arial" w:cs="Arial"/>
          <w:sz w:val="24"/>
          <w:szCs w:val="24"/>
        </w:rPr>
      </w:pPr>
      <w:r>
        <w:rPr>
          <w:rFonts w:ascii="Arial" w:hAnsi="Arial" w:cs="Arial"/>
          <w:sz w:val="24"/>
          <w:szCs w:val="24"/>
        </w:rPr>
        <w:t>Section 3 of the Industrial Court Act reads as follows:</w:t>
      </w:r>
    </w:p>
    <w:p w14:paraId="3AD50739" w14:textId="77777777" w:rsidR="002E37A2" w:rsidRDefault="002E37A2" w:rsidP="00835284">
      <w:pPr>
        <w:pStyle w:val="NoSpacing"/>
        <w:jc w:val="both"/>
        <w:rPr>
          <w:rFonts w:ascii="Arial" w:hAnsi="Arial" w:cs="Arial"/>
          <w:sz w:val="24"/>
          <w:szCs w:val="24"/>
        </w:rPr>
      </w:pPr>
    </w:p>
    <w:p w14:paraId="054CCF0C" w14:textId="6383E366" w:rsidR="00F62AE0" w:rsidRPr="00F62AE0" w:rsidRDefault="00F62AE0" w:rsidP="00F62AE0">
      <w:pPr>
        <w:pStyle w:val="NoSpacing"/>
        <w:numPr>
          <w:ilvl w:val="0"/>
          <w:numId w:val="13"/>
        </w:numPr>
        <w:jc w:val="both"/>
        <w:rPr>
          <w:rFonts w:ascii="Arial" w:hAnsi="Arial" w:cs="Arial"/>
          <w:b/>
          <w:i/>
          <w:sz w:val="24"/>
          <w:szCs w:val="24"/>
        </w:rPr>
      </w:pPr>
      <w:r w:rsidRPr="00F62AE0">
        <w:rPr>
          <w:rFonts w:ascii="Arial" w:hAnsi="Arial" w:cs="Arial"/>
          <w:b/>
          <w:i/>
          <w:sz w:val="24"/>
          <w:szCs w:val="24"/>
        </w:rPr>
        <w:t xml:space="preserve">Establishment of Industrial Court </w:t>
      </w:r>
    </w:p>
    <w:p w14:paraId="55B7A37C" w14:textId="77777777" w:rsidR="00F62AE0" w:rsidRDefault="00F62AE0" w:rsidP="00F62AE0">
      <w:pPr>
        <w:pStyle w:val="NoSpacing"/>
        <w:ind w:left="360"/>
        <w:jc w:val="both"/>
        <w:rPr>
          <w:rFonts w:ascii="Arial" w:hAnsi="Arial" w:cs="Arial"/>
          <w:i/>
          <w:sz w:val="24"/>
          <w:szCs w:val="24"/>
        </w:rPr>
      </w:pPr>
    </w:p>
    <w:p w14:paraId="1982E668" w14:textId="2CE53F08" w:rsidR="002E37A2" w:rsidRPr="00F62AE0" w:rsidRDefault="00F62AE0" w:rsidP="00F62AE0">
      <w:pPr>
        <w:pStyle w:val="NoSpacing"/>
        <w:ind w:left="360"/>
        <w:jc w:val="both"/>
        <w:rPr>
          <w:rFonts w:ascii="Arial" w:hAnsi="Arial" w:cs="Arial"/>
          <w:sz w:val="24"/>
          <w:szCs w:val="24"/>
        </w:rPr>
      </w:pPr>
      <w:r w:rsidRPr="00F62AE0">
        <w:rPr>
          <w:rFonts w:ascii="Arial" w:hAnsi="Arial" w:cs="Arial"/>
          <w:i/>
          <w:sz w:val="24"/>
          <w:szCs w:val="24"/>
        </w:rPr>
        <w:t xml:space="preserve">There shall be an Industrial Court with </w:t>
      </w:r>
      <w:r w:rsidRPr="00F62AE0">
        <w:rPr>
          <w:rFonts w:ascii="Arial" w:hAnsi="Arial" w:cs="Arial"/>
          <w:i/>
          <w:sz w:val="24"/>
          <w:szCs w:val="24"/>
          <w:u w:val="single"/>
        </w:rPr>
        <w:t>exclusive civil and criminal jurisdiction</w:t>
      </w:r>
      <w:r w:rsidRPr="00F62AE0">
        <w:rPr>
          <w:rFonts w:ascii="Arial" w:hAnsi="Arial" w:cs="Arial"/>
          <w:i/>
          <w:sz w:val="24"/>
          <w:szCs w:val="24"/>
        </w:rPr>
        <w:t xml:space="preserve"> to try any matter arising out of the enactments set out in the First Schedule or of any regulations made under those enactments and with such other jurisdiction as may be conferred upon it by any other enactment.</w:t>
      </w:r>
      <w:r>
        <w:rPr>
          <w:rFonts w:ascii="Arial" w:hAnsi="Arial" w:cs="Arial"/>
          <w:i/>
          <w:sz w:val="24"/>
          <w:szCs w:val="24"/>
        </w:rPr>
        <w:t xml:space="preserve"> </w:t>
      </w:r>
      <w:r>
        <w:rPr>
          <w:rFonts w:ascii="Arial" w:hAnsi="Arial" w:cs="Arial"/>
          <w:sz w:val="24"/>
          <w:szCs w:val="24"/>
        </w:rPr>
        <w:t>(</w:t>
      </w:r>
      <w:proofErr w:type="gramStart"/>
      <w:r>
        <w:rPr>
          <w:rFonts w:ascii="Arial" w:hAnsi="Arial" w:cs="Arial"/>
          <w:sz w:val="24"/>
          <w:szCs w:val="24"/>
        </w:rPr>
        <w:t>underlining</w:t>
      </w:r>
      <w:proofErr w:type="gramEnd"/>
      <w:r>
        <w:rPr>
          <w:rFonts w:ascii="Arial" w:hAnsi="Arial" w:cs="Arial"/>
          <w:sz w:val="24"/>
          <w:szCs w:val="24"/>
        </w:rPr>
        <w:t xml:space="preserve"> is ours)</w:t>
      </w:r>
    </w:p>
    <w:p w14:paraId="70628722" w14:textId="77777777" w:rsidR="002E37A2" w:rsidRDefault="002E37A2" w:rsidP="00835284">
      <w:pPr>
        <w:pStyle w:val="NoSpacing"/>
        <w:jc w:val="both"/>
        <w:rPr>
          <w:rFonts w:ascii="Arial" w:hAnsi="Arial" w:cs="Arial"/>
          <w:sz w:val="24"/>
          <w:szCs w:val="24"/>
        </w:rPr>
      </w:pPr>
    </w:p>
    <w:p w14:paraId="0EE7109A" w14:textId="77777777" w:rsidR="00B73B76" w:rsidRDefault="002E37A2" w:rsidP="00835284">
      <w:pPr>
        <w:pStyle w:val="NoSpacing"/>
        <w:jc w:val="both"/>
        <w:rPr>
          <w:rFonts w:ascii="Arial" w:hAnsi="Arial" w:cs="Arial"/>
          <w:sz w:val="24"/>
          <w:szCs w:val="24"/>
        </w:rPr>
      </w:pPr>
      <w:r>
        <w:rPr>
          <w:rFonts w:ascii="Arial" w:hAnsi="Arial" w:cs="Arial"/>
          <w:sz w:val="24"/>
          <w:szCs w:val="24"/>
        </w:rPr>
        <w:t xml:space="preserve">The First Schedule to the Industrial Court Act </w:t>
      </w:r>
      <w:r w:rsidR="0021190D">
        <w:rPr>
          <w:rFonts w:ascii="Arial" w:hAnsi="Arial" w:cs="Arial"/>
          <w:sz w:val="24"/>
          <w:szCs w:val="24"/>
        </w:rPr>
        <w:t>refers to the Workers’ Rights Act 2019</w:t>
      </w:r>
      <w:r>
        <w:rPr>
          <w:rFonts w:ascii="Arial" w:hAnsi="Arial" w:cs="Arial"/>
          <w:sz w:val="24"/>
          <w:szCs w:val="24"/>
        </w:rPr>
        <w:t xml:space="preserve"> </w:t>
      </w:r>
      <w:r w:rsidR="0021190D">
        <w:rPr>
          <w:rFonts w:ascii="Arial" w:hAnsi="Arial" w:cs="Arial"/>
          <w:sz w:val="24"/>
          <w:szCs w:val="24"/>
        </w:rPr>
        <w:t xml:space="preserve">which caters lengthily under its Part VI for ‘Termination of Agreement and Reduction of Workforce’.  </w:t>
      </w:r>
      <w:r w:rsidR="00B10AAA">
        <w:rPr>
          <w:rFonts w:ascii="Arial" w:hAnsi="Arial" w:cs="Arial"/>
          <w:sz w:val="24"/>
          <w:szCs w:val="24"/>
        </w:rPr>
        <w:t xml:space="preserve">It is important to note that section 70(2C) of the Act provides that </w:t>
      </w:r>
      <w:r w:rsidR="00CA2AB8">
        <w:rPr>
          <w:rFonts w:ascii="Arial" w:hAnsi="Arial" w:cs="Arial"/>
          <w:sz w:val="24"/>
          <w:szCs w:val="24"/>
        </w:rPr>
        <w:t xml:space="preserve">where </w:t>
      </w:r>
      <w:r w:rsidR="00B10AAA">
        <w:rPr>
          <w:rFonts w:ascii="Arial" w:hAnsi="Arial" w:cs="Arial"/>
          <w:sz w:val="24"/>
          <w:szCs w:val="24"/>
        </w:rPr>
        <w:t xml:space="preserve">the </w:t>
      </w:r>
      <w:r w:rsidR="00CA2AB8">
        <w:rPr>
          <w:rFonts w:ascii="Arial" w:hAnsi="Arial" w:cs="Arial"/>
          <w:sz w:val="24"/>
          <w:szCs w:val="24"/>
        </w:rPr>
        <w:t xml:space="preserve">Tribunal does not give an </w:t>
      </w:r>
      <w:r w:rsidR="00B10AAA">
        <w:rPr>
          <w:rFonts w:ascii="Arial" w:hAnsi="Arial" w:cs="Arial"/>
          <w:sz w:val="24"/>
          <w:szCs w:val="24"/>
        </w:rPr>
        <w:t xml:space="preserve">award for </w:t>
      </w:r>
      <w:r w:rsidR="00CA2AB8">
        <w:rPr>
          <w:rFonts w:ascii="Arial" w:hAnsi="Arial" w:cs="Arial"/>
          <w:sz w:val="24"/>
          <w:szCs w:val="24"/>
        </w:rPr>
        <w:t>the</w:t>
      </w:r>
      <w:r w:rsidR="00B10AAA">
        <w:rPr>
          <w:rFonts w:ascii="Arial" w:hAnsi="Arial" w:cs="Arial"/>
          <w:sz w:val="24"/>
          <w:szCs w:val="24"/>
        </w:rPr>
        <w:t xml:space="preserve"> reinstatement </w:t>
      </w:r>
      <w:r w:rsidR="00CA2AB8">
        <w:rPr>
          <w:rFonts w:ascii="Arial" w:hAnsi="Arial" w:cs="Arial"/>
          <w:sz w:val="24"/>
          <w:szCs w:val="24"/>
        </w:rPr>
        <w:t xml:space="preserve">of a worker, the worker </w:t>
      </w:r>
      <w:r w:rsidR="00B10AAA">
        <w:rPr>
          <w:rFonts w:ascii="Arial" w:hAnsi="Arial" w:cs="Arial"/>
          <w:sz w:val="24"/>
          <w:szCs w:val="24"/>
        </w:rPr>
        <w:t xml:space="preserve">may institute proceedings before the Court for unjustified termination of employment.   </w:t>
      </w:r>
      <w:r>
        <w:rPr>
          <w:rFonts w:ascii="Arial" w:hAnsi="Arial" w:cs="Arial"/>
          <w:sz w:val="24"/>
          <w:szCs w:val="24"/>
        </w:rPr>
        <w:t xml:space="preserve">     </w:t>
      </w:r>
      <w:r w:rsidR="00D3294D">
        <w:rPr>
          <w:rFonts w:ascii="Arial" w:hAnsi="Arial" w:cs="Arial"/>
          <w:sz w:val="24"/>
          <w:szCs w:val="24"/>
        </w:rPr>
        <w:t xml:space="preserve"> </w:t>
      </w:r>
      <w:r w:rsidR="00A22983">
        <w:rPr>
          <w:rFonts w:ascii="Arial" w:hAnsi="Arial" w:cs="Arial"/>
          <w:sz w:val="24"/>
          <w:szCs w:val="24"/>
        </w:rPr>
        <w:t xml:space="preserve"> </w:t>
      </w:r>
      <w:r w:rsidR="007C23E7">
        <w:rPr>
          <w:rFonts w:ascii="Arial" w:hAnsi="Arial" w:cs="Arial"/>
          <w:sz w:val="24"/>
          <w:szCs w:val="24"/>
        </w:rPr>
        <w:t xml:space="preserve"> </w:t>
      </w:r>
    </w:p>
    <w:p w14:paraId="51749120" w14:textId="77777777" w:rsidR="00B73B76" w:rsidRDefault="00B73B76" w:rsidP="00835284">
      <w:pPr>
        <w:pStyle w:val="NoSpacing"/>
        <w:jc w:val="both"/>
        <w:rPr>
          <w:rFonts w:ascii="Arial" w:hAnsi="Arial" w:cs="Arial"/>
          <w:sz w:val="24"/>
          <w:szCs w:val="24"/>
        </w:rPr>
      </w:pPr>
    </w:p>
    <w:p w14:paraId="08594B01" w14:textId="30A23491" w:rsidR="008D6119" w:rsidRDefault="00CA2AB8" w:rsidP="00835284">
      <w:pPr>
        <w:pStyle w:val="NoSpacing"/>
        <w:jc w:val="both"/>
        <w:rPr>
          <w:rFonts w:ascii="Arial" w:hAnsi="Arial" w:cs="Arial"/>
          <w:sz w:val="24"/>
          <w:szCs w:val="24"/>
        </w:rPr>
      </w:pPr>
      <w:r>
        <w:rPr>
          <w:rFonts w:ascii="Arial" w:hAnsi="Arial" w:cs="Arial"/>
          <w:sz w:val="24"/>
          <w:szCs w:val="24"/>
        </w:rPr>
        <w:t xml:space="preserve">Clearly, the Tribunal thus cannot consider issues such as </w:t>
      </w:r>
      <w:r w:rsidR="006B14AF">
        <w:rPr>
          <w:rFonts w:ascii="Arial" w:hAnsi="Arial" w:cs="Arial"/>
          <w:sz w:val="24"/>
          <w:szCs w:val="24"/>
        </w:rPr>
        <w:t>the different time</w:t>
      </w:r>
      <w:r w:rsidR="00437935">
        <w:rPr>
          <w:rFonts w:ascii="Arial" w:hAnsi="Arial" w:cs="Arial"/>
          <w:sz w:val="24"/>
          <w:szCs w:val="24"/>
        </w:rPr>
        <w:t xml:space="preserve"> </w:t>
      </w:r>
      <w:r w:rsidR="006B14AF">
        <w:rPr>
          <w:rFonts w:ascii="Arial" w:hAnsi="Arial" w:cs="Arial"/>
          <w:sz w:val="24"/>
          <w:szCs w:val="24"/>
        </w:rPr>
        <w:t xml:space="preserve">frames provided by law under say section 64 of the Workers’ Rights Act, amendments pertaining to a charge levelled against a worker and any other issues which </w:t>
      </w:r>
      <w:proofErr w:type="gramStart"/>
      <w:r w:rsidR="006B14AF">
        <w:rPr>
          <w:rFonts w:ascii="Arial" w:hAnsi="Arial" w:cs="Arial"/>
          <w:sz w:val="24"/>
          <w:szCs w:val="24"/>
        </w:rPr>
        <w:t>arose  during</w:t>
      </w:r>
      <w:proofErr w:type="gramEnd"/>
      <w:r w:rsidR="006B14AF">
        <w:rPr>
          <w:rFonts w:ascii="Arial" w:hAnsi="Arial" w:cs="Arial"/>
          <w:sz w:val="24"/>
          <w:szCs w:val="24"/>
        </w:rPr>
        <w:t xml:space="preserve"> and were directly in relation to the disciplinary hearing.  </w:t>
      </w:r>
      <w:r>
        <w:rPr>
          <w:rFonts w:ascii="Arial" w:hAnsi="Arial" w:cs="Arial"/>
          <w:sz w:val="24"/>
          <w:szCs w:val="24"/>
        </w:rPr>
        <w:t xml:space="preserve">These would be matters within the exclusive jurisdiction of the Industrial Court.  </w:t>
      </w:r>
      <w:r w:rsidR="008D6119">
        <w:rPr>
          <w:rFonts w:ascii="Arial" w:hAnsi="Arial" w:cs="Arial"/>
          <w:sz w:val="24"/>
          <w:szCs w:val="24"/>
        </w:rPr>
        <w:t>This would be in line with the statement made by Counsel for Disputant before the Tribunal as follows:</w:t>
      </w:r>
    </w:p>
    <w:p w14:paraId="44F653E2" w14:textId="77777777" w:rsidR="008D6119" w:rsidRDefault="008D6119" w:rsidP="00835284">
      <w:pPr>
        <w:pStyle w:val="NoSpacing"/>
        <w:jc w:val="both"/>
        <w:rPr>
          <w:rFonts w:ascii="Arial" w:hAnsi="Arial" w:cs="Arial"/>
          <w:sz w:val="24"/>
          <w:szCs w:val="24"/>
        </w:rPr>
      </w:pPr>
    </w:p>
    <w:p w14:paraId="07BF29EC" w14:textId="11EBF3C9" w:rsidR="004C44CB" w:rsidRDefault="008D6119" w:rsidP="00835284">
      <w:pPr>
        <w:pStyle w:val="NoSpacing"/>
        <w:jc w:val="both"/>
        <w:rPr>
          <w:rFonts w:ascii="Arial" w:hAnsi="Arial" w:cs="Arial"/>
          <w:sz w:val="24"/>
          <w:szCs w:val="24"/>
        </w:rPr>
      </w:pPr>
      <w:r>
        <w:rPr>
          <w:rFonts w:ascii="Arial" w:hAnsi="Arial" w:cs="Arial"/>
          <w:sz w:val="24"/>
          <w:szCs w:val="24"/>
        </w:rPr>
        <w:t>“</w:t>
      </w:r>
      <w:r w:rsidR="004C44CB">
        <w:rPr>
          <w:rFonts w:ascii="Arial" w:hAnsi="Arial" w:cs="Arial"/>
          <w:sz w:val="24"/>
          <w:szCs w:val="24"/>
        </w:rPr>
        <w:t xml:space="preserve">… </w:t>
      </w:r>
      <w:r w:rsidR="004C44CB" w:rsidRPr="004C44CB">
        <w:rPr>
          <w:rFonts w:ascii="Arial" w:hAnsi="Arial" w:cs="Arial"/>
          <w:i/>
          <w:sz w:val="24"/>
          <w:szCs w:val="24"/>
        </w:rPr>
        <w:t>I intend to submit along a certain line where the proceedings of the disciplinary committee are</w:t>
      </w:r>
      <w:r w:rsidR="004C44CB">
        <w:rPr>
          <w:rFonts w:ascii="Arial" w:hAnsi="Arial" w:cs="Arial"/>
          <w:i/>
          <w:sz w:val="24"/>
          <w:szCs w:val="24"/>
        </w:rPr>
        <w:t>,</w:t>
      </w:r>
      <w:r w:rsidR="004C44CB" w:rsidRPr="004C44CB">
        <w:rPr>
          <w:rFonts w:ascii="Arial" w:hAnsi="Arial" w:cs="Arial"/>
          <w:i/>
          <w:sz w:val="24"/>
          <w:szCs w:val="24"/>
        </w:rPr>
        <w:t xml:space="preserve"> according to me, irrelevant for the determination of this committee</w:t>
      </w:r>
      <w:r w:rsidR="00437935">
        <w:rPr>
          <w:rFonts w:ascii="Arial" w:hAnsi="Arial" w:cs="Arial"/>
          <w:i/>
          <w:sz w:val="24"/>
          <w:szCs w:val="24"/>
        </w:rPr>
        <w:t xml:space="preserve"> </w:t>
      </w:r>
      <w:r w:rsidR="00437935">
        <w:rPr>
          <w:rFonts w:ascii="Arial" w:hAnsi="Arial" w:cs="Arial"/>
          <w:sz w:val="24"/>
          <w:szCs w:val="24"/>
        </w:rPr>
        <w:t>[which we understand should be the Tribunal here]</w:t>
      </w:r>
      <w:r w:rsidR="004C44CB" w:rsidRPr="004C44CB">
        <w:rPr>
          <w:rFonts w:ascii="Arial" w:hAnsi="Arial" w:cs="Arial"/>
          <w:i/>
          <w:sz w:val="24"/>
          <w:szCs w:val="24"/>
        </w:rPr>
        <w:t>.  The real issue would be something else in law on which I will submit upon but these facts aren’t necessary</w:t>
      </w:r>
      <w:r w:rsidR="004C44CB">
        <w:rPr>
          <w:rFonts w:ascii="Arial" w:hAnsi="Arial" w:cs="Arial"/>
          <w:sz w:val="24"/>
          <w:szCs w:val="24"/>
        </w:rPr>
        <w:t xml:space="preserve">.” </w:t>
      </w:r>
      <w:r>
        <w:rPr>
          <w:rFonts w:ascii="Arial" w:hAnsi="Arial" w:cs="Arial"/>
          <w:sz w:val="24"/>
          <w:szCs w:val="24"/>
        </w:rPr>
        <w:t xml:space="preserve"> </w:t>
      </w:r>
    </w:p>
    <w:p w14:paraId="6AF1ACD9" w14:textId="77777777" w:rsidR="004C44CB" w:rsidRDefault="004C44CB" w:rsidP="00835284">
      <w:pPr>
        <w:pStyle w:val="NoSpacing"/>
        <w:jc w:val="both"/>
        <w:rPr>
          <w:rFonts w:ascii="Arial" w:hAnsi="Arial" w:cs="Arial"/>
          <w:sz w:val="24"/>
          <w:szCs w:val="24"/>
        </w:rPr>
      </w:pPr>
    </w:p>
    <w:p w14:paraId="7FF066C4" w14:textId="2958E3A0" w:rsidR="00EC7AC8" w:rsidRDefault="00411D8B" w:rsidP="00835284">
      <w:pPr>
        <w:pStyle w:val="NoSpacing"/>
        <w:jc w:val="both"/>
        <w:rPr>
          <w:rFonts w:ascii="Arial" w:hAnsi="Arial" w:cs="Arial"/>
          <w:sz w:val="24"/>
          <w:szCs w:val="24"/>
        </w:rPr>
      </w:pPr>
      <w:r>
        <w:rPr>
          <w:rFonts w:ascii="Arial" w:hAnsi="Arial" w:cs="Arial"/>
          <w:sz w:val="24"/>
          <w:szCs w:val="24"/>
        </w:rPr>
        <w:t xml:space="preserve">Also, the Tribunal cannot consider previous incidents or events referred to by the Disputant to make any </w:t>
      </w:r>
      <w:r w:rsidR="004C44CB">
        <w:rPr>
          <w:rFonts w:ascii="Arial" w:hAnsi="Arial" w:cs="Arial"/>
          <w:sz w:val="24"/>
          <w:szCs w:val="24"/>
        </w:rPr>
        <w:t>presump</w:t>
      </w:r>
      <w:r>
        <w:rPr>
          <w:rFonts w:ascii="Arial" w:hAnsi="Arial" w:cs="Arial"/>
          <w:sz w:val="24"/>
          <w:szCs w:val="24"/>
        </w:rPr>
        <w:t xml:space="preserve">tions that the actual charges </w:t>
      </w:r>
      <w:r w:rsidR="00437935">
        <w:rPr>
          <w:rFonts w:ascii="Arial" w:hAnsi="Arial" w:cs="Arial"/>
          <w:sz w:val="24"/>
          <w:szCs w:val="24"/>
        </w:rPr>
        <w:t>under consideration which were levelled against Disputant were made in his capacity as President of the union</w:t>
      </w:r>
      <w:r w:rsidR="00B56B44">
        <w:rPr>
          <w:rFonts w:ascii="Arial" w:hAnsi="Arial" w:cs="Arial"/>
          <w:sz w:val="24"/>
          <w:szCs w:val="24"/>
        </w:rPr>
        <w:t>.</w:t>
      </w:r>
      <w:r>
        <w:rPr>
          <w:rFonts w:ascii="Arial" w:hAnsi="Arial" w:cs="Arial"/>
          <w:sz w:val="24"/>
          <w:szCs w:val="24"/>
        </w:rPr>
        <w:t xml:space="preserve">  </w:t>
      </w:r>
      <w:r w:rsidR="00CA2AB8">
        <w:rPr>
          <w:rFonts w:ascii="Arial" w:hAnsi="Arial" w:cs="Arial"/>
          <w:sz w:val="24"/>
          <w:szCs w:val="24"/>
        </w:rPr>
        <w:lastRenderedPageBreak/>
        <w:t xml:space="preserve">What is then the jurisdiction granted to the Tribunal under the Act for disputes which relate wholly or mainly to reinstatement of a worker?  The amendments brought to the Act in 2019 provide </w:t>
      </w:r>
      <w:r w:rsidR="00ED2A98">
        <w:rPr>
          <w:rFonts w:ascii="Arial" w:hAnsi="Arial" w:cs="Arial"/>
          <w:sz w:val="24"/>
          <w:szCs w:val="24"/>
        </w:rPr>
        <w:t>an indication</w:t>
      </w:r>
      <w:r w:rsidR="00CA2AB8">
        <w:rPr>
          <w:rFonts w:ascii="Arial" w:hAnsi="Arial" w:cs="Arial"/>
          <w:sz w:val="24"/>
          <w:szCs w:val="24"/>
        </w:rPr>
        <w:t xml:space="preserve"> as to this jurisdiction.</w:t>
      </w:r>
      <w:r w:rsidR="00166A94">
        <w:rPr>
          <w:rFonts w:ascii="Arial" w:hAnsi="Arial" w:cs="Arial"/>
          <w:sz w:val="24"/>
          <w:szCs w:val="24"/>
        </w:rPr>
        <w:t xml:space="preserve">  Firstly, to be able to report a dispute in relation to</w:t>
      </w:r>
      <w:r w:rsidR="006B14AF">
        <w:rPr>
          <w:rFonts w:ascii="Arial" w:hAnsi="Arial" w:cs="Arial"/>
          <w:sz w:val="24"/>
          <w:szCs w:val="24"/>
        </w:rPr>
        <w:t xml:space="preserve"> the</w:t>
      </w:r>
      <w:r w:rsidR="00166A94">
        <w:rPr>
          <w:rFonts w:ascii="Arial" w:hAnsi="Arial" w:cs="Arial"/>
          <w:sz w:val="24"/>
          <w:szCs w:val="24"/>
        </w:rPr>
        <w:t xml:space="preserve"> reinstatement of a worker, the termination of the employment must have been by reason of or because of one of the grounds laid down in section </w:t>
      </w:r>
      <w:r w:rsidR="00B9301D">
        <w:rPr>
          <w:rFonts w:ascii="Arial" w:hAnsi="Arial" w:cs="Arial"/>
          <w:sz w:val="24"/>
          <w:szCs w:val="24"/>
        </w:rPr>
        <w:t>64(1A) of the Act</w:t>
      </w:r>
      <w:r w:rsidR="00166A94">
        <w:rPr>
          <w:rFonts w:ascii="Arial" w:hAnsi="Arial" w:cs="Arial"/>
          <w:sz w:val="24"/>
          <w:szCs w:val="24"/>
        </w:rPr>
        <w:t xml:space="preserve">.  The legislator </w:t>
      </w:r>
      <w:r w:rsidR="00A84555">
        <w:rPr>
          <w:rFonts w:ascii="Arial" w:hAnsi="Arial" w:cs="Arial"/>
          <w:sz w:val="24"/>
          <w:szCs w:val="24"/>
        </w:rPr>
        <w:t xml:space="preserve">in its wisdom </w:t>
      </w:r>
      <w:r w:rsidR="00166A94">
        <w:rPr>
          <w:rFonts w:ascii="Arial" w:hAnsi="Arial" w:cs="Arial"/>
          <w:sz w:val="24"/>
          <w:szCs w:val="24"/>
        </w:rPr>
        <w:t>has de</w:t>
      </w:r>
      <w:r w:rsidR="00A84555">
        <w:rPr>
          <w:rFonts w:ascii="Arial" w:hAnsi="Arial" w:cs="Arial"/>
          <w:sz w:val="24"/>
          <w:szCs w:val="24"/>
        </w:rPr>
        <w:t>cided that these</w:t>
      </w:r>
      <w:r w:rsidR="00166A94">
        <w:rPr>
          <w:rFonts w:ascii="Arial" w:hAnsi="Arial" w:cs="Arial"/>
          <w:sz w:val="24"/>
          <w:szCs w:val="24"/>
        </w:rPr>
        <w:t xml:space="preserve"> grounds </w:t>
      </w:r>
      <w:r w:rsidR="00A84555">
        <w:rPr>
          <w:rFonts w:ascii="Arial" w:hAnsi="Arial" w:cs="Arial"/>
          <w:sz w:val="24"/>
          <w:szCs w:val="24"/>
        </w:rPr>
        <w:t>carry with them something</w:t>
      </w:r>
      <w:r w:rsidR="00873922">
        <w:rPr>
          <w:rFonts w:ascii="Arial" w:hAnsi="Arial" w:cs="Arial"/>
          <w:sz w:val="24"/>
          <w:szCs w:val="24"/>
        </w:rPr>
        <w:t xml:space="preserve"> so wrong, w</w:t>
      </w:r>
      <w:r w:rsidR="00166A94">
        <w:rPr>
          <w:rFonts w:ascii="Arial" w:hAnsi="Arial" w:cs="Arial"/>
          <w:sz w:val="24"/>
          <w:szCs w:val="24"/>
        </w:rPr>
        <w:t xml:space="preserve">hich </w:t>
      </w:r>
      <w:r w:rsidR="00A84555">
        <w:rPr>
          <w:rFonts w:ascii="Arial" w:hAnsi="Arial" w:cs="Arial"/>
          <w:sz w:val="24"/>
          <w:szCs w:val="24"/>
        </w:rPr>
        <w:t>f</w:t>
      </w:r>
      <w:r w:rsidR="00166A94">
        <w:rPr>
          <w:rFonts w:ascii="Arial" w:hAnsi="Arial" w:cs="Arial"/>
          <w:sz w:val="24"/>
          <w:szCs w:val="24"/>
        </w:rPr>
        <w:t>lout</w:t>
      </w:r>
      <w:r w:rsidR="006B14AF">
        <w:rPr>
          <w:rFonts w:ascii="Arial" w:hAnsi="Arial" w:cs="Arial"/>
          <w:sz w:val="24"/>
          <w:szCs w:val="24"/>
        </w:rPr>
        <w:t>s</w:t>
      </w:r>
      <w:r w:rsidR="00166A94">
        <w:rPr>
          <w:rFonts w:ascii="Arial" w:hAnsi="Arial" w:cs="Arial"/>
          <w:sz w:val="24"/>
          <w:szCs w:val="24"/>
        </w:rPr>
        <w:t xml:space="preserve"> </w:t>
      </w:r>
      <w:r w:rsidR="00A84555">
        <w:rPr>
          <w:rFonts w:ascii="Arial" w:hAnsi="Arial" w:cs="Arial"/>
          <w:sz w:val="24"/>
          <w:szCs w:val="24"/>
        </w:rPr>
        <w:t>basic principles of fairness, mutual respect and fundamental rights of a worker</w:t>
      </w:r>
      <w:r w:rsidR="00873922">
        <w:rPr>
          <w:rFonts w:ascii="Arial" w:hAnsi="Arial" w:cs="Arial"/>
          <w:sz w:val="24"/>
          <w:szCs w:val="24"/>
        </w:rPr>
        <w:t>,</w:t>
      </w:r>
      <w:r w:rsidR="006B14AF">
        <w:rPr>
          <w:rFonts w:ascii="Arial" w:hAnsi="Arial" w:cs="Arial"/>
          <w:sz w:val="24"/>
          <w:szCs w:val="24"/>
        </w:rPr>
        <w:t xml:space="preserve"> that </w:t>
      </w:r>
      <w:r w:rsidR="00873922">
        <w:rPr>
          <w:rFonts w:ascii="Arial" w:hAnsi="Arial" w:cs="Arial"/>
          <w:sz w:val="24"/>
          <w:szCs w:val="24"/>
        </w:rPr>
        <w:t xml:space="preserve">termination of employment on any one of such grounds requires an </w:t>
      </w:r>
      <w:r w:rsidR="006B14AF">
        <w:rPr>
          <w:rFonts w:ascii="Arial" w:hAnsi="Arial" w:cs="Arial"/>
          <w:sz w:val="24"/>
          <w:szCs w:val="24"/>
        </w:rPr>
        <w:t xml:space="preserve">even greater protection </w:t>
      </w:r>
      <w:r w:rsidR="00873922">
        <w:rPr>
          <w:rFonts w:ascii="Arial" w:hAnsi="Arial" w:cs="Arial"/>
          <w:sz w:val="24"/>
          <w:szCs w:val="24"/>
        </w:rPr>
        <w:t>for the worker</w:t>
      </w:r>
      <w:r w:rsidR="00A84555">
        <w:rPr>
          <w:rFonts w:ascii="Arial" w:hAnsi="Arial" w:cs="Arial"/>
          <w:sz w:val="24"/>
          <w:szCs w:val="24"/>
        </w:rPr>
        <w:t xml:space="preserve">.  Termination of employment on any such grounds warrants a speedy, accessible and less formal system of enquiry </w:t>
      </w:r>
      <w:r w:rsidR="00D470E4">
        <w:rPr>
          <w:rFonts w:ascii="Arial" w:hAnsi="Arial" w:cs="Arial"/>
          <w:sz w:val="24"/>
          <w:szCs w:val="24"/>
        </w:rPr>
        <w:t>for the worker whose employment has been terminated</w:t>
      </w:r>
      <w:r w:rsidR="00437935">
        <w:rPr>
          <w:rFonts w:ascii="Arial" w:hAnsi="Arial" w:cs="Arial"/>
          <w:sz w:val="24"/>
          <w:szCs w:val="24"/>
        </w:rPr>
        <w:t>, and above all, may lead to an award for reinstatement</w:t>
      </w:r>
      <w:r w:rsidR="00D470E4">
        <w:rPr>
          <w:rFonts w:ascii="Arial" w:hAnsi="Arial" w:cs="Arial"/>
          <w:sz w:val="24"/>
          <w:szCs w:val="24"/>
        </w:rPr>
        <w:t xml:space="preserve">.  </w:t>
      </w:r>
      <w:r w:rsidR="00A84555">
        <w:rPr>
          <w:rFonts w:ascii="Arial" w:hAnsi="Arial" w:cs="Arial"/>
          <w:sz w:val="24"/>
          <w:szCs w:val="24"/>
        </w:rPr>
        <w:t xml:space="preserve">    </w:t>
      </w:r>
      <w:r w:rsidR="00166A94">
        <w:rPr>
          <w:rFonts w:ascii="Arial" w:hAnsi="Arial" w:cs="Arial"/>
          <w:sz w:val="24"/>
          <w:szCs w:val="24"/>
        </w:rPr>
        <w:t xml:space="preserve">      </w:t>
      </w:r>
    </w:p>
    <w:p w14:paraId="44A36DDB" w14:textId="77777777" w:rsidR="00ED2A98" w:rsidRDefault="00ED2A98" w:rsidP="00835284">
      <w:pPr>
        <w:pStyle w:val="NoSpacing"/>
        <w:jc w:val="both"/>
        <w:rPr>
          <w:rFonts w:ascii="Arial" w:hAnsi="Arial" w:cs="Arial"/>
          <w:sz w:val="24"/>
          <w:szCs w:val="24"/>
        </w:rPr>
      </w:pPr>
    </w:p>
    <w:p w14:paraId="4CBA3FC0" w14:textId="1FD2F99C" w:rsidR="00ED2A98" w:rsidRDefault="00D470E4" w:rsidP="00835284">
      <w:pPr>
        <w:pStyle w:val="NoSpacing"/>
        <w:jc w:val="both"/>
        <w:rPr>
          <w:rFonts w:ascii="Arial" w:hAnsi="Arial" w:cs="Arial"/>
          <w:sz w:val="24"/>
          <w:szCs w:val="24"/>
        </w:rPr>
      </w:pPr>
      <w:r>
        <w:rPr>
          <w:rFonts w:ascii="Arial" w:hAnsi="Arial" w:cs="Arial"/>
          <w:sz w:val="24"/>
          <w:szCs w:val="24"/>
        </w:rPr>
        <w:t xml:space="preserve">However, the burden of proof is on the worker to show that his employment has been terminated because of one or more of such grounds laid down under section </w:t>
      </w:r>
      <w:r w:rsidR="00B9301D">
        <w:rPr>
          <w:rFonts w:ascii="Arial" w:hAnsi="Arial" w:cs="Arial"/>
          <w:sz w:val="24"/>
          <w:szCs w:val="24"/>
        </w:rPr>
        <w:t>64(1A) (above).</w:t>
      </w:r>
      <w:r>
        <w:rPr>
          <w:rFonts w:ascii="Arial" w:hAnsi="Arial" w:cs="Arial"/>
          <w:sz w:val="24"/>
          <w:szCs w:val="24"/>
        </w:rPr>
        <w:t xml:space="preserve"> </w:t>
      </w:r>
      <w:r w:rsidR="00B9301D">
        <w:rPr>
          <w:rFonts w:ascii="Arial" w:hAnsi="Arial" w:cs="Arial"/>
          <w:sz w:val="24"/>
          <w:szCs w:val="24"/>
        </w:rPr>
        <w:t xml:space="preserve"> </w:t>
      </w:r>
      <w:r w:rsidR="00E81AC7">
        <w:rPr>
          <w:rFonts w:ascii="Arial" w:hAnsi="Arial" w:cs="Arial"/>
          <w:sz w:val="24"/>
          <w:szCs w:val="24"/>
        </w:rPr>
        <w:t xml:space="preserve">Irrespective of any disciplinary hearing, </w:t>
      </w:r>
      <w:r w:rsidR="00170AE7">
        <w:rPr>
          <w:rFonts w:ascii="Arial" w:hAnsi="Arial" w:cs="Arial"/>
          <w:sz w:val="24"/>
          <w:szCs w:val="24"/>
        </w:rPr>
        <w:t xml:space="preserve">of whether procedures have been followed, any reassessment of the charge or decision of the Respondent to terminate the contract of employment of Disputant, </w:t>
      </w:r>
      <w:r w:rsidR="00E81AC7">
        <w:rPr>
          <w:rFonts w:ascii="Arial" w:hAnsi="Arial" w:cs="Arial"/>
          <w:sz w:val="24"/>
          <w:szCs w:val="24"/>
        </w:rPr>
        <w:t xml:space="preserve">the Tribunal </w:t>
      </w:r>
      <w:r w:rsidR="00170AE7">
        <w:rPr>
          <w:rFonts w:ascii="Arial" w:hAnsi="Arial" w:cs="Arial"/>
          <w:sz w:val="24"/>
          <w:szCs w:val="24"/>
        </w:rPr>
        <w:t xml:space="preserve">only has </w:t>
      </w:r>
      <w:r w:rsidR="00E81AC7">
        <w:rPr>
          <w:rFonts w:ascii="Arial" w:hAnsi="Arial" w:cs="Arial"/>
          <w:sz w:val="24"/>
          <w:szCs w:val="24"/>
        </w:rPr>
        <w:t xml:space="preserve">to decide whether the </w:t>
      </w:r>
      <w:r w:rsidR="00E81AC7" w:rsidRPr="00170AE7">
        <w:rPr>
          <w:rFonts w:ascii="Arial" w:hAnsi="Arial" w:cs="Arial"/>
          <w:sz w:val="24"/>
          <w:szCs w:val="24"/>
          <w:u w:val="single"/>
        </w:rPr>
        <w:t>reinstatement</w:t>
      </w:r>
      <w:r w:rsidR="00E81AC7">
        <w:rPr>
          <w:rFonts w:ascii="Arial" w:hAnsi="Arial" w:cs="Arial"/>
          <w:sz w:val="24"/>
          <w:szCs w:val="24"/>
        </w:rPr>
        <w:t xml:space="preserve"> </w:t>
      </w:r>
      <w:r w:rsidR="00170AE7">
        <w:rPr>
          <w:rFonts w:ascii="Arial" w:hAnsi="Arial" w:cs="Arial"/>
          <w:sz w:val="24"/>
          <w:szCs w:val="24"/>
        </w:rPr>
        <w:t xml:space="preserve">(underlining is ours) </w:t>
      </w:r>
      <w:r w:rsidR="00E81AC7">
        <w:rPr>
          <w:rFonts w:ascii="Arial" w:hAnsi="Arial" w:cs="Arial"/>
          <w:sz w:val="24"/>
          <w:szCs w:val="24"/>
        </w:rPr>
        <w:t xml:space="preserve">of the worker is justified bearing in mind </w:t>
      </w:r>
      <w:r w:rsidR="00304FD8">
        <w:rPr>
          <w:rFonts w:ascii="Arial" w:hAnsi="Arial" w:cs="Arial"/>
          <w:sz w:val="24"/>
          <w:szCs w:val="24"/>
        </w:rPr>
        <w:t>any</w:t>
      </w:r>
      <w:r w:rsidR="00E81AC7">
        <w:rPr>
          <w:rFonts w:ascii="Arial" w:hAnsi="Arial" w:cs="Arial"/>
          <w:sz w:val="24"/>
          <w:szCs w:val="24"/>
        </w:rPr>
        <w:t xml:space="preserve"> </w:t>
      </w:r>
      <w:r w:rsidR="00170AE7">
        <w:rPr>
          <w:rFonts w:ascii="Arial" w:hAnsi="Arial" w:cs="Arial"/>
          <w:sz w:val="24"/>
          <w:szCs w:val="24"/>
        </w:rPr>
        <w:t>charge</w:t>
      </w:r>
      <w:r w:rsidR="00304FD8">
        <w:rPr>
          <w:rFonts w:ascii="Arial" w:hAnsi="Arial" w:cs="Arial"/>
          <w:sz w:val="24"/>
          <w:szCs w:val="24"/>
        </w:rPr>
        <w:t xml:space="preserve"> levelled against the Disputant in the light of, what we would call, </w:t>
      </w:r>
      <w:r w:rsidR="00304FD8" w:rsidRPr="004C44CB">
        <w:rPr>
          <w:rFonts w:ascii="Arial" w:hAnsi="Arial" w:cs="Arial"/>
          <w:sz w:val="24"/>
          <w:szCs w:val="24"/>
        </w:rPr>
        <w:t xml:space="preserve">highly prohibitive </w:t>
      </w:r>
      <w:r w:rsidR="00170AE7" w:rsidRPr="004C44CB">
        <w:rPr>
          <w:rFonts w:ascii="Arial" w:hAnsi="Arial" w:cs="Arial"/>
          <w:sz w:val="24"/>
          <w:szCs w:val="24"/>
        </w:rPr>
        <w:t xml:space="preserve"> </w:t>
      </w:r>
      <w:r w:rsidR="00E81AC7" w:rsidRPr="004C44CB">
        <w:rPr>
          <w:rFonts w:ascii="Arial" w:hAnsi="Arial" w:cs="Arial"/>
          <w:sz w:val="24"/>
          <w:szCs w:val="24"/>
        </w:rPr>
        <w:t>ground</w:t>
      </w:r>
      <w:r w:rsidR="00304FD8" w:rsidRPr="004C44CB">
        <w:rPr>
          <w:rFonts w:ascii="Arial" w:hAnsi="Arial" w:cs="Arial"/>
          <w:sz w:val="24"/>
          <w:szCs w:val="24"/>
        </w:rPr>
        <w:t>s</w:t>
      </w:r>
      <w:r w:rsidR="00E81AC7">
        <w:rPr>
          <w:rFonts w:ascii="Arial" w:hAnsi="Arial" w:cs="Arial"/>
          <w:sz w:val="24"/>
          <w:szCs w:val="24"/>
        </w:rPr>
        <w:t xml:space="preserve"> for termination</w:t>
      </w:r>
      <w:r w:rsidR="00304FD8">
        <w:rPr>
          <w:rFonts w:ascii="Arial" w:hAnsi="Arial" w:cs="Arial"/>
          <w:sz w:val="24"/>
          <w:szCs w:val="24"/>
        </w:rPr>
        <w:t xml:space="preserve"> of a contract of employment which are laid down at section 64(1A) of the Act</w:t>
      </w:r>
      <w:r w:rsidR="00E81AC7">
        <w:rPr>
          <w:rFonts w:ascii="Arial" w:hAnsi="Arial" w:cs="Arial"/>
          <w:sz w:val="24"/>
          <w:szCs w:val="24"/>
        </w:rPr>
        <w:t xml:space="preserve">, the state of the relationship </w:t>
      </w:r>
      <w:r w:rsidR="00616B93">
        <w:rPr>
          <w:rFonts w:ascii="Arial" w:hAnsi="Arial" w:cs="Arial"/>
          <w:sz w:val="24"/>
          <w:szCs w:val="24"/>
        </w:rPr>
        <w:t xml:space="preserve">between the parties </w:t>
      </w:r>
      <w:r w:rsidR="00803D62">
        <w:rPr>
          <w:rFonts w:ascii="Arial" w:hAnsi="Arial" w:cs="Arial"/>
          <w:sz w:val="24"/>
          <w:szCs w:val="24"/>
        </w:rPr>
        <w:t xml:space="preserve">and more particularly that it has not </w:t>
      </w:r>
      <w:r w:rsidR="00616B93">
        <w:rPr>
          <w:rFonts w:ascii="Arial" w:hAnsi="Arial" w:cs="Arial"/>
          <w:sz w:val="24"/>
          <w:szCs w:val="24"/>
        </w:rPr>
        <w:t xml:space="preserve">irretrievably </w:t>
      </w:r>
      <w:r w:rsidR="00E1787E">
        <w:rPr>
          <w:rFonts w:ascii="Arial" w:hAnsi="Arial" w:cs="Arial"/>
          <w:sz w:val="24"/>
          <w:szCs w:val="24"/>
        </w:rPr>
        <w:t xml:space="preserve">been </w:t>
      </w:r>
      <w:r w:rsidR="00803D62">
        <w:rPr>
          <w:rFonts w:ascii="Arial" w:hAnsi="Arial" w:cs="Arial"/>
          <w:sz w:val="24"/>
          <w:szCs w:val="24"/>
        </w:rPr>
        <w:t xml:space="preserve">broken, the wish of the worker </w:t>
      </w:r>
      <w:r w:rsidR="00616B93">
        <w:rPr>
          <w:rFonts w:ascii="Arial" w:hAnsi="Arial" w:cs="Arial"/>
          <w:sz w:val="24"/>
          <w:szCs w:val="24"/>
        </w:rPr>
        <w:t xml:space="preserve">and </w:t>
      </w:r>
      <w:r w:rsidR="00803D62">
        <w:rPr>
          <w:rFonts w:ascii="Arial" w:hAnsi="Arial" w:cs="Arial"/>
          <w:sz w:val="24"/>
          <w:szCs w:val="24"/>
        </w:rPr>
        <w:t xml:space="preserve">any </w:t>
      </w:r>
      <w:r w:rsidR="00616B93">
        <w:rPr>
          <w:rFonts w:ascii="Arial" w:hAnsi="Arial" w:cs="Arial"/>
          <w:sz w:val="24"/>
          <w:szCs w:val="24"/>
        </w:rPr>
        <w:t xml:space="preserve">other relevant factors </w:t>
      </w:r>
      <w:r w:rsidR="00803D62">
        <w:rPr>
          <w:rFonts w:ascii="Arial" w:hAnsi="Arial" w:cs="Arial"/>
          <w:sz w:val="24"/>
          <w:szCs w:val="24"/>
        </w:rPr>
        <w:t xml:space="preserve">such as those </w:t>
      </w:r>
      <w:r w:rsidR="00616B93">
        <w:rPr>
          <w:rFonts w:ascii="Arial" w:hAnsi="Arial" w:cs="Arial"/>
          <w:sz w:val="24"/>
          <w:szCs w:val="24"/>
        </w:rPr>
        <w:t xml:space="preserve">laid down under section 97 of the Act such as principles of natural justice and principles </w:t>
      </w:r>
      <w:r w:rsidR="00E1787E">
        <w:rPr>
          <w:rFonts w:ascii="Arial" w:hAnsi="Arial" w:cs="Arial"/>
          <w:sz w:val="24"/>
          <w:szCs w:val="24"/>
        </w:rPr>
        <w:t xml:space="preserve">and best practices </w:t>
      </w:r>
      <w:r w:rsidR="00616B93">
        <w:rPr>
          <w:rFonts w:ascii="Arial" w:hAnsi="Arial" w:cs="Arial"/>
          <w:sz w:val="24"/>
          <w:szCs w:val="24"/>
        </w:rPr>
        <w:t xml:space="preserve">of good employment relations.  </w:t>
      </w:r>
      <w:r w:rsidR="00B85AF4">
        <w:rPr>
          <w:rFonts w:ascii="Arial" w:hAnsi="Arial" w:cs="Arial"/>
          <w:sz w:val="24"/>
          <w:szCs w:val="24"/>
        </w:rPr>
        <w:t xml:space="preserve">Any decision of the Tribunal </w:t>
      </w:r>
      <w:r w:rsidR="0056420A">
        <w:rPr>
          <w:rFonts w:ascii="Arial" w:hAnsi="Arial" w:cs="Arial"/>
          <w:sz w:val="24"/>
          <w:szCs w:val="24"/>
        </w:rPr>
        <w:t>sh</w:t>
      </w:r>
      <w:r w:rsidR="00B85AF4">
        <w:rPr>
          <w:rFonts w:ascii="Arial" w:hAnsi="Arial" w:cs="Arial"/>
          <w:sz w:val="24"/>
          <w:szCs w:val="24"/>
        </w:rPr>
        <w:t>ould not</w:t>
      </w:r>
      <w:r w:rsidR="00F148E2">
        <w:rPr>
          <w:rFonts w:ascii="Arial" w:hAnsi="Arial" w:cs="Arial"/>
          <w:sz w:val="24"/>
          <w:szCs w:val="24"/>
        </w:rPr>
        <w:t xml:space="preserve"> however </w:t>
      </w:r>
      <w:r w:rsidR="00B85AF4">
        <w:rPr>
          <w:rFonts w:ascii="Arial" w:hAnsi="Arial" w:cs="Arial"/>
          <w:sz w:val="24"/>
          <w:szCs w:val="24"/>
        </w:rPr>
        <w:t xml:space="preserve">have a bearing on </w:t>
      </w:r>
      <w:r w:rsidR="0056420A">
        <w:rPr>
          <w:rFonts w:ascii="Arial" w:hAnsi="Arial" w:cs="Arial"/>
          <w:sz w:val="24"/>
          <w:szCs w:val="24"/>
        </w:rPr>
        <w:t xml:space="preserve">whether </w:t>
      </w:r>
      <w:r w:rsidR="00B85AF4">
        <w:rPr>
          <w:rFonts w:ascii="Arial" w:hAnsi="Arial" w:cs="Arial"/>
          <w:sz w:val="24"/>
          <w:szCs w:val="24"/>
        </w:rPr>
        <w:t xml:space="preserve">the </w:t>
      </w:r>
      <w:r w:rsidR="0056420A">
        <w:rPr>
          <w:rFonts w:ascii="Arial" w:hAnsi="Arial" w:cs="Arial"/>
          <w:sz w:val="24"/>
          <w:szCs w:val="24"/>
        </w:rPr>
        <w:t xml:space="preserve">termination of the agreement was justified or not.  This is why the legislator has provided that </w:t>
      </w:r>
      <w:r w:rsidR="006A2D97">
        <w:rPr>
          <w:rFonts w:ascii="Arial" w:hAnsi="Arial" w:cs="Arial"/>
          <w:sz w:val="24"/>
          <w:szCs w:val="24"/>
        </w:rPr>
        <w:t>where</w:t>
      </w:r>
      <w:r w:rsidR="000F691F">
        <w:rPr>
          <w:rFonts w:ascii="Arial" w:hAnsi="Arial" w:cs="Arial"/>
          <w:sz w:val="24"/>
          <w:szCs w:val="24"/>
        </w:rPr>
        <w:t xml:space="preserve"> </w:t>
      </w:r>
      <w:r w:rsidR="0056420A">
        <w:rPr>
          <w:rFonts w:ascii="Arial" w:hAnsi="Arial" w:cs="Arial"/>
          <w:sz w:val="24"/>
          <w:szCs w:val="24"/>
        </w:rPr>
        <w:t xml:space="preserve">the Tribunal </w:t>
      </w:r>
      <w:r w:rsidR="006A2D97">
        <w:rPr>
          <w:rFonts w:ascii="Arial" w:hAnsi="Arial" w:cs="Arial"/>
          <w:sz w:val="24"/>
          <w:szCs w:val="24"/>
        </w:rPr>
        <w:t>does not give an award for the reinstatement of a worker, the worker m</w:t>
      </w:r>
      <w:r w:rsidR="0056420A">
        <w:rPr>
          <w:rFonts w:ascii="Arial" w:hAnsi="Arial" w:cs="Arial"/>
          <w:sz w:val="24"/>
          <w:szCs w:val="24"/>
        </w:rPr>
        <w:t xml:space="preserve">ay </w:t>
      </w:r>
      <w:r w:rsidR="006A2D97">
        <w:rPr>
          <w:rFonts w:ascii="Arial" w:hAnsi="Arial" w:cs="Arial"/>
          <w:sz w:val="24"/>
          <w:szCs w:val="24"/>
        </w:rPr>
        <w:t>still institute proceedings before the Court for unjustified</w:t>
      </w:r>
      <w:r w:rsidR="0056420A">
        <w:rPr>
          <w:rFonts w:ascii="Arial" w:hAnsi="Arial" w:cs="Arial"/>
          <w:sz w:val="24"/>
          <w:szCs w:val="24"/>
        </w:rPr>
        <w:t xml:space="preserve"> termination of employment.   </w:t>
      </w:r>
      <w:r w:rsidR="00616B93">
        <w:rPr>
          <w:rFonts w:ascii="Arial" w:hAnsi="Arial" w:cs="Arial"/>
          <w:sz w:val="24"/>
          <w:szCs w:val="24"/>
        </w:rPr>
        <w:t xml:space="preserve">  </w:t>
      </w:r>
      <w:r w:rsidR="00E81AC7">
        <w:rPr>
          <w:rFonts w:ascii="Arial" w:hAnsi="Arial" w:cs="Arial"/>
          <w:sz w:val="24"/>
          <w:szCs w:val="24"/>
        </w:rPr>
        <w:t xml:space="preserve">        </w:t>
      </w:r>
      <w:r>
        <w:rPr>
          <w:rFonts w:ascii="Arial" w:hAnsi="Arial" w:cs="Arial"/>
          <w:sz w:val="24"/>
          <w:szCs w:val="24"/>
        </w:rPr>
        <w:t xml:space="preserve">  </w:t>
      </w:r>
    </w:p>
    <w:p w14:paraId="202C96BF" w14:textId="0263C335" w:rsidR="00EC7AC8" w:rsidRDefault="00EC7AC8" w:rsidP="00835284">
      <w:pPr>
        <w:pStyle w:val="NoSpacing"/>
        <w:jc w:val="both"/>
        <w:rPr>
          <w:rFonts w:ascii="Arial" w:hAnsi="Arial" w:cs="Arial"/>
          <w:sz w:val="24"/>
          <w:szCs w:val="24"/>
        </w:rPr>
      </w:pPr>
    </w:p>
    <w:p w14:paraId="34C071A0" w14:textId="2EB62615" w:rsidR="0066760A" w:rsidRDefault="000F691F" w:rsidP="00835284">
      <w:pPr>
        <w:pStyle w:val="NoSpacing"/>
        <w:jc w:val="both"/>
        <w:rPr>
          <w:rFonts w:ascii="Arial" w:hAnsi="Arial" w:cs="Arial"/>
          <w:sz w:val="24"/>
          <w:szCs w:val="24"/>
        </w:rPr>
      </w:pPr>
      <w:r>
        <w:rPr>
          <w:rFonts w:ascii="Arial" w:hAnsi="Arial" w:cs="Arial"/>
          <w:sz w:val="24"/>
          <w:szCs w:val="24"/>
        </w:rPr>
        <w:t>In the present case</w:t>
      </w:r>
      <w:r w:rsidR="00022B9A">
        <w:rPr>
          <w:rFonts w:ascii="Arial" w:hAnsi="Arial" w:cs="Arial"/>
          <w:sz w:val="24"/>
          <w:szCs w:val="24"/>
        </w:rPr>
        <w:t xml:space="preserve">, ex facie </w:t>
      </w:r>
      <w:r w:rsidR="006A2D97">
        <w:rPr>
          <w:rFonts w:ascii="Arial" w:hAnsi="Arial" w:cs="Arial"/>
          <w:sz w:val="24"/>
          <w:szCs w:val="24"/>
        </w:rPr>
        <w:t>the charge</w:t>
      </w:r>
      <w:r w:rsidR="00BB1C44">
        <w:rPr>
          <w:rFonts w:ascii="Arial" w:hAnsi="Arial" w:cs="Arial"/>
          <w:sz w:val="24"/>
          <w:szCs w:val="24"/>
        </w:rPr>
        <w:t>s</w:t>
      </w:r>
      <w:r w:rsidR="006A2D97">
        <w:rPr>
          <w:rFonts w:ascii="Arial" w:hAnsi="Arial" w:cs="Arial"/>
          <w:sz w:val="24"/>
          <w:szCs w:val="24"/>
        </w:rPr>
        <w:t xml:space="preserve"> as levelled against Disputant at </w:t>
      </w:r>
      <w:r w:rsidR="00BB1C44">
        <w:rPr>
          <w:rFonts w:ascii="Arial" w:hAnsi="Arial" w:cs="Arial"/>
          <w:sz w:val="24"/>
          <w:szCs w:val="24"/>
        </w:rPr>
        <w:t>Annex O to the Statement of Case of Disputant, Docs A to A2 and</w:t>
      </w:r>
      <w:r w:rsidR="006A2D97">
        <w:rPr>
          <w:rFonts w:ascii="Arial" w:hAnsi="Arial" w:cs="Arial"/>
          <w:sz w:val="24"/>
          <w:szCs w:val="24"/>
        </w:rPr>
        <w:t xml:space="preserve"> </w:t>
      </w:r>
      <w:r w:rsidR="00022B9A">
        <w:rPr>
          <w:rFonts w:ascii="Arial" w:hAnsi="Arial" w:cs="Arial"/>
          <w:sz w:val="24"/>
          <w:szCs w:val="24"/>
        </w:rPr>
        <w:t xml:space="preserve">the evidence on record, there is nothing to show that </w:t>
      </w:r>
      <w:r w:rsidR="00BB1C44">
        <w:rPr>
          <w:rFonts w:ascii="Arial" w:hAnsi="Arial" w:cs="Arial"/>
          <w:sz w:val="24"/>
          <w:szCs w:val="24"/>
        </w:rPr>
        <w:t xml:space="preserve">the charges relate to </w:t>
      </w:r>
      <w:r w:rsidR="00022B9A">
        <w:rPr>
          <w:rFonts w:ascii="Arial" w:hAnsi="Arial" w:cs="Arial"/>
          <w:sz w:val="24"/>
          <w:szCs w:val="24"/>
        </w:rPr>
        <w:t xml:space="preserve">Disputant </w:t>
      </w:r>
      <w:r w:rsidR="0066760A">
        <w:rPr>
          <w:rFonts w:ascii="Arial" w:hAnsi="Arial" w:cs="Arial"/>
          <w:sz w:val="24"/>
          <w:szCs w:val="24"/>
        </w:rPr>
        <w:t xml:space="preserve">becoming or being a member of a trade union, seeking or holding of trade union office or </w:t>
      </w:r>
      <w:r w:rsidR="00BB1C44">
        <w:rPr>
          <w:rFonts w:ascii="Arial" w:hAnsi="Arial" w:cs="Arial"/>
          <w:sz w:val="24"/>
          <w:szCs w:val="24"/>
        </w:rPr>
        <w:t>p</w:t>
      </w:r>
      <w:r w:rsidR="00D06D71">
        <w:rPr>
          <w:rFonts w:ascii="Arial" w:hAnsi="Arial" w:cs="Arial"/>
          <w:sz w:val="24"/>
          <w:szCs w:val="24"/>
        </w:rPr>
        <w:t>articipating in</w:t>
      </w:r>
      <w:r w:rsidR="00022B9A">
        <w:rPr>
          <w:rFonts w:ascii="Arial" w:hAnsi="Arial" w:cs="Arial"/>
          <w:sz w:val="24"/>
          <w:szCs w:val="24"/>
        </w:rPr>
        <w:t xml:space="preserve"> trade union activities</w:t>
      </w:r>
      <w:r w:rsidR="00BB1C44">
        <w:rPr>
          <w:rFonts w:ascii="Arial" w:hAnsi="Arial" w:cs="Arial"/>
          <w:sz w:val="24"/>
          <w:szCs w:val="24"/>
        </w:rPr>
        <w:t>.</w:t>
      </w:r>
      <w:r w:rsidR="0066760A">
        <w:rPr>
          <w:rFonts w:ascii="Arial" w:hAnsi="Arial" w:cs="Arial"/>
          <w:sz w:val="24"/>
          <w:szCs w:val="24"/>
        </w:rPr>
        <w:t xml:space="preserve">  The Tribunal will here seek guidance from section 31 (</w:t>
      </w:r>
      <w:r w:rsidR="0066760A" w:rsidRPr="0066760A">
        <w:rPr>
          <w:rFonts w:ascii="Arial" w:hAnsi="Arial" w:cs="Arial"/>
          <w:b/>
          <w:i/>
          <w:sz w:val="24"/>
          <w:szCs w:val="24"/>
        </w:rPr>
        <w:t>Protection against discrimination and victimisation</w:t>
      </w:r>
      <w:r w:rsidR="0066760A">
        <w:rPr>
          <w:rFonts w:ascii="Arial" w:hAnsi="Arial" w:cs="Arial"/>
          <w:sz w:val="24"/>
          <w:szCs w:val="24"/>
        </w:rPr>
        <w:t xml:space="preserve">) of the Act at its sub-section 3 where the term “involvement in trade union activities” has been defined.  Indeed, the charges levelled against Disputant (as per Annex O) and Docs A to A2 do not relate to any of the activities </w:t>
      </w:r>
      <w:r w:rsidR="00570EB1">
        <w:rPr>
          <w:rFonts w:ascii="Arial" w:hAnsi="Arial" w:cs="Arial"/>
          <w:sz w:val="24"/>
          <w:szCs w:val="24"/>
        </w:rPr>
        <w:t xml:space="preserve">mentioned under the definition at section 31(3) of the Act.  Had this been the case, such as if charges had been levelled against Disputant following a </w:t>
      </w:r>
      <w:r w:rsidR="00570EB1" w:rsidRPr="00E72B5F">
        <w:rPr>
          <w:rFonts w:ascii="Arial" w:hAnsi="Arial" w:cs="Arial"/>
          <w:i/>
          <w:sz w:val="24"/>
          <w:szCs w:val="24"/>
        </w:rPr>
        <w:t>bona fide</w:t>
      </w:r>
      <w:r w:rsidR="00570EB1">
        <w:rPr>
          <w:rFonts w:ascii="Arial" w:hAnsi="Arial" w:cs="Arial"/>
          <w:sz w:val="24"/>
          <w:szCs w:val="24"/>
        </w:rPr>
        <w:t xml:space="preserve"> expression of grievance on behalf of another worker </w:t>
      </w:r>
      <w:r w:rsidR="00570EB1" w:rsidRPr="00570EB1">
        <w:rPr>
          <w:rFonts w:ascii="Arial" w:hAnsi="Arial" w:cs="Arial"/>
          <w:b/>
          <w:sz w:val="24"/>
          <w:szCs w:val="24"/>
          <w:u w:val="single"/>
        </w:rPr>
        <w:t>to an employer</w:t>
      </w:r>
      <w:r w:rsidR="00570EB1">
        <w:rPr>
          <w:rFonts w:ascii="Arial" w:hAnsi="Arial" w:cs="Arial"/>
          <w:sz w:val="24"/>
          <w:szCs w:val="24"/>
        </w:rPr>
        <w:t xml:space="preserve">, the Tribunal would certainly have intervened if all other </w:t>
      </w:r>
      <w:r w:rsidR="004B3910">
        <w:rPr>
          <w:rFonts w:ascii="Arial" w:hAnsi="Arial" w:cs="Arial"/>
          <w:sz w:val="24"/>
          <w:szCs w:val="24"/>
        </w:rPr>
        <w:t>applicable conditions</w:t>
      </w:r>
      <w:r w:rsidR="00570EB1">
        <w:rPr>
          <w:rFonts w:ascii="Arial" w:hAnsi="Arial" w:cs="Arial"/>
          <w:sz w:val="24"/>
          <w:szCs w:val="24"/>
        </w:rPr>
        <w:t xml:space="preserve"> </w:t>
      </w:r>
      <w:r w:rsidR="004B3910">
        <w:rPr>
          <w:rFonts w:ascii="Arial" w:hAnsi="Arial" w:cs="Arial"/>
          <w:sz w:val="24"/>
          <w:szCs w:val="24"/>
        </w:rPr>
        <w:t xml:space="preserve">were met, that is, that the relationship had not irretrievably been broken and that it was just and reasonable in the circumstances to order reinstatement.  </w:t>
      </w:r>
    </w:p>
    <w:p w14:paraId="3AF1A658" w14:textId="77777777" w:rsidR="0066760A" w:rsidRDefault="0066760A" w:rsidP="00835284">
      <w:pPr>
        <w:pStyle w:val="NoSpacing"/>
        <w:jc w:val="both"/>
        <w:rPr>
          <w:rFonts w:ascii="Arial" w:hAnsi="Arial" w:cs="Arial"/>
          <w:sz w:val="24"/>
          <w:szCs w:val="24"/>
        </w:rPr>
      </w:pPr>
    </w:p>
    <w:p w14:paraId="4390820A" w14:textId="1AF464B1" w:rsidR="005F148C" w:rsidRDefault="00022B9A" w:rsidP="005F148C">
      <w:pPr>
        <w:pStyle w:val="NoSpacing"/>
        <w:jc w:val="both"/>
        <w:rPr>
          <w:rFonts w:ascii="Arial" w:hAnsi="Arial" w:cs="Arial"/>
          <w:sz w:val="24"/>
          <w:szCs w:val="24"/>
        </w:rPr>
      </w:pPr>
      <w:r>
        <w:rPr>
          <w:rFonts w:ascii="Arial" w:hAnsi="Arial" w:cs="Arial"/>
          <w:sz w:val="24"/>
          <w:szCs w:val="24"/>
        </w:rPr>
        <w:lastRenderedPageBreak/>
        <w:t>Also, the</w:t>
      </w:r>
      <w:r w:rsidR="00BB1C44">
        <w:rPr>
          <w:rFonts w:ascii="Arial" w:hAnsi="Arial" w:cs="Arial"/>
          <w:sz w:val="24"/>
          <w:szCs w:val="24"/>
        </w:rPr>
        <w:t>re is nothing on record which shows that the charges relate to D</w:t>
      </w:r>
      <w:r>
        <w:rPr>
          <w:rFonts w:ascii="Arial" w:hAnsi="Arial" w:cs="Arial"/>
          <w:sz w:val="24"/>
          <w:szCs w:val="24"/>
        </w:rPr>
        <w:t xml:space="preserve">isputant exercising a right under his agreement, any collective agreement, </w:t>
      </w:r>
      <w:r w:rsidR="00B9301D">
        <w:rPr>
          <w:rFonts w:ascii="Arial" w:hAnsi="Arial" w:cs="Arial"/>
          <w:sz w:val="24"/>
          <w:szCs w:val="24"/>
        </w:rPr>
        <w:t>an award, the Act o</w:t>
      </w:r>
      <w:r>
        <w:rPr>
          <w:rFonts w:ascii="Arial" w:hAnsi="Arial" w:cs="Arial"/>
          <w:sz w:val="24"/>
          <w:szCs w:val="24"/>
        </w:rPr>
        <w:t xml:space="preserve">r any </w:t>
      </w:r>
      <w:r w:rsidR="00B9301D">
        <w:rPr>
          <w:rFonts w:ascii="Arial" w:hAnsi="Arial" w:cs="Arial"/>
          <w:sz w:val="24"/>
          <w:szCs w:val="24"/>
        </w:rPr>
        <w:t xml:space="preserve">other </w:t>
      </w:r>
      <w:r w:rsidR="00DA3356">
        <w:rPr>
          <w:rFonts w:ascii="Arial" w:hAnsi="Arial" w:cs="Arial"/>
          <w:sz w:val="24"/>
          <w:szCs w:val="24"/>
        </w:rPr>
        <w:t>enactment</w:t>
      </w:r>
      <w:r>
        <w:rPr>
          <w:rFonts w:ascii="Arial" w:hAnsi="Arial" w:cs="Arial"/>
          <w:sz w:val="24"/>
          <w:szCs w:val="24"/>
        </w:rPr>
        <w:t xml:space="preserve"> or the Constitution</w:t>
      </w:r>
      <w:r w:rsidR="00BB1C44">
        <w:rPr>
          <w:rFonts w:ascii="Arial" w:hAnsi="Arial" w:cs="Arial"/>
          <w:sz w:val="24"/>
          <w:szCs w:val="24"/>
        </w:rPr>
        <w:t>.</w:t>
      </w:r>
      <w:r>
        <w:rPr>
          <w:rFonts w:ascii="Arial" w:hAnsi="Arial" w:cs="Arial"/>
          <w:sz w:val="24"/>
          <w:szCs w:val="24"/>
        </w:rPr>
        <w:t xml:space="preserve">  </w:t>
      </w:r>
      <w:r w:rsidR="000D7C22">
        <w:rPr>
          <w:rFonts w:ascii="Arial" w:hAnsi="Arial" w:cs="Arial"/>
          <w:sz w:val="24"/>
          <w:szCs w:val="24"/>
        </w:rPr>
        <w:t xml:space="preserve">It is apposite to note that at page 15 of the proceedings of 12 October 2020 before the Tribunal, the Disputant when asked </w:t>
      </w:r>
      <w:r w:rsidR="00675771">
        <w:rPr>
          <w:rFonts w:ascii="Arial" w:hAnsi="Arial" w:cs="Arial"/>
          <w:sz w:val="24"/>
          <w:szCs w:val="24"/>
        </w:rPr>
        <w:t xml:space="preserve">in chief why he was averring that the ‘charge’ was against his rights of expression </w:t>
      </w:r>
      <w:r w:rsidR="0090026E">
        <w:rPr>
          <w:rFonts w:ascii="Arial" w:hAnsi="Arial" w:cs="Arial"/>
          <w:sz w:val="24"/>
          <w:szCs w:val="24"/>
        </w:rPr>
        <w:t xml:space="preserve">under the procedural agreement or the Constitution or his rights as President of the union </w:t>
      </w:r>
      <w:r w:rsidR="00675771">
        <w:rPr>
          <w:rFonts w:ascii="Arial" w:hAnsi="Arial" w:cs="Arial"/>
          <w:sz w:val="24"/>
          <w:szCs w:val="24"/>
        </w:rPr>
        <w:t>under the ILO Convention, he replied that it was because Respondent acted ‘illegally’, against the ICTA Act to obtain the impugned ‘posts’.  This Tribunal, for obvious reasons, cannot enquire whether a breach or an offence under the ICTA Act has indeed been committed.</w:t>
      </w:r>
      <w:r w:rsidR="005F148C">
        <w:rPr>
          <w:rFonts w:ascii="Arial" w:hAnsi="Arial" w:cs="Arial"/>
          <w:sz w:val="24"/>
          <w:szCs w:val="24"/>
        </w:rPr>
        <w:t xml:space="preserve">  The Disputant has not adduced any evidence to show that the charges levelled against him would relate, for example, to protection granted under section 31(1</w:t>
      </w:r>
      <w:proofErr w:type="gramStart"/>
      <w:r w:rsidR="005F148C">
        <w:rPr>
          <w:rFonts w:ascii="Arial" w:hAnsi="Arial" w:cs="Arial"/>
          <w:sz w:val="24"/>
          <w:szCs w:val="24"/>
        </w:rPr>
        <w:t>)(</w:t>
      </w:r>
      <w:proofErr w:type="gramEnd"/>
      <w:r w:rsidR="005F148C">
        <w:rPr>
          <w:rFonts w:ascii="Arial" w:hAnsi="Arial" w:cs="Arial"/>
          <w:sz w:val="24"/>
          <w:szCs w:val="24"/>
        </w:rPr>
        <w:t xml:space="preserve">b)(ii) of the Act.          </w:t>
      </w:r>
    </w:p>
    <w:p w14:paraId="7C687C8C" w14:textId="2CC79CEA" w:rsidR="008F5CCC" w:rsidRDefault="00675771" w:rsidP="00835284">
      <w:pPr>
        <w:pStyle w:val="NoSpacing"/>
        <w:jc w:val="both"/>
        <w:rPr>
          <w:rFonts w:ascii="Arial" w:hAnsi="Arial" w:cs="Arial"/>
          <w:sz w:val="24"/>
          <w:szCs w:val="24"/>
        </w:rPr>
      </w:pPr>
      <w:r>
        <w:rPr>
          <w:rFonts w:ascii="Arial" w:hAnsi="Arial" w:cs="Arial"/>
          <w:sz w:val="24"/>
          <w:szCs w:val="24"/>
        </w:rPr>
        <w:t xml:space="preserve">  </w:t>
      </w:r>
    </w:p>
    <w:p w14:paraId="4F7F0B7B" w14:textId="418E8F7D" w:rsidR="008F5CCC" w:rsidRDefault="008F5CCC" w:rsidP="00835284">
      <w:pPr>
        <w:pStyle w:val="NoSpacing"/>
        <w:jc w:val="both"/>
        <w:rPr>
          <w:rFonts w:ascii="Arial" w:hAnsi="Arial" w:cs="Arial"/>
          <w:sz w:val="24"/>
          <w:szCs w:val="24"/>
        </w:rPr>
      </w:pPr>
      <w:r>
        <w:rPr>
          <w:rFonts w:ascii="Arial" w:hAnsi="Arial" w:cs="Arial"/>
          <w:sz w:val="24"/>
          <w:szCs w:val="24"/>
        </w:rPr>
        <w:t xml:space="preserve">In the case of </w:t>
      </w:r>
      <w:proofErr w:type="spellStart"/>
      <w:r w:rsidR="00B3731B" w:rsidRPr="00B3731B">
        <w:rPr>
          <w:rFonts w:ascii="Arial" w:hAnsi="Arial" w:cs="Arial"/>
          <w:b/>
          <w:sz w:val="24"/>
          <w:szCs w:val="24"/>
        </w:rPr>
        <w:t>M.Hanzaree</w:t>
      </w:r>
      <w:proofErr w:type="spellEnd"/>
      <w:r w:rsidR="00B3731B" w:rsidRPr="00B3731B">
        <w:rPr>
          <w:rFonts w:ascii="Arial" w:hAnsi="Arial" w:cs="Arial"/>
          <w:b/>
          <w:sz w:val="24"/>
          <w:szCs w:val="24"/>
        </w:rPr>
        <w:t xml:space="preserve"> v. </w:t>
      </w:r>
      <w:proofErr w:type="spellStart"/>
      <w:r w:rsidR="00B3731B" w:rsidRPr="00B3731B">
        <w:rPr>
          <w:rFonts w:ascii="Arial" w:hAnsi="Arial" w:cs="Arial"/>
          <w:b/>
          <w:sz w:val="24"/>
          <w:szCs w:val="24"/>
        </w:rPr>
        <w:t>Maritim</w:t>
      </w:r>
      <w:proofErr w:type="spellEnd"/>
      <w:r w:rsidR="00B3731B" w:rsidRPr="00B3731B">
        <w:rPr>
          <w:rFonts w:ascii="Arial" w:hAnsi="Arial" w:cs="Arial"/>
          <w:b/>
          <w:sz w:val="24"/>
          <w:szCs w:val="24"/>
        </w:rPr>
        <w:t xml:space="preserve"> (Mauritius) Ltd 2015 IND 44</w:t>
      </w:r>
      <w:r w:rsidR="00B3731B">
        <w:rPr>
          <w:rFonts w:ascii="Arial" w:hAnsi="Arial" w:cs="Arial"/>
          <w:b/>
          <w:sz w:val="24"/>
          <w:szCs w:val="24"/>
        </w:rPr>
        <w:t>,</w:t>
      </w:r>
      <w:r>
        <w:rPr>
          <w:rFonts w:ascii="Arial" w:hAnsi="Arial" w:cs="Arial"/>
          <w:sz w:val="24"/>
          <w:szCs w:val="24"/>
        </w:rPr>
        <w:t xml:space="preserve"> the Industrial Court </w:t>
      </w:r>
      <w:r w:rsidR="00B3731B">
        <w:rPr>
          <w:rFonts w:ascii="Arial" w:hAnsi="Arial" w:cs="Arial"/>
          <w:sz w:val="24"/>
          <w:szCs w:val="24"/>
        </w:rPr>
        <w:t xml:space="preserve">stated </w:t>
      </w:r>
      <w:r>
        <w:rPr>
          <w:rFonts w:ascii="Arial" w:hAnsi="Arial" w:cs="Arial"/>
          <w:sz w:val="24"/>
          <w:szCs w:val="24"/>
        </w:rPr>
        <w:t>the</w:t>
      </w:r>
      <w:r w:rsidR="00B3731B">
        <w:rPr>
          <w:rFonts w:ascii="Arial" w:hAnsi="Arial" w:cs="Arial"/>
          <w:sz w:val="24"/>
          <w:szCs w:val="24"/>
        </w:rPr>
        <w:t xml:space="preserve"> following:</w:t>
      </w:r>
      <w:r>
        <w:rPr>
          <w:rFonts w:ascii="Arial" w:hAnsi="Arial" w:cs="Arial"/>
          <w:sz w:val="24"/>
          <w:szCs w:val="24"/>
        </w:rPr>
        <w:t xml:space="preserve"> </w:t>
      </w:r>
    </w:p>
    <w:p w14:paraId="6A4DD70D" w14:textId="77777777" w:rsidR="00E72B5F" w:rsidRDefault="00E72B5F" w:rsidP="00835284">
      <w:pPr>
        <w:pStyle w:val="NoSpacing"/>
        <w:jc w:val="both"/>
        <w:rPr>
          <w:rFonts w:ascii="Arial" w:hAnsi="Arial" w:cs="Arial"/>
          <w:i/>
          <w:sz w:val="24"/>
          <w:szCs w:val="24"/>
        </w:rPr>
      </w:pPr>
    </w:p>
    <w:p w14:paraId="059B4173" w14:textId="302A8570" w:rsidR="00E72B5F" w:rsidRPr="008D6329" w:rsidRDefault="008F5CCC" w:rsidP="00835284">
      <w:pPr>
        <w:pStyle w:val="NoSpacing"/>
        <w:jc w:val="both"/>
        <w:rPr>
          <w:rFonts w:ascii="Arial" w:hAnsi="Arial" w:cs="Arial"/>
          <w:sz w:val="24"/>
          <w:szCs w:val="24"/>
        </w:rPr>
      </w:pPr>
      <w:r w:rsidRPr="008F5CCC">
        <w:rPr>
          <w:rFonts w:ascii="Arial" w:hAnsi="Arial" w:cs="Arial"/>
          <w:i/>
          <w:sz w:val="24"/>
          <w:szCs w:val="24"/>
        </w:rPr>
        <w:t xml:space="preserve">It is further to be reminded any citizen of this country is free to express his opinion </w:t>
      </w:r>
      <w:r w:rsidRPr="008D6329">
        <w:rPr>
          <w:rFonts w:ascii="Arial" w:hAnsi="Arial" w:cs="Arial"/>
          <w:i/>
          <w:sz w:val="24"/>
          <w:szCs w:val="24"/>
          <w:u w:val="single"/>
        </w:rPr>
        <w:t>so long as it does not affect the rights and freedoms and reputation of others</w:t>
      </w:r>
      <w:r w:rsidRPr="008F5CCC">
        <w:rPr>
          <w:rFonts w:ascii="Arial" w:hAnsi="Arial" w:cs="Arial"/>
          <w:i/>
          <w:sz w:val="24"/>
          <w:szCs w:val="24"/>
        </w:rPr>
        <w:t>; and such right is protected by law (see articles 12, 14 and 18 of the Code civil) and more importantly entrenched provisions in the Constitution, particularly Sections 3 and 12</w:t>
      </w:r>
      <w:r>
        <w:rPr>
          <w:rFonts w:ascii="Arial" w:hAnsi="Arial" w:cs="Arial"/>
          <w:i/>
          <w:sz w:val="24"/>
          <w:szCs w:val="24"/>
        </w:rPr>
        <w:t xml:space="preserve"> …</w:t>
      </w:r>
      <w:r w:rsidRPr="008F5CCC">
        <w:rPr>
          <w:rFonts w:ascii="Arial" w:hAnsi="Arial" w:cs="Arial"/>
          <w:i/>
          <w:sz w:val="24"/>
          <w:szCs w:val="24"/>
        </w:rPr>
        <w:t xml:space="preserve"> </w:t>
      </w:r>
      <w:r w:rsidR="008D6329">
        <w:rPr>
          <w:rFonts w:ascii="Arial" w:hAnsi="Arial" w:cs="Arial"/>
          <w:sz w:val="24"/>
          <w:szCs w:val="24"/>
        </w:rPr>
        <w:t xml:space="preserve">[underlining is ours] </w:t>
      </w:r>
    </w:p>
    <w:p w14:paraId="18224C0D" w14:textId="77777777" w:rsidR="00816A52" w:rsidRDefault="00816A52" w:rsidP="00835284">
      <w:pPr>
        <w:pStyle w:val="NoSpacing"/>
        <w:jc w:val="both"/>
        <w:rPr>
          <w:rFonts w:ascii="Arial" w:hAnsi="Arial" w:cs="Arial"/>
          <w:i/>
          <w:sz w:val="24"/>
          <w:szCs w:val="24"/>
        </w:rPr>
      </w:pPr>
    </w:p>
    <w:p w14:paraId="440B0E80" w14:textId="5008FB3F" w:rsidR="008F5CCC" w:rsidRDefault="00816A52" w:rsidP="00835284">
      <w:pPr>
        <w:pStyle w:val="NoSpacing"/>
        <w:jc w:val="both"/>
        <w:rPr>
          <w:rFonts w:ascii="Arial" w:hAnsi="Arial" w:cs="Arial"/>
          <w:sz w:val="24"/>
          <w:szCs w:val="24"/>
        </w:rPr>
      </w:pPr>
      <w:r>
        <w:rPr>
          <w:rFonts w:ascii="Arial" w:hAnsi="Arial" w:cs="Arial"/>
          <w:sz w:val="24"/>
          <w:szCs w:val="24"/>
        </w:rPr>
        <w:t xml:space="preserve">The Industrial Court </w:t>
      </w:r>
      <w:r w:rsidRPr="00B3731B">
        <w:rPr>
          <w:rFonts w:ascii="Arial" w:hAnsi="Arial" w:cs="Arial"/>
          <w:sz w:val="24"/>
          <w:szCs w:val="24"/>
        </w:rPr>
        <w:t>in</w:t>
      </w:r>
      <w:r w:rsidRPr="00B3731B">
        <w:rPr>
          <w:rFonts w:ascii="Arial" w:hAnsi="Arial" w:cs="Arial"/>
          <w:b/>
          <w:sz w:val="24"/>
          <w:szCs w:val="24"/>
        </w:rPr>
        <w:t xml:space="preserve"> </w:t>
      </w:r>
      <w:proofErr w:type="spellStart"/>
      <w:r w:rsidR="00B3731B" w:rsidRPr="00B3731B">
        <w:rPr>
          <w:rFonts w:ascii="Arial" w:hAnsi="Arial" w:cs="Arial"/>
          <w:b/>
          <w:sz w:val="24"/>
          <w:szCs w:val="24"/>
        </w:rPr>
        <w:t>M.Hanzaree</w:t>
      </w:r>
      <w:proofErr w:type="spellEnd"/>
      <w:r w:rsidR="00B3731B">
        <w:rPr>
          <w:rFonts w:ascii="Arial" w:hAnsi="Arial" w:cs="Arial"/>
          <w:b/>
          <w:sz w:val="24"/>
          <w:szCs w:val="24"/>
        </w:rPr>
        <w:t xml:space="preserve"> </w:t>
      </w:r>
      <w:r w:rsidRPr="00B3731B">
        <w:rPr>
          <w:rFonts w:ascii="Arial" w:hAnsi="Arial" w:cs="Arial"/>
          <w:b/>
          <w:sz w:val="24"/>
          <w:szCs w:val="24"/>
        </w:rPr>
        <w:t>(above)</w:t>
      </w:r>
      <w:r>
        <w:rPr>
          <w:rFonts w:ascii="Arial" w:hAnsi="Arial" w:cs="Arial"/>
          <w:sz w:val="24"/>
          <w:szCs w:val="24"/>
        </w:rPr>
        <w:t xml:space="preserve"> however also referred to </w:t>
      </w:r>
      <w:proofErr w:type="spellStart"/>
      <w:r w:rsidR="008F5CCC" w:rsidRPr="008F5CCC">
        <w:rPr>
          <w:rFonts w:ascii="Arial" w:hAnsi="Arial" w:cs="Arial"/>
          <w:b/>
          <w:sz w:val="24"/>
          <w:szCs w:val="24"/>
        </w:rPr>
        <w:t>Jurisclasseur</w:t>
      </w:r>
      <w:proofErr w:type="spellEnd"/>
      <w:r w:rsidR="008F5CCC" w:rsidRPr="008F5CCC">
        <w:rPr>
          <w:rFonts w:ascii="Arial" w:hAnsi="Arial" w:cs="Arial"/>
          <w:b/>
          <w:sz w:val="24"/>
          <w:szCs w:val="24"/>
        </w:rPr>
        <w:t xml:space="preserve">, </w:t>
      </w:r>
      <w:proofErr w:type="spellStart"/>
      <w:r w:rsidR="008F5CCC" w:rsidRPr="008F5CCC">
        <w:rPr>
          <w:rFonts w:ascii="Arial" w:hAnsi="Arial" w:cs="Arial"/>
          <w:b/>
          <w:sz w:val="24"/>
          <w:szCs w:val="24"/>
        </w:rPr>
        <w:t>Droit</w:t>
      </w:r>
      <w:proofErr w:type="spellEnd"/>
      <w:r w:rsidR="008F5CCC" w:rsidRPr="008F5CCC">
        <w:rPr>
          <w:rFonts w:ascii="Arial" w:hAnsi="Arial" w:cs="Arial"/>
          <w:b/>
          <w:sz w:val="24"/>
          <w:szCs w:val="24"/>
        </w:rPr>
        <w:t xml:space="preserve"> du travail, </w:t>
      </w:r>
      <w:proofErr w:type="spellStart"/>
      <w:r w:rsidR="008F5CCC" w:rsidRPr="008F5CCC">
        <w:rPr>
          <w:rFonts w:ascii="Arial" w:hAnsi="Arial" w:cs="Arial"/>
          <w:b/>
          <w:sz w:val="24"/>
          <w:szCs w:val="24"/>
        </w:rPr>
        <w:t>Licenciement</w:t>
      </w:r>
      <w:proofErr w:type="spellEnd"/>
      <w:r w:rsidR="008F5CCC" w:rsidRPr="008F5CCC">
        <w:rPr>
          <w:rFonts w:ascii="Arial" w:hAnsi="Arial" w:cs="Arial"/>
          <w:b/>
          <w:sz w:val="24"/>
          <w:szCs w:val="24"/>
        </w:rPr>
        <w:t xml:space="preserve"> pour motif personnel, Fasc. 30-42 note 122</w:t>
      </w:r>
      <w:r w:rsidR="008F5CCC">
        <w:rPr>
          <w:rFonts w:ascii="Arial" w:hAnsi="Arial" w:cs="Arial"/>
          <w:sz w:val="24"/>
          <w:szCs w:val="24"/>
        </w:rPr>
        <w:t>:</w:t>
      </w:r>
    </w:p>
    <w:p w14:paraId="4C93C0B2" w14:textId="77777777" w:rsidR="00E72B5F" w:rsidRDefault="00E72B5F" w:rsidP="00835284">
      <w:pPr>
        <w:pStyle w:val="NoSpacing"/>
        <w:jc w:val="both"/>
        <w:rPr>
          <w:rFonts w:ascii="Arial" w:hAnsi="Arial" w:cs="Arial"/>
          <w:sz w:val="24"/>
          <w:szCs w:val="24"/>
        </w:rPr>
      </w:pPr>
    </w:p>
    <w:p w14:paraId="57E85B01" w14:textId="4032B2CB" w:rsidR="008F5CCC" w:rsidRPr="00E5291D" w:rsidRDefault="008F5CCC" w:rsidP="00835284">
      <w:pPr>
        <w:pStyle w:val="NoSpacing"/>
        <w:jc w:val="both"/>
        <w:rPr>
          <w:rFonts w:ascii="Arial" w:hAnsi="Arial" w:cs="Arial"/>
          <w:i/>
          <w:sz w:val="24"/>
          <w:szCs w:val="24"/>
          <w:lang w:val="fr-FR"/>
        </w:rPr>
      </w:pPr>
      <w:r w:rsidRPr="00E5291D">
        <w:rPr>
          <w:rFonts w:ascii="Arial" w:hAnsi="Arial" w:cs="Arial"/>
          <w:i/>
          <w:sz w:val="24"/>
          <w:szCs w:val="24"/>
          <w:lang w:val="fr-FR"/>
        </w:rPr>
        <w:t xml:space="preserve">122. Un abus de la liberté d’expression peut constituer une faute justifient un licenciement. Si le salarié jouit, dans l’entreprise et en dehors d’elle, de sa liberté d’expression à laquelle il ne peut être apporté que des restrictions justifiées par la nature de la tâche à accomplir et proportionnées au but recherché, il ne peut abuser de cette liberté par des </w:t>
      </w:r>
      <w:r w:rsidRPr="00E5291D">
        <w:rPr>
          <w:rFonts w:ascii="Arial" w:hAnsi="Arial" w:cs="Arial"/>
          <w:b/>
          <w:i/>
          <w:sz w:val="24"/>
          <w:szCs w:val="24"/>
          <w:lang w:val="fr-FR"/>
        </w:rPr>
        <w:t>propos injurieux, diffamatoires ou excessifs</w:t>
      </w:r>
      <w:r w:rsidRPr="00E5291D">
        <w:rPr>
          <w:rFonts w:ascii="Arial" w:hAnsi="Arial" w:cs="Arial"/>
          <w:i/>
          <w:sz w:val="24"/>
          <w:szCs w:val="24"/>
          <w:lang w:val="fr-FR"/>
        </w:rPr>
        <w:t>.</w:t>
      </w:r>
    </w:p>
    <w:p w14:paraId="07F80FBB" w14:textId="77777777" w:rsidR="008F5CCC" w:rsidRPr="00E5291D" w:rsidRDefault="008F5CCC" w:rsidP="00835284">
      <w:pPr>
        <w:pStyle w:val="NoSpacing"/>
        <w:jc w:val="both"/>
        <w:rPr>
          <w:rFonts w:ascii="Arial" w:hAnsi="Arial" w:cs="Arial"/>
          <w:sz w:val="24"/>
          <w:szCs w:val="24"/>
          <w:lang w:val="fr-FR"/>
        </w:rPr>
      </w:pPr>
    </w:p>
    <w:p w14:paraId="4225425B" w14:textId="22AFE8BD" w:rsidR="00022B9A" w:rsidRDefault="00BB1C44" w:rsidP="00835284">
      <w:pPr>
        <w:pStyle w:val="NoSpacing"/>
        <w:jc w:val="both"/>
        <w:rPr>
          <w:rFonts w:ascii="Arial" w:hAnsi="Arial" w:cs="Arial"/>
          <w:sz w:val="24"/>
          <w:szCs w:val="24"/>
        </w:rPr>
      </w:pPr>
      <w:r>
        <w:rPr>
          <w:rFonts w:ascii="Arial" w:hAnsi="Arial" w:cs="Arial"/>
          <w:sz w:val="24"/>
          <w:szCs w:val="24"/>
        </w:rPr>
        <w:t>Any further examination of the particulars of the charge</w:t>
      </w:r>
      <w:r w:rsidR="00B279E1">
        <w:rPr>
          <w:rFonts w:ascii="Arial" w:hAnsi="Arial" w:cs="Arial"/>
          <w:sz w:val="24"/>
          <w:szCs w:val="24"/>
        </w:rPr>
        <w:t xml:space="preserve"> (as per Docs A to A2)</w:t>
      </w:r>
      <w:r>
        <w:rPr>
          <w:rFonts w:ascii="Arial" w:hAnsi="Arial" w:cs="Arial"/>
          <w:sz w:val="24"/>
          <w:szCs w:val="24"/>
        </w:rPr>
        <w:t xml:space="preserve">, at this stage, </w:t>
      </w:r>
      <w:r w:rsidR="007758C6">
        <w:rPr>
          <w:rFonts w:ascii="Arial" w:hAnsi="Arial" w:cs="Arial"/>
          <w:sz w:val="24"/>
          <w:szCs w:val="24"/>
        </w:rPr>
        <w:t>may</w:t>
      </w:r>
      <w:r>
        <w:rPr>
          <w:rFonts w:ascii="Arial" w:hAnsi="Arial" w:cs="Arial"/>
          <w:sz w:val="24"/>
          <w:szCs w:val="24"/>
        </w:rPr>
        <w:t xml:space="preserve"> impede upon the jurisdiction of the Industrial Court and may hinder the Disputant </w:t>
      </w:r>
      <w:r w:rsidR="00285D5C">
        <w:rPr>
          <w:rFonts w:ascii="Arial" w:hAnsi="Arial" w:cs="Arial"/>
          <w:sz w:val="24"/>
          <w:szCs w:val="24"/>
        </w:rPr>
        <w:t xml:space="preserve">in the manner he </w:t>
      </w:r>
      <w:r w:rsidR="0090026E">
        <w:rPr>
          <w:rFonts w:ascii="Arial" w:hAnsi="Arial" w:cs="Arial"/>
          <w:sz w:val="24"/>
          <w:szCs w:val="24"/>
        </w:rPr>
        <w:t xml:space="preserve">may </w:t>
      </w:r>
      <w:r w:rsidR="00285D5C">
        <w:rPr>
          <w:rFonts w:ascii="Arial" w:hAnsi="Arial" w:cs="Arial"/>
          <w:sz w:val="24"/>
          <w:szCs w:val="24"/>
        </w:rPr>
        <w:t xml:space="preserve">wish to proceed </w:t>
      </w:r>
      <w:r w:rsidR="0090026E">
        <w:rPr>
          <w:rFonts w:ascii="Arial" w:hAnsi="Arial" w:cs="Arial"/>
          <w:sz w:val="24"/>
          <w:szCs w:val="24"/>
        </w:rPr>
        <w:t>further</w:t>
      </w:r>
      <w:r w:rsidR="00675771">
        <w:rPr>
          <w:rFonts w:ascii="Arial" w:hAnsi="Arial" w:cs="Arial"/>
          <w:sz w:val="24"/>
          <w:szCs w:val="24"/>
        </w:rPr>
        <w:t xml:space="preserve"> </w:t>
      </w:r>
      <w:r w:rsidR="00285D5C">
        <w:rPr>
          <w:rFonts w:ascii="Arial" w:hAnsi="Arial" w:cs="Arial"/>
          <w:sz w:val="24"/>
          <w:szCs w:val="24"/>
        </w:rPr>
        <w:t xml:space="preserve">concerning the present matter.  </w:t>
      </w:r>
      <w:r w:rsidR="00B3731B">
        <w:rPr>
          <w:rFonts w:ascii="Arial" w:hAnsi="Arial" w:cs="Arial"/>
          <w:sz w:val="24"/>
          <w:szCs w:val="24"/>
        </w:rPr>
        <w:t>Suffice it to say that h</w:t>
      </w:r>
      <w:r>
        <w:rPr>
          <w:rFonts w:ascii="Arial" w:hAnsi="Arial" w:cs="Arial"/>
          <w:sz w:val="24"/>
          <w:szCs w:val="24"/>
        </w:rPr>
        <w:t xml:space="preserve">ad there been </w:t>
      </w:r>
      <w:r w:rsidR="00285D5C">
        <w:rPr>
          <w:rFonts w:ascii="Arial" w:hAnsi="Arial" w:cs="Arial"/>
          <w:sz w:val="24"/>
          <w:szCs w:val="24"/>
        </w:rPr>
        <w:t xml:space="preserve">a clear indication that the </w:t>
      </w:r>
      <w:r w:rsidR="007758C6">
        <w:rPr>
          <w:rFonts w:ascii="Arial" w:hAnsi="Arial" w:cs="Arial"/>
          <w:sz w:val="24"/>
          <w:szCs w:val="24"/>
        </w:rPr>
        <w:t xml:space="preserve">ground for </w:t>
      </w:r>
      <w:r w:rsidR="00285D5C">
        <w:rPr>
          <w:rFonts w:ascii="Arial" w:hAnsi="Arial" w:cs="Arial"/>
          <w:sz w:val="24"/>
          <w:szCs w:val="24"/>
        </w:rPr>
        <w:t xml:space="preserve">termination was in contravention </w:t>
      </w:r>
      <w:r w:rsidR="008D6329">
        <w:rPr>
          <w:rFonts w:ascii="Arial" w:hAnsi="Arial" w:cs="Arial"/>
          <w:sz w:val="24"/>
          <w:szCs w:val="24"/>
        </w:rPr>
        <w:t>of</w:t>
      </w:r>
      <w:r w:rsidR="00285D5C">
        <w:rPr>
          <w:rFonts w:ascii="Arial" w:hAnsi="Arial" w:cs="Arial"/>
          <w:sz w:val="24"/>
          <w:szCs w:val="24"/>
        </w:rPr>
        <w:t xml:space="preserve"> section 64(1A</w:t>
      </w:r>
      <w:proofErr w:type="gramStart"/>
      <w:r w:rsidR="00285D5C">
        <w:rPr>
          <w:rFonts w:ascii="Arial" w:hAnsi="Arial" w:cs="Arial"/>
          <w:sz w:val="24"/>
          <w:szCs w:val="24"/>
        </w:rPr>
        <w:t>)(</w:t>
      </w:r>
      <w:proofErr w:type="gramEnd"/>
      <w:r w:rsidR="00285D5C">
        <w:rPr>
          <w:rFonts w:ascii="Arial" w:hAnsi="Arial" w:cs="Arial"/>
          <w:sz w:val="24"/>
          <w:szCs w:val="24"/>
        </w:rPr>
        <w:t xml:space="preserve">d) or (f), the Tribunal would have proceeded </w:t>
      </w:r>
      <w:r w:rsidR="007758C6">
        <w:rPr>
          <w:rFonts w:ascii="Arial" w:hAnsi="Arial" w:cs="Arial"/>
          <w:sz w:val="24"/>
          <w:szCs w:val="24"/>
        </w:rPr>
        <w:t xml:space="preserve">to the next stage of the exercise which is to assess the reasonableness </w:t>
      </w:r>
      <w:r w:rsidR="00411D8B">
        <w:rPr>
          <w:rFonts w:ascii="Arial" w:hAnsi="Arial" w:cs="Arial"/>
          <w:sz w:val="24"/>
          <w:szCs w:val="24"/>
        </w:rPr>
        <w:t>or otherwise of g</w:t>
      </w:r>
      <w:r w:rsidR="00910BD5">
        <w:rPr>
          <w:rFonts w:ascii="Arial" w:hAnsi="Arial" w:cs="Arial"/>
          <w:sz w:val="24"/>
          <w:szCs w:val="24"/>
        </w:rPr>
        <w:t>iving</w:t>
      </w:r>
      <w:r w:rsidR="00411D8B">
        <w:rPr>
          <w:rFonts w:ascii="Arial" w:hAnsi="Arial" w:cs="Arial"/>
          <w:sz w:val="24"/>
          <w:szCs w:val="24"/>
        </w:rPr>
        <w:t xml:space="preserve"> a</w:t>
      </w:r>
      <w:r w:rsidR="00910BD5">
        <w:rPr>
          <w:rFonts w:ascii="Arial" w:hAnsi="Arial" w:cs="Arial"/>
          <w:sz w:val="24"/>
          <w:szCs w:val="24"/>
        </w:rPr>
        <w:t>n award for the</w:t>
      </w:r>
      <w:r w:rsidR="00411D8B">
        <w:rPr>
          <w:rFonts w:ascii="Arial" w:hAnsi="Arial" w:cs="Arial"/>
          <w:sz w:val="24"/>
          <w:szCs w:val="24"/>
        </w:rPr>
        <w:t xml:space="preserve"> reinstatement </w:t>
      </w:r>
      <w:r w:rsidR="00910BD5">
        <w:rPr>
          <w:rFonts w:ascii="Arial" w:hAnsi="Arial" w:cs="Arial"/>
          <w:sz w:val="24"/>
          <w:szCs w:val="24"/>
        </w:rPr>
        <w:t>of the Disputant</w:t>
      </w:r>
      <w:r w:rsidR="00411D8B">
        <w:rPr>
          <w:rFonts w:ascii="Arial" w:hAnsi="Arial" w:cs="Arial"/>
          <w:sz w:val="24"/>
          <w:szCs w:val="24"/>
        </w:rPr>
        <w:t>.</w:t>
      </w:r>
      <w:r w:rsidR="001355DD">
        <w:rPr>
          <w:rFonts w:ascii="Arial" w:hAnsi="Arial" w:cs="Arial"/>
          <w:sz w:val="24"/>
          <w:szCs w:val="24"/>
        </w:rPr>
        <w:t xml:space="preserve">  This is not the case in the present matter.</w:t>
      </w:r>
      <w:r w:rsidR="00285D5C">
        <w:rPr>
          <w:rFonts w:ascii="Arial" w:hAnsi="Arial" w:cs="Arial"/>
          <w:sz w:val="24"/>
          <w:szCs w:val="24"/>
        </w:rPr>
        <w:t xml:space="preserve">  </w:t>
      </w:r>
      <w:r>
        <w:rPr>
          <w:rFonts w:ascii="Arial" w:hAnsi="Arial" w:cs="Arial"/>
          <w:sz w:val="24"/>
          <w:szCs w:val="24"/>
        </w:rPr>
        <w:t xml:space="preserve"> </w:t>
      </w:r>
    </w:p>
    <w:p w14:paraId="5C179789" w14:textId="77777777" w:rsidR="00BB1C44" w:rsidRDefault="00BB1C44" w:rsidP="00835284">
      <w:pPr>
        <w:pStyle w:val="NoSpacing"/>
        <w:jc w:val="both"/>
        <w:rPr>
          <w:rFonts w:ascii="Arial" w:hAnsi="Arial" w:cs="Arial"/>
          <w:sz w:val="24"/>
          <w:szCs w:val="24"/>
        </w:rPr>
      </w:pPr>
    </w:p>
    <w:p w14:paraId="060E4E15" w14:textId="31194E91" w:rsidR="0067784C" w:rsidRDefault="00022B9A" w:rsidP="00835284">
      <w:pPr>
        <w:pStyle w:val="NoSpacing"/>
        <w:jc w:val="both"/>
        <w:rPr>
          <w:rFonts w:ascii="Arial" w:hAnsi="Arial" w:cs="Arial"/>
          <w:iCs/>
          <w:sz w:val="24"/>
          <w:szCs w:val="24"/>
        </w:rPr>
      </w:pPr>
      <w:r>
        <w:rPr>
          <w:rFonts w:ascii="Arial" w:hAnsi="Arial" w:cs="Arial"/>
          <w:sz w:val="24"/>
          <w:szCs w:val="24"/>
        </w:rPr>
        <w:t>A</w:t>
      </w:r>
      <w:r w:rsidR="00DE4A82">
        <w:rPr>
          <w:rFonts w:ascii="Arial" w:hAnsi="Arial" w:cs="Arial"/>
          <w:sz w:val="24"/>
          <w:szCs w:val="24"/>
        </w:rPr>
        <w:t>s a side note</w:t>
      </w:r>
      <w:r>
        <w:rPr>
          <w:rFonts w:ascii="Arial" w:hAnsi="Arial" w:cs="Arial"/>
          <w:sz w:val="24"/>
          <w:szCs w:val="24"/>
        </w:rPr>
        <w:t>, the terms of reference</w:t>
      </w:r>
      <w:r w:rsidR="00DE4A82">
        <w:rPr>
          <w:rFonts w:ascii="Arial" w:hAnsi="Arial" w:cs="Arial"/>
          <w:sz w:val="24"/>
          <w:szCs w:val="24"/>
        </w:rPr>
        <w:t xml:space="preserve"> use words like </w:t>
      </w:r>
      <w:r w:rsidR="007358DD">
        <w:rPr>
          <w:rFonts w:ascii="Arial" w:hAnsi="Arial" w:cs="Arial"/>
          <w:sz w:val="24"/>
          <w:szCs w:val="24"/>
        </w:rPr>
        <w:t>“</w:t>
      </w:r>
      <w:r w:rsidR="00AD48A7">
        <w:rPr>
          <w:rFonts w:ascii="Arial" w:hAnsi="Arial" w:cs="Arial"/>
          <w:sz w:val="24"/>
          <w:szCs w:val="24"/>
        </w:rPr>
        <w:t>summar</w:t>
      </w:r>
      <w:r w:rsidR="007358DD">
        <w:rPr>
          <w:rFonts w:ascii="Arial" w:hAnsi="Arial" w:cs="Arial"/>
          <w:sz w:val="24"/>
          <w:szCs w:val="24"/>
        </w:rPr>
        <w:t>ily</w:t>
      </w:r>
      <w:r w:rsidR="00AD48A7">
        <w:rPr>
          <w:rFonts w:ascii="Arial" w:hAnsi="Arial" w:cs="Arial"/>
          <w:sz w:val="24"/>
          <w:szCs w:val="24"/>
        </w:rPr>
        <w:t xml:space="preserve"> dismiss</w:t>
      </w:r>
      <w:r w:rsidR="007358DD">
        <w:rPr>
          <w:rFonts w:ascii="Arial" w:hAnsi="Arial" w:cs="Arial"/>
          <w:sz w:val="24"/>
          <w:szCs w:val="24"/>
        </w:rPr>
        <w:t>ed”</w:t>
      </w:r>
      <w:r w:rsidR="00AD48A7">
        <w:rPr>
          <w:rFonts w:ascii="Arial" w:hAnsi="Arial" w:cs="Arial"/>
          <w:sz w:val="24"/>
          <w:szCs w:val="24"/>
        </w:rPr>
        <w:t xml:space="preserve"> which </w:t>
      </w:r>
      <w:r w:rsidR="00DE4A82">
        <w:rPr>
          <w:rFonts w:ascii="Arial" w:hAnsi="Arial" w:cs="Arial"/>
          <w:sz w:val="24"/>
          <w:szCs w:val="24"/>
        </w:rPr>
        <w:t xml:space="preserve">connote the idea that </w:t>
      </w:r>
      <w:r w:rsidR="00AD48A7">
        <w:rPr>
          <w:rFonts w:ascii="Arial" w:hAnsi="Arial" w:cs="Arial"/>
          <w:sz w:val="24"/>
          <w:szCs w:val="24"/>
        </w:rPr>
        <w:t xml:space="preserve">there was a dismissal for gross misconduct </w:t>
      </w:r>
      <w:r w:rsidR="00333E21">
        <w:rPr>
          <w:rFonts w:ascii="Arial" w:hAnsi="Arial" w:cs="Arial"/>
          <w:sz w:val="24"/>
          <w:szCs w:val="24"/>
        </w:rPr>
        <w:t>(“</w:t>
      </w:r>
      <w:proofErr w:type="spellStart"/>
      <w:r w:rsidR="00333E21" w:rsidRPr="00333E21">
        <w:rPr>
          <w:rFonts w:ascii="Arial" w:hAnsi="Arial" w:cs="Arial"/>
          <w:i/>
          <w:sz w:val="24"/>
          <w:szCs w:val="24"/>
        </w:rPr>
        <w:t>licenciement</w:t>
      </w:r>
      <w:proofErr w:type="spellEnd"/>
      <w:r w:rsidR="00333E21" w:rsidRPr="00333E21">
        <w:rPr>
          <w:rFonts w:ascii="Arial" w:hAnsi="Arial" w:cs="Arial"/>
          <w:i/>
          <w:sz w:val="24"/>
          <w:szCs w:val="24"/>
        </w:rPr>
        <w:t xml:space="preserve"> pour </w:t>
      </w:r>
      <w:proofErr w:type="spellStart"/>
      <w:r w:rsidR="00333E21" w:rsidRPr="00333E21">
        <w:rPr>
          <w:rFonts w:ascii="Arial" w:hAnsi="Arial" w:cs="Arial"/>
          <w:i/>
          <w:sz w:val="24"/>
          <w:szCs w:val="24"/>
        </w:rPr>
        <w:t>faute</w:t>
      </w:r>
      <w:proofErr w:type="spellEnd"/>
      <w:r w:rsidR="00333E21" w:rsidRPr="00333E21">
        <w:rPr>
          <w:rFonts w:ascii="Arial" w:hAnsi="Arial" w:cs="Arial"/>
          <w:i/>
          <w:sz w:val="24"/>
          <w:szCs w:val="24"/>
        </w:rPr>
        <w:t xml:space="preserve"> grave</w:t>
      </w:r>
      <w:r w:rsidR="00333E21">
        <w:rPr>
          <w:rFonts w:ascii="Arial" w:hAnsi="Arial" w:cs="Arial"/>
          <w:sz w:val="24"/>
          <w:szCs w:val="24"/>
        </w:rPr>
        <w:t>”</w:t>
      </w:r>
      <w:r w:rsidR="00AD48A7">
        <w:rPr>
          <w:rFonts w:ascii="Arial" w:hAnsi="Arial" w:cs="Arial"/>
          <w:sz w:val="24"/>
          <w:szCs w:val="24"/>
        </w:rPr>
        <w:t xml:space="preserve">).  </w:t>
      </w:r>
      <w:r w:rsidR="00DE4A82">
        <w:rPr>
          <w:rFonts w:ascii="Arial" w:hAnsi="Arial" w:cs="Arial"/>
          <w:sz w:val="24"/>
          <w:szCs w:val="24"/>
        </w:rPr>
        <w:t xml:space="preserve">The law now </w:t>
      </w:r>
      <w:r w:rsidR="00202EB3">
        <w:rPr>
          <w:rFonts w:ascii="Arial" w:hAnsi="Arial" w:cs="Arial"/>
          <w:sz w:val="24"/>
          <w:szCs w:val="24"/>
        </w:rPr>
        <w:t xml:space="preserve">simply </w:t>
      </w:r>
      <w:r w:rsidR="00DE4A82">
        <w:rPr>
          <w:rFonts w:ascii="Arial" w:hAnsi="Arial" w:cs="Arial"/>
          <w:sz w:val="24"/>
          <w:szCs w:val="24"/>
        </w:rPr>
        <w:t xml:space="preserve">refers </w:t>
      </w:r>
      <w:r w:rsidR="00202EB3">
        <w:rPr>
          <w:rFonts w:ascii="Arial" w:hAnsi="Arial" w:cs="Arial"/>
          <w:sz w:val="24"/>
          <w:szCs w:val="24"/>
        </w:rPr>
        <w:t>t</w:t>
      </w:r>
      <w:r w:rsidR="00DE4A82">
        <w:rPr>
          <w:rFonts w:ascii="Arial" w:hAnsi="Arial" w:cs="Arial"/>
          <w:sz w:val="24"/>
          <w:szCs w:val="24"/>
        </w:rPr>
        <w:t xml:space="preserve">o termination of employment or of an agreement.  </w:t>
      </w:r>
      <w:r w:rsidR="00AD48A7">
        <w:rPr>
          <w:rFonts w:ascii="Arial" w:hAnsi="Arial" w:cs="Arial"/>
          <w:iCs/>
          <w:sz w:val="24"/>
          <w:szCs w:val="24"/>
        </w:rPr>
        <w:t xml:space="preserve">Reinstatement of a worker </w:t>
      </w:r>
      <w:r w:rsidR="004D1C4D">
        <w:rPr>
          <w:rFonts w:ascii="Arial" w:hAnsi="Arial" w:cs="Arial"/>
          <w:iCs/>
          <w:sz w:val="24"/>
          <w:szCs w:val="24"/>
        </w:rPr>
        <w:t>shall</w:t>
      </w:r>
      <w:r w:rsidR="00AD48A7">
        <w:rPr>
          <w:rFonts w:ascii="Arial" w:hAnsi="Arial" w:cs="Arial"/>
          <w:iCs/>
          <w:sz w:val="24"/>
          <w:szCs w:val="24"/>
        </w:rPr>
        <w:t xml:space="preserve"> be </w:t>
      </w:r>
      <w:r w:rsidR="004D1C4D">
        <w:rPr>
          <w:rFonts w:ascii="Arial" w:hAnsi="Arial" w:cs="Arial"/>
          <w:iCs/>
          <w:sz w:val="24"/>
          <w:szCs w:val="24"/>
        </w:rPr>
        <w:t>awarded</w:t>
      </w:r>
      <w:r w:rsidR="00AD48A7">
        <w:rPr>
          <w:rFonts w:ascii="Arial" w:hAnsi="Arial" w:cs="Arial"/>
          <w:iCs/>
          <w:sz w:val="24"/>
          <w:szCs w:val="24"/>
        </w:rPr>
        <w:t xml:space="preserve"> by the Tribunal whe</w:t>
      </w:r>
      <w:r w:rsidR="00EE3C19">
        <w:rPr>
          <w:rFonts w:ascii="Arial" w:hAnsi="Arial" w:cs="Arial"/>
          <w:iCs/>
          <w:sz w:val="24"/>
          <w:szCs w:val="24"/>
        </w:rPr>
        <w:t>re</w:t>
      </w:r>
      <w:r w:rsidR="00AD48A7">
        <w:rPr>
          <w:rFonts w:ascii="Arial" w:hAnsi="Arial" w:cs="Arial"/>
          <w:iCs/>
          <w:sz w:val="24"/>
          <w:szCs w:val="24"/>
        </w:rPr>
        <w:t xml:space="preserve"> the </w:t>
      </w:r>
      <w:r w:rsidR="001355DD">
        <w:rPr>
          <w:rFonts w:ascii="Arial" w:hAnsi="Arial" w:cs="Arial"/>
          <w:iCs/>
          <w:sz w:val="24"/>
          <w:szCs w:val="24"/>
        </w:rPr>
        <w:t xml:space="preserve">Tribunal finds that the claim for reinstatement </w:t>
      </w:r>
      <w:r w:rsidR="00E72B5F">
        <w:rPr>
          <w:rFonts w:ascii="Arial" w:hAnsi="Arial" w:cs="Arial"/>
          <w:iCs/>
          <w:sz w:val="24"/>
          <w:szCs w:val="24"/>
        </w:rPr>
        <w:t xml:space="preserve">of a worker in relation to </w:t>
      </w:r>
      <w:r w:rsidR="00AD48A7">
        <w:rPr>
          <w:rFonts w:ascii="Arial" w:hAnsi="Arial" w:cs="Arial"/>
          <w:iCs/>
          <w:sz w:val="24"/>
          <w:szCs w:val="24"/>
        </w:rPr>
        <w:t xml:space="preserve">termination of </w:t>
      </w:r>
      <w:r w:rsidR="00E72B5F">
        <w:rPr>
          <w:rFonts w:ascii="Arial" w:hAnsi="Arial" w:cs="Arial"/>
          <w:iCs/>
          <w:sz w:val="24"/>
          <w:szCs w:val="24"/>
        </w:rPr>
        <w:t xml:space="preserve">his </w:t>
      </w:r>
      <w:r w:rsidR="00AD48A7">
        <w:rPr>
          <w:rFonts w:ascii="Arial" w:hAnsi="Arial" w:cs="Arial"/>
          <w:iCs/>
          <w:sz w:val="24"/>
          <w:szCs w:val="24"/>
        </w:rPr>
        <w:t xml:space="preserve">employment </w:t>
      </w:r>
      <w:r w:rsidR="00E72B5F">
        <w:rPr>
          <w:rFonts w:ascii="Arial" w:hAnsi="Arial" w:cs="Arial"/>
          <w:iCs/>
          <w:sz w:val="24"/>
          <w:szCs w:val="24"/>
        </w:rPr>
        <w:t xml:space="preserve">on any </w:t>
      </w:r>
      <w:r w:rsidR="00AD48A7">
        <w:rPr>
          <w:rFonts w:ascii="Arial" w:hAnsi="Arial" w:cs="Arial"/>
          <w:iCs/>
          <w:sz w:val="24"/>
          <w:szCs w:val="24"/>
        </w:rPr>
        <w:t xml:space="preserve">of the grounds </w:t>
      </w:r>
      <w:r w:rsidR="00E72B5F">
        <w:rPr>
          <w:rFonts w:ascii="Arial" w:hAnsi="Arial" w:cs="Arial"/>
          <w:iCs/>
          <w:sz w:val="24"/>
          <w:szCs w:val="24"/>
        </w:rPr>
        <w:t>specified</w:t>
      </w:r>
      <w:r w:rsidR="00EE3C19">
        <w:rPr>
          <w:rFonts w:ascii="Arial" w:hAnsi="Arial" w:cs="Arial"/>
          <w:iCs/>
          <w:sz w:val="24"/>
          <w:szCs w:val="24"/>
        </w:rPr>
        <w:t xml:space="preserve"> </w:t>
      </w:r>
      <w:r w:rsidR="00E72B5F">
        <w:rPr>
          <w:rFonts w:ascii="Arial" w:hAnsi="Arial" w:cs="Arial"/>
          <w:iCs/>
          <w:sz w:val="24"/>
          <w:szCs w:val="24"/>
        </w:rPr>
        <w:t>in</w:t>
      </w:r>
      <w:r w:rsidR="00AD48A7">
        <w:rPr>
          <w:rFonts w:ascii="Arial" w:hAnsi="Arial" w:cs="Arial"/>
          <w:iCs/>
          <w:sz w:val="24"/>
          <w:szCs w:val="24"/>
        </w:rPr>
        <w:t xml:space="preserve"> section 64(1A) of the Act </w:t>
      </w:r>
      <w:r w:rsidR="00E72B5F">
        <w:rPr>
          <w:rFonts w:ascii="Arial" w:hAnsi="Arial" w:cs="Arial"/>
          <w:iCs/>
          <w:sz w:val="24"/>
          <w:szCs w:val="24"/>
        </w:rPr>
        <w:t xml:space="preserve">is justified </w:t>
      </w:r>
      <w:r w:rsidR="00AD48A7">
        <w:rPr>
          <w:rFonts w:ascii="Arial" w:hAnsi="Arial" w:cs="Arial"/>
          <w:iCs/>
          <w:sz w:val="24"/>
          <w:szCs w:val="24"/>
        </w:rPr>
        <w:t xml:space="preserve">and </w:t>
      </w:r>
      <w:r w:rsidR="00E377E0">
        <w:rPr>
          <w:rFonts w:ascii="Arial" w:hAnsi="Arial" w:cs="Arial"/>
          <w:iCs/>
          <w:sz w:val="24"/>
          <w:szCs w:val="24"/>
        </w:rPr>
        <w:lastRenderedPageBreak/>
        <w:t>wh</w:t>
      </w:r>
      <w:r w:rsidR="0067784C">
        <w:rPr>
          <w:rFonts w:ascii="Arial" w:hAnsi="Arial" w:cs="Arial"/>
          <w:iCs/>
          <w:sz w:val="24"/>
          <w:szCs w:val="24"/>
        </w:rPr>
        <w:t xml:space="preserve">ere </w:t>
      </w:r>
      <w:r w:rsidR="00E72B5F">
        <w:rPr>
          <w:rFonts w:ascii="Arial" w:hAnsi="Arial" w:cs="Arial"/>
          <w:iCs/>
          <w:sz w:val="24"/>
          <w:szCs w:val="24"/>
        </w:rPr>
        <w:t xml:space="preserve">the Tribunal has reason to believe that the </w:t>
      </w:r>
      <w:r w:rsidR="0067784C">
        <w:rPr>
          <w:rFonts w:ascii="Arial" w:hAnsi="Arial" w:cs="Arial"/>
          <w:iCs/>
          <w:sz w:val="24"/>
          <w:szCs w:val="24"/>
        </w:rPr>
        <w:t>relationship between the parties has not irretrievably</w:t>
      </w:r>
      <w:r w:rsidR="00E72B5F">
        <w:rPr>
          <w:rFonts w:ascii="Arial" w:hAnsi="Arial" w:cs="Arial"/>
          <w:iCs/>
          <w:sz w:val="24"/>
          <w:szCs w:val="24"/>
        </w:rPr>
        <w:t xml:space="preserve"> been broken</w:t>
      </w:r>
      <w:r w:rsidR="0067784C">
        <w:rPr>
          <w:rFonts w:ascii="Arial" w:hAnsi="Arial" w:cs="Arial"/>
          <w:iCs/>
          <w:sz w:val="24"/>
          <w:szCs w:val="24"/>
        </w:rPr>
        <w:t xml:space="preserve">.  </w:t>
      </w:r>
    </w:p>
    <w:p w14:paraId="4F079764" w14:textId="77777777" w:rsidR="0067784C" w:rsidRDefault="0067784C" w:rsidP="00835284">
      <w:pPr>
        <w:pStyle w:val="NoSpacing"/>
        <w:jc w:val="both"/>
        <w:rPr>
          <w:rFonts w:ascii="Arial" w:hAnsi="Arial" w:cs="Arial"/>
          <w:iCs/>
          <w:sz w:val="24"/>
          <w:szCs w:val="24"/>
        </w:rPr>
      </w:pPr>
    </w:p>
    <w:p w14:paraId="48448805" w14:textId="5F815DB8" w:rsidR="00B85AF4" w:rsidRDefault="0067784C" w:rsidP="00835284">
      <w:pPr>
        <w:pStyle w:val="NoSpacing"/>
        <w:jc w:val="both"/>
        <w:rPr>
          <w:rFonts w:ascii="Arial" w:hAnsi="Arial" w:cs="Arial"/>
          <w:sz w:val="24"/>
          <w:szCs w:val="24"/>
        </w:rPr>
      </w:pPr>
      <w:r>
        <w:rPr>
          <w:rFonts w:ascii="Arial" w:hAnsi="Arial" w:cs="Arial"/>
          <w:iCs/>
          <w:sz w:val="24"/>
          <w:szCs w:val="24"/>
        </w:rPr>
        <w:t>For all the reasons given above, the Tribunal finds that the Disputant has not shown on a balance of probabilities that he should be reinstated and</w:t>
      </w:r>
      <w:r w:rsidR="00AD48A7">
        <w:rPr>
          <w:rFonts w:ascii="Arial" w:hAnsi="Arial" w:cs="Arial"/>
          <w:iCs/>
          <w:sz w:val="24"/>
          <w:szCs w:val="24"/>
        </w:rPr>
        <w:t xml:space="preserve"> </w:t>
      </w:r>
      <w:r>
        <w:rPr>
          <w:rFonts w:ascii="Arial" w:hAnsi="Arial" w:cs="Arial"/>
          <w:iCs/>
          <w:sz w:val="24"/>
          <w:szCs w:val="24"/>
        </w:rPr>
        <w:t xml:space="preserve">the dispute is thus set aside.  </w:t>
      </w:r>
      <w:r w:rsidR="00AD48A7">
        <w:rPr>
          <w:rFonts w:ascii="Arial" w:hAnsi="Arial" w:cs="Arial"/>
          <w:iCs/>
          <w:sz w:val="24"/>
          <w:szCs w:val="24"/>
        </w:rPr>
        <w:t xml:space="preserve">  </w:t>
      </w:r>
      <w:r w:rsidR="00AD48A7">
        <w:rPr>
          <w:rFonts w:ascii="Arial" w:hAnsi="Arial" w:cs="Arial"/>
          <w:sz w:val="24"/>
          <w:szCs w:val="24"/>
        </w:rPr>
        <w:t xml:space="preserve">   </w:t>
      </w:r>
      <w:r w:rsidR="00022B9A">
        <w:rPr>
          <w:rFonts w:ascii="Arial" w:hAnsi="Arial" w:cs="Arial"/>
          <w:sz w:val="24"/>
          <w:szCs w:val="24"/>
        </w:rPr>
        <w:t xml:space="preserve">     </w:t>
      </w:r>
      <w:r w:rsidR="000F691F">
        <w:rPr>
          <w:rFonts w:ascii="Arial" w:hAnsi="Arial" w:cs="Arial"/>
          <w:sz w:val="24"/>
          <w:szCs w:val="24"/>
        </w:rPr>
        <w:t xml:space="preserve"> </w:t>
      </w:r>
    </w:p>
    <w:p w14:paraId="3F93AEC5" w14:textId="77777777" w:rsidR="00B85AF4" w:rsidRDefault="00B85AF4" w:rsidP="00835284">
      <w:pPr>
        <w:pStyle w:val="NoSpacing"/>
        <w:jc w:val="both"/>
        <w:rPr>
          <w:rFonts w:ascii="Arial" w:hAnsi="Arial" w:cs="Arial"/>
          <w:sz w:val="24"/>
          <w:szCs w:val="24"/>
        </w:rPr>
      </w:pPr>
    </w:p>
    <w:p w14:paraId="104699F4" w14:textId="77777777" w:rsidR="00CC64E5" w:rsidRDefault="00CC64E5" w:rsidP="00215B54">
      <w:pPr>
        <w:jc w:val="both"/>
        <w:rPr>
          <w:rFonts w:ascii="Arial" w:hAnsi="Arial" w:cs="Arial"/>
          <w:sz w:val="24"/>
          <w:szCs w:val="24"/>
        </w:rPr>
      </w:pPr>
    </w:p>
    <w:p w14:paraId="3CC22623" w14:textId="77777777" w:rsidR="00E72B5F" w:rsidRPr="00EA2396" w:rsidRDefault="00E72B5F" w:rsidP="00215B54">
      <w:pPr>
        <w:jc w:val="both"/>
        <w:rPr>
          <w:rFonts w:ascii="Arial" w:hAnsi="Arial" w:cs="Arial"/>
          <w:sz w:val="24"/>
          <w:szCs w:val="24"/>
        </w:rPr>
      </w:pPr>
    </w:p>
    <w:p w14:paraId="7F8CE2A1" w14:textId="11EB289F" w:rsidR="00215B54" w:rsidRPr="005B080A" w:rsidRDefault="00E5291D" w:rsidP="00215B54">
      <w:pPr>
        <w:jc w:val="both"/>
        <w:rPr>
          <w:rFonts w:ascii="Arial" w:hAnsi="Arial" w:cs="Arial"/>
          <w:b/>
          <w:sz w:val="24"/>
          <w:szCs w:val="24"/>
        </w:rPr>
      </w:pPr>
      <w:r>
        <w:rPr>
          <w:rFonts w:ascii="Arial" w:hAnsi="Arial" w:cs="Arial"/>
          <w:b/>
          <w:sz w:val="24"/>
          <w:szCs w:val="24"/>
        </w:rPr>
        <w:t xml:space="preserve">S.D </w:t>
      </w:r>
      <w:bookmarkStart w:id="2" w:name="_GoBack"/>
      <w:bookmarkEnd w:id="2"/>
      <w:proofErr w:type="spellStart"/>
      <w:r w:rsidR="00215B54" w:rsidRPr="005B080A">
        <w:rPr>
          <w:rFonts w:ascii="Arial" w:hAnsi="Arial" w:cs="Arial"/>
          <w:b/>
          <w:sz w:val="24"/>
          <w:szCs w:val="24"/>
        </w:rPr>
        <w:t>Indiren</w:t>
      </w:r>
      <w:proofErr w:type="spellEnd"/>
      <w:r w:rsidR="00215B54" w:rsidRPr="005B080A">
        <w:rPr>
          <w:rFonts w:ascii="Arial" w:hAnsi="Arial" w:cs="Arial"/>
          <w:b/>
          <w:sz w:val="24"/>
          <w:szCs w:val="24"/>
        </w:rPr>
        <w:t xml:space="preserve"> </w:t>
      </w:r>
      <w:proofErr w:type="spellStart"/>
      <w:r w:rsidR="00215B54" w:rsidRPr="005B080A">
        <w:rPr>
          <w:rFonts w:ascii="Arial" w:hAnsi="Arial" w:cs="Arial"/>
          <w:b/>
          <w:sz w:val="24"/>
          <w:szCs w:val="24"/>
        </w:rPr>
        <w:t>Sivaramen</w:t>
      </w:r>
      <w:proofErr w:type="spellEnd"/>
      <w:r w:rsidR="00215B54" w:rsidRPr="005B080A">
        <w:rPr>
          <w:rFonts w:ascii="Arial" w:hAnsi="Arial" w:cs="Arial"/>
          <w:b/>
          <w:sz w:val="24"/>
          <w:szCs w:val="24"/>
        </w:rPr>
        <w:t xml:space="preserve"> </w:t>
      </w:r>
    </w:p>
    <w:p w14:paraId="5ADF3525" w14:textId="77777777"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p>
    <w:p w14:paraId="4006B39E" w14:textId="77777777" w:rsidR="00215B54" w:rsidRDefault="00215B54" w:rsidP="00215B54">
      <w:pPr>
        <w:jc w:val="both"/>
        <w:rPr>
          <w:rFonts w:ascii="Arial" w:hAnsi="Arial" w:cs="Arial"/>
          <w:b/>
          <w:sz w:val="24"/>
          <w:szCs w:val="24"/>
        </w:rPr>
      </w:pPr>
    </w:p>
    <w:p w14:paraId="7F3DE966" w14:textId="77777777" w:rsidR="00E72B5F" w:rsidRDefault="00E72B5F" w:rsidP="00215B54">
      <w:pPr>
        <w:jc w:val="both"/>
        <w:rPr>
          <w:rFonts w:ascii="Arial" w:hAnsi="Arial" w:cs="Arial"/>
          <w:b/>
          <w:sz w:val="24"/>
          <w:szCs w:val="24"/>
        </w:rPr>
      </w:pPr>
    </w:p>
    <w:p w14:paraId="5C2592CF" w14:textId="5240499D" w:rsidR="00215B54" w:rsidRPr="005B080A" w:rsidRDefault="00E5291D" w:rsidP="00215B54">
      <w:pPr>
        <w:jc w:val="both"/>
        <w:rPr>
          <w:rFonts w:ascii="Arial" w:hAnsi="Arial" w:cs="Arial"/>
          <w:b/>
          <w:sz w:val="24"/>
          <w:szCs w:val="24"/>
        </w:rPr>
      </w:pPr>
      <w:r>
        <w:rPr>
          <w:rFonts w:ascii="Arial" w:hAnsi="Arial" w:cs="Arial"/>
          <w:b/>
          <w:sz w:val="24"/>
          <w:szCs w:val="24"/>
        </w:rPr>
        <w:t xml:space="preserve">S.D </w:t>
      </w:r>
      <w:r w:rsidR="00AA5942">
        <w:rPr>
          <w:rFonts w:ascii="Arial" w:hAnsi="Arial" w:cs="Arial"/>
          <w:b/>
          <w:sz w:val="24"/>
          <w:szCs w:val="24"/>
        </w:rPr>
        <w:t xml:space="preserve">Francis </w:t>
      </w:r>
      <w:proofErr w:type="spellStart"/>
      <w:r w:rsidR="00AA5942">
        <w:rPr>
          <w:rFonts w:ascii="Arial" w:hAnsi="Arial" w:cs="Arial"/>
          <w:b/>
          <w:sz w:val="24"/>
          <w:szCs w:val="24"/>
        </w:rPr>
        <w:t>Supparayen</w:t>
      </w:r>
      <w:proofErr w:type="spellEnd"/>
      <w:r w:rsidR="00215B54" w:rsidRPr="005B080A">
        <w:rPr>
          <w:rFonts w:ascii="Arial" w:hAnsi="Arial" w:cs="Arial"/>
          <w:b/>
          <w:sz w:val="24"/>
          <w:szCs w:val="24"/>
        </w:rPr>
        <w:tab/>
      </w:r>
      <w:r w:rsidR="00215B54" w:rsidRPr="005B080A">
        <w:rPr>
          <w:rFonts w:ascii="Arial" w:hAnsi="Arial" w:cs="Arial"/>
          <w:b/>
          <w:sz w:val="24"/>
          <w:szCs w:val="24"/>
        </w:rPr>
        <w:tab/>
        <w:t xml:space="preserve">        </w:t>
      </w:r>
    </w:p>
    <w:p w14:paraId="287DE3F2" w14:textId="77777777"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p>
    <w:p w14:paraId="009E7F1A" w14:textId="77777777" w:rsidR="00215B54" w:rsidRDefault="00215B54" w:rsidP="00215B54">
      <w:pPr>
        <w:jc w:val="both"/>
        <w:rPr>
          <w:rFonts w:ascii="Arial" w:hAnsi="Arial" w:cs="Arial"/>
          <w:b/>
          <w:sz w:val="24"/>
          <w:szCs w:val="24"/>
        </w:rPr>
      </w:pPr>
    </w:p>
    <w:p w14:paraId="052FE259" w14:textId="77777777" w:rsidR="00E72B5F" w:rsidRDefault="00E72B5F" w:rsidP="00215B54">
      <w:pPr>
        <w:jc w:val="both"/>
        <w:rPr>
          <w:rFonts w:ascii="Arial" w:hAnsi="Arial" w:cs="Arial"/>
          <w:b/>
          <w:sz w:val="24"/>
          <w:szCs w:val="24"/>
        </w:rPr>
      </w:pPr>
    </w:p>
    <w:p w14:paraId="5B7EC729" w14:textId="0754DBB0" w:rsidR="00215B54" w:rsidRPr="005B080A" w:rsidRDefault="00E5291D" w:rsidP="00215B54">
      <w:pPr>
        <w:jc w:val="both"/>
        <w:rPr>
          <w:rFonts w:ascii="Arial" w:hAnsi="Arial" w:cs="Arial"/>
          <w:b/>
          <w:sz w:val="24"/>
          <w:szCs w:val="24"/>
        </w:rPr>
      </w:pPr>
      <w:r>
        <w:rPr>
          <w:rFonts w:ascii="Arial" w:hAnsi="Arial" w:cs="Arial"/>
          <w:b/>
          <w:sz w:val="24"/>
          <w:szCs w:val="24"/>
        </w:rPr>
        <w:t xml:space="preserve">S.D </w:t>
      </w:r>
      <w:r w:rsidR="00AA5942">
        <w:rPr>
          <w:rFonts w:ascii="Arial" w:hAnsi="Arial" w:cs="Arial"/>
          <w:b/>
          <w:sz w:val="24"/>
          <w:szCs w:val="24"/>
        </w:rPr>
        <w:t xml:space="preserve">Karen K. </w:t>
      </w:r>
      <w:proofErr w:type="spellStart"/>
      <w:r w:rsidR="00AA5942">
        <w:rPr>
          <w:rFonts w:ascii="Arial" w:hAnsi="Arial" w:cs="Arial"/>
          <w:b/>
          <w:sz w:val="24"/>
          <w:szCs w:val="24"/>
        </w:rPr>
        <w:t>Veerapen</w:t>
      </w:r>
      <w:proofErr w:type="spellEnd"/>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p>
    <w:p w14:paraId="29AB4B03" w14:textId="77777777"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p>
    <w:p w14:paraId="2B696C3C" w14:textId="77777777" w:rsidR="00215B54" w:rsidRDefault="00215B54" w:rsidP="00215B54">
      <w:pPr>
        <w:jc w:val="both"/>
        <w:rPr>
          <w:rFonts w:ascii="Arial" w:hAnsi="Arial" w:cs="Arial"/>
          <w:b/>
          <w:sz w:val="24"/>
          <w:szCs w:val="24"/>
        </w:rPr>
      </w:pPr>
    </w:p>
    <w:p w14:paraId="190B2037" w14:textId="77777777" w:rsidR="00E72B5F" w:rsidRDefault="00E72B5F" w:rsidP="00215B54">
      <w:pPr>
        <w:jc w:val="both"/>
        <w:rPr>
          <w:rFonts w:ascii="Arial" w:hAnsi="Arial" w:cs="Arial"/>
          <w:b/>
          <w:sz w:val="24"/>
          <w:szCs w:val="24"/>
        </w:rPr>
      </w:pPr>
    </w:p>
    <w:p w14:paraId="066A11D7" w14:textId="5D7CA5A2" w:rsidR="00215B54" w:rsidRPr="005B080A" w:rsidRDefault="00E5291D" w:rsidP="00215B54">
      <w:pPr>
        <w:jc w:val="both"/>
        <w:rPr>
          <w:rFonts w:ascii="Arial" w:hAnsi="Arial" w:cs="Arial"/>
          <w:b/>
          <w:sz w:val="24"/>
          <w:szCs w:val="24"/>
        </w:rPr>
      </w:pPr>
      <w:r>
        <w:rPr>
          <w:rFonts w:ascii="Arial" w:hAnsi="Arial" w:cs="Arial"/>
          <w:b/>
          <w:sz w:val="24"/>
          <w:szCs w:val="24"/>
        </w:rPr>
        <w:t xml:space="preserve">S.D </w:t>
      </w:r>
      <w:proofErr w:type="spellStart"/>
      <w:r w:rsidR="009F0669">
        <w:rPr>
          <w:rFonts w:ascii="Arial" w:hAnsi="Arial" w:cs="Arial"/>
          <w:b/>
          <w:sz w:val="24"/>
          <w:szCs w:val="24"/>
        </w:rPr>
        <w:t>Arassen</w:t>
      </w:r>
      <w:proofErr w:type="spellEnd"/>
      <w:r w:rsidR="009F0669">
        <w:rPr>
          <w:rFonts w:ascii="Arial" w:hAnsi="Arial" w:cs="Arial"/>
          <w:b/>
          <w:sz w:val="24"/>
          <w:szCs w:val="24"/>
        </w:rPr>
        <w:t xml:space="preserve"> </w:t>
      </w:r>
      <w:proofErr w:type="spellStart"/>
      <w:r w:rsidR="009F0669">
        <w:rPr>
          <w:rFonts w:ascii="Arial" w:hAnsi="Arial" w:cs="Arial"/>
          <w:b/>
          <w:sz w:val="24"/>
          <w:szCs w:val="24"/>
        </w:rPr>
        <w:t>Kallee</w:t>
      </w:r>
      <w:proofErr w:type="spellEnd"/>
      <w:r w:rsidR="00215B54" w:rsidRPr="005B080A">
        <w:rPr>
          <w:rFonts w:ascii="Arial" w:hAnsi="Arial" w:cs="Arial"/>
          <w:b/>
          <w:sz w:val="24"/>
          <w:szCs w:val="24"/>
        </w:rPr>
        <w:t xml:space="preserve">                     </w:t>
      </w:r>
    </w:p>
    <w:p w14:paraId="5ADF9414" w14:textId="77777777" w:rsidR="00E72B5F" w:rsidRDefault="00215B54" w:rsidP="00AB3DEA">
      <w:pPr>
        <w:jc w:val="both"/>
        <w:rPr>
          <w:rFonts w:ascii="Arial" w:hAnsi="Arial" w:cs="Arial"/>
          <w:b/>
          <w:sz w:val="24"/>
          <w:szCs w:val="24"/>
        </w:rPr>
      </w:pPr>
      <w:r w:rsidRPr="005B080A">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64649">
        <w:rPr>
          <w:rFonts w:ascii="Arial" w:hAnsi="Arial" w:cs="Arial"/>
          <w:b/>
          <w:sz w:val="24"/>
          <w:szCs w:val="24"/>
        </w:rPr>
        <w:t xml:space="preserve">         </w:t>
      </w:r>
    </w:p>
    <w:p w14:paraId="190C71FC" w14:textId="77777777" w:rsidR="00E72B5F" w:rsidRDefault="00E72B5F" w:rsidP="00AB3DEA">
      <w:pPr>
        <w:jc w:val="both"/>
        <w:rPr>
          <w:rFonts w:ascii="Arial" w:hAnsi="Arial" w:cs="Arial"/>
          <w:b/>
          <w:sz w:val="24"/>
          <w:szCs w:val="24"/>
        </w:rPr>
      </w:pPr>
    </w:p>
    <w:p w14:paraId="2EA0617B" w14:textId="0D7D9423" w:rsidR="00692ABA" w:rsidRDefault="00F64649" w:rsidP="00AB3DEA">
      <w:pPr>
        <w:jc w:val="both"/>
        <w:rPr>
          <w:rFonts w:ascii="Arial" w:hAnsi="Arial" w:cs="Arial"/>
          <w:b/>
          <w:sz w:val="24"/>
          <w:szCs w:val="24"/>
        </w:rPr>
      </w:pPr>
      <w:r>
        <w:rPr>
          <w:rFonts w:ascii="Arial" w:hAnsi="Arial" w:cs="Arial"/>
          <w:b/>
          <w:sz w:val="24"/>
          <w:szCs w:val="24"/>
        </w:rPr>
        <w:t xml:space="preserve">22 </w:t>
      </w:r>
      <w:r w:rsidR="00AA5942">
        <w:rPr>
          <w:rFonts w:ascii="Arial" w:hAnsi="Arial" w:cs="Arial"/>
          <w:b/>
          <w:sz w:val="24"/>
          <w:szCs w:val="24"/>
        </w:rPr>
        <w:t>Oc</w:t>
      </w:r>
      <w:r w:rsidR="009F0669">
        <w:rPr>
          <w:rFonts w:ascii="Arial" w:hAnsi="Arial" w:cs="Arial"/>
          <w:b/>
          <w:sz w:val="24"/>
          <w:szCs w:val="24"/>
        </w:rPr>
        <w:t>tober</w:t>
      </w:r>
      <w:r w:rsidR="00215B54">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20</w:t>
      </w:r>
      <w:r w:rsidR="00215B54">
        <w:rPr>
          <w:rFonts w:ascii="Arial" w:hAnsi="Arial" w:cs="Arial"/>
          <w:sz w:val="24"/>
          <w:szCs w:val="24"/>
        </w:rPr>
        <w:t xml:space="preserve">   </w:t>
      </w:r>
    </w:p>
    <w:sectPr w:rsidR="00692ABA"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281DD" w14:textId="77777777" w:rsidR="00882276" w:rsidRDefault="00882276" w:rsidP="00936BD4">
      <w:pPr>
        <w:spacing w:after="0" w:line="240" w:lineRule="auto"/>
      </w:pPr>
      <w:r>
        <w:separator/>
      </w:r>
    </w:p>
  </w:endnote>
  <w:endnote w:type="continuationSeparator" w:id="0">
    <w:p w14:paraId="6A9D026F" w14:textId="77777777" w:rsidR="00882276" w:rsidRDefault="00882276"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E5291D">
          <w:rPr>
            <w:noProof/>
          </w:rPr>
          <w:t>9</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392CD" w14:textId="77777777" w:rsidR="00882276" w:rsidRDefault="00882276" w:rsidP="00936BD4">
      <w:pPr>
        <w:spacing w:after="0" w:line="240" w:lineRule="auto"/>
      </w:pPr>
      <w:r>
        <w:separator/>
      </w:r>
    </w:p>
  </w:footnote>
  <w:footnote w:type="continuationSeparator" w:id="0">
    <w:p w14:paraId="5E48FF63" w14:textId="77777777" w:rsidR="00882276" w:rsidRDefault="00882276"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0"/>
  </w:num>
  <w:num w:numId="5">
    <w:abstractNumId w:val="4"/>
  </w:num>
  <w:num w:numId="6">
    <w:abstractNumId w:val="5"/>
  </w:num>
  <w:num w:numId="7">
    <w:abstractNumId w:val="10"/>
  </w:num>
  <w:num w:numId="8">
    <w:abstractNumId w:val="9"/>
  </w:num>
  <w:num w:numId="9">
    <w:abstractNumId w:val="1"/>
  </w:num>
  <w:num w:numId="10">
    <w:abstractNumId w:val="6"/>
  </w:num>
  <w:num w:numId="11">
    <w:abstractNumId w:val="8"/>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4163"/>
    <w:rsid w:val="00004F55"/>
    <w:rsid w:val="00012CAF"/>
    <w:rsid w:val="000158C3"/>
    <w:rsid w:val="0001792C"/>
    <w:rsid w:val="000208E2"/>
    <w:rsid w:val="00020D18"/>
    <w:rsid w:val="00022B9A"/>
    <w:rsid w:val="00024F7C"/>
    <w:rsid w:val="000250D3"/>
    <w:rsid w:val="00026AA1"/>
    <w:rsid w:val="000300C0"/>
    <w:rsid w:val="000318F3"/>
    <w:rsid w:val="00032613"/>
    <w:rsid w:val="00032922"/>
    <w:rsid w:val="00032D6D"/>
    <w:rsid w:val="000408F8"/>
    <w:rsid w:val="0004334D"/>
    <w:rsid w:val="00044C9B"/>
    <w:rsid w:val="00044CAF"/>
    <w:rsid w:val="0005054E"/>
    <w:rsid w:val="00052421"/>
    <w:rsid w:val="000530DC"/>
    <w:rsid w:val="00054088"/>
    <w:rsid w:val="00055722"/>
    <w:rsid w:val="0005573F"/>
    <w:rsid w:val="00055D51"/>
    <w:rsid w:val="000603F9"/>
    <w:rsid w:val="00060F6E"/>
    <w:rsid w:val="00064951"/>
    <w:rsid w:val="00066405"/>
    <w:rsid w:val="00070521"/>
    <w:rsid w:val="00072CF9"/>
    <w:rsid w:val="000730AD"/>
    <w:rsid w:val="00073998"/>
    <w:rsid w:val="000739D5"/>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8F4"/>
    <w:rsid w:val="00097D74"/>
    <w:rsid w:val="000A19D9"/>
    <w:rsid w:val="000A2B4E"/>
    <w:rsid w:val="000A5361"/>
    <w:rsid w:val="000B04F9"/>
    <w:rsid w:val="000B1EAF"/>
    <w:rsid w:val="000B251C"/>
    <w:rsid w:val="000B2EBF"/>
    <w:rsid w:val="000B3D66"/>
    <w:rsid w:val="000B448C"/>
    <w:rsid w:val="000B46D2"/>
    <w:rsid w:val="000B4C7E"/>
    <w:rsid w:val="000B639B"/>
    <w:rsid w:val="000C1509"/>
    <w:rsid w:val="000C5455"/>
    <w:rsid w:val="000C5B14"/>
    <w:rsid w:val="000C7776"/>
    <w:rsid w:val="000D4ECD"/>
    <w:rsid w:val="000D5BF2"/>
    <w:rsid w:val="000D5C17"/>
    <w:rsid w:val="000D5C27"/>
    <w:rsid w:val="000D7C22"/>
    <w:rsid w:val="000E0D59"/>
    <w:rsid w:val="000E1E58"/>
    <w:rsid w:val="000E51DE"/>
    <w:rsid w:val="000E5AA9"/>
    <w:rsid w:val="000E5B0A"/>
    <w:rsid w:val="000E787C"/>
    <w:rsid w:val="000F15FD"/>
    <w:rsid w:val="000F1B8A"/>
    <w:rsid w:val="000F364E"/>
    <w:rsid w:val="000F59DC"/>
    <w:rsid w:val="000F5FAA"/>
    <w:rsid w:val="000F691F"/>
    <w:rsid w:val="000F7674"/>
    <w:rsid w:val="000F7C3F"/>
    <w:rsid w:val="000F7DE8"/>
    <w:rsid w:val="00101A2A"/>
    <w:rsid w:val="0010312A"/>
    <w:rsid w:val="00104994"/>
    <w:rsid w:val="00104D84"/>
    <w:rsid w:val="00105624"/>
    <w:rsid w:val="001100F8"/>
    <w:rsid w:val="001102CE"/>
    <w:rsid w:val="001151FD"/>
    <w:rsid w:val="0011570D"/>
    <w:rsid w:val="00117893"/>
    <w:rsid w:val="0012026E"/>
    <w:rsid w:val="00120ABC"/>
    <w:rsid w:val="00120C85"/>
    <w:rsid w:val="00120D94"/>
    <w:rsid w:val="0012116D"/>
    <w:rsid w:val="0012165E"/>
    <w:rsid w:val="0012309E"/>
    <w:rsid w:val="00123A61"/>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2914"/>
    <w:rsid w:val="00143253"/>
    <w:rsid w:val="00145CD0"/>
    <w:rsid w:val="001509AE"/>
    <w:rsid w:val="00150C82"/>
    <w:rsid w:val="00151418"/>
    <w:rsid w:val="001603FD"/>
    <w:rsid w:val="00160672"/>
    <w:rsid w:val="00162868"/>
    <w:rsid w:val="0016404B"/>
    <w:rsid w:val="001654FE"/>
    <w:rsid w:val="00166A94"/>
    <w:rsid w:val="00170AE7"/>
    <w:rsid w:val="00171492"/>
    <w:rsid w:val="00173041"/>
    <w:rsid w:val="0017357C"/>
    <w:rsid w:val="00173ED5"/>
    <w:rsid w:val="00174833"/>
    <w:rsid w:val="00181C7E"/>
    <w:rsid w:val="00182947"/>
    <w:rsid w:val="00183C0A"/>
    <w:rsid w:val="001865FE"/>
    <w:rsid w:val="001915BF"/>
    <w:rsid w:val="00192933"/>
    <w:rsid w:val="00196BF2"/>
    <w:rsid w:val="001A1FEC"/>
    <w:rsid w:val="001A391D"/>
    <w:rsid w:val="001A3D86"/>
    <w:rsid w:val="001A55D2"/>
    <w:rsid w:val="001A63F3"/>
    <w:rsid w:val="001B0595"/>
    <w:rsid w:val="001B08EE"/>
    <w:rsid w:val="001B1076"/>
    <w:rsid w:val="001B1735"/>
    <w:rsid w:val="001B3581"/>
    <w:rsid w:val="001B488E"/>
    <w:rsid w:val="001B5209"/>
    <w:rsid w:val="001B57ED"/>
    <w:rsid w:val="001B5856"/>
    <w:rsid w:val="001B5E82"/>
    <w:rsid w:val="001B7F18"/>
    <w:rsid w:val="001C00CE"/>
    <w:rsid w:val="001C4EB1"/>
    <w:rsid w:val="001C6A34"/>
    <w:rsid w:val="001D145D"/>
    <w:rsid w:val="001D16FA"/>
    <w:rsid w:val="001D3289"/>
    <w:rsid w:val="001D3851"/>
    <w:rsid w:val="001D468C"/>
    <w:rsid w:val="001D72AF"/>
    <w:rsid w:val="001E02CD"/>
    <w:rsid w:val="001E1194"/>
    <w:rsid w:val="001E1E1B"/>
    <w:rsid w:val="001E3532"/>
    <w:rsid w:val="001E4A11"/>
    <w:rsid w:val="001E6283"/>
    <w:rsid w:val="001E7B39"/>
    <w:rsid w:val="001E7DA1"/>
    <w:rsid w:val="001F24A7"/>
    <w:rsid w:val="001F362A"/>
    <w:rsid w:val="001F71FF"/>
    <w:rsid w:val="001F7957"/>
    <w:rsid w:val="002002D2"/>
    <w:rsid w:val="00201D3F"/>
    <w:rsid w:val="00202101"/>
    <w:rsid w:val="00202EB3"/>
    <w:rsid w:val="00203C75"/>
    <w:rsid w:val="0021190D"/>
    <w:rsid w:val="002119CC"/>
    <w:rsid w:val="00213C9F"/>
    <w:rsid w:val="00215B54"/>
    <w:rsid w:val="00215D65"/>
    <w:rsid w:val="00215E4B"/>
    <w:rsid w:val="002200D9"/>
    <w:rsid w:val="00221D19"/>
    <w:rsid w:val="00222022"/>
    <w:rsid w:val="00224D1D"/>
    <w:rsid w:val="002250AF"/>
    <w:rsid w:val="002273D5"/>
    <w:rsid w:val="00227C4E"/>
    <w:rsid w:val="00232757"/>
    <w:rsid w:val="002342B5"/>
    <w:rsid w:val="00236AAE"/>
    <w:rsid w:val="00236C1E"/>
    <w:rsid w:val="00240CF7"/>
    <w:rsid w:val="002461E4"/>
    <w:rsid w:val="00246816"/>
    <w:rsid w:val="00246ACC"/>
    <w:rsid w:val="0024775C"/>
    <w:rsid w:val="00251C54"/>
    <w:rsid w:val="002539F2"/>
    <w:rsid w:val="00253AF6"/>
    <w:rsid w:val="00254918"/>
    <w:rsid w:val="00254B1E"/>
    <w:rsid w:val="00256261"/>
    <w:rsid w:val="0026017D"/>
    <w:rsid w:val="00261660"/>
    <w:rsid w:val="0026322A"/>
    <w:rsid w:val="002636E3"/>
    <w:rsid w:val="00263A0A"/>
    <w:rsid w:val="002644F2"/>
    <w:rsid w:val="00264C9C"/>
    <w:rsid w:val="00264FCE"/>
    <w:rsid w:val="00265119"/>
    <w:rsid w:val="00270BDE"/>
    <w:rsid w:val="002736F7"/>
    <w:rsid w:val="00273CD3"/>
    <w:rsid w:val="00273EB7"/>
    <w:rsid w:val="002756F3"/>
    <w:rsid w:val="00280F32"/>
    <w:rsid w:val="0028216E"/>
    <w:rsid w:val="00282C66"/>
    <w:rsid w:val="00285D5C"/>
    <w:rsid w:val="00286874"/>
    <w:rsid w:val="00287076"/>
    <w:rsid w:val="002877F1"/>
    <w:rsid w:val="0029155F"/>
    <w:rsid w:val="00291F3E"/>
    <w:rsid w:val="002923FF"/>
    <w:rsid w:val="002937AD"/>
    <w:rsid w:val="00293E90"/>
    <w:rsid w:val="00295859"/>
    <w:rsid w:val="00296224"/>
    <w:rsid w:val="00297236"/>
    <w:rsid w:val="002A1D57"/>
    <w:rsid w:val="002A3769"/>
    <w:rsid w:val="002A4EF0"/>
    <w:rsid w:val="002A72CB"/>
    <w:rsid w:val="002B1C82"/>
    <w:rsid w:val="002B251E"/>
    <w:rsid w:val="002B36DB"/>
    <w:rsid w:val="002B37BD"/>
    <w:rsid w:val="002B46EF"/>
    <w:rsid w:val="002B53BA"/>
    <w:rsid w:val="002B6860"/>
    <w:rsid w:val="002B6BA8"/>
    <w:rsid w:val="002B7094"/>
    <w:rsid w:val="002B764C"/>
    <w:rsid w:val="002B7843"/>
    <w:rsid w:val="002C27C7"/>
    <w:rsid w:val="002C49F8"/>
    <w:rsid w:val="002C59B6"/>
    <w:rsid w:val="002D0277"/>
    <w:rsid w:val="002D0819"/>
    <w:rsid w:val="002D323A"/>
    <w:rsid w:val="002D68C7"/>
    <w:rsid w:val="002D73C2"/>
    <w:rsid w:val="002E023F"/>
    <w:rsid w:val="002E1685"/>
    <w:rsid w:val="002E1725"/>
    <w:rsid w:val="002E37A2"/>
    <w:rsid w:val="002E4F4B"/>
    <w:rsid w:val="002E6878"/>
    <w:rsid w:val="002F0016"/>
    <w:rsid w:val="002F0203"/>
    <w:rsid w:val="002F3BB8"/>
    <w:rsid w:val="002F55D2"/>
    <w:rsid w:val="0030206E"/>
    <w:rsid w:val="00304FD8"/>
    <w:rsid w:val="00305111"/>
    <w:rsid w:val="00306D6D"/>
    <w:rsid w:val="00310F65"/>
    <w:rsid w:val="00311282"/>
    <w:rsid w:val="00316E08"/>
    <w:rsid w:val="0031763F"/>
    <w:rsid w:val="00320069"/>
    <w:rsid w:val="00320595"/>
    <w:rsid w:val="00320CCE"/>
    <w:rsid w:val="00321E90"/>
    <w:rsid w:val="00323B9A"/>
    <w:rsid w:val="0032459F"/>
    <w:rsid w:val="00326F5E"/>
    <w:rsid w:val="00332F69"/>
    <w:rsid w:val="00333E21"/>
    <w:rsid w:val="0033582F"/>
    <w:rsid w:val="00336851"/>
    <w:rsid w:val="003370EF"/>
    <w:rsid w:val="0033735B"/>
    <w:rsid w:val="003379A5"/>
    <w:rsid w:val="0034156F"/>
    <w:rsid w:val="00343483"/>
    <w:rsid w:val="0034756C"/>
    <w:rsid w:val="00347AE4"/>
    <w:rsid w:val="00347D10"/>
    <w:rsid w:val="003500ED"/>
    <w:rsid w:val="00350C25"/>
    <w:rsid w:val="00355A30"/>
    <w:rsid w:val="00356C2F"/>
    <w:rsid w:val="00357C3A"/>
    <w:rsid w:val="003625F3"/>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2B8B"/>
    <w:rsid w:val="003937E4"/>
    <w:rsid w:val="003A1AA1"/>
    <w:rsid w:val="003A1E68"/>
    <w:rsid w:val="003A3721"/>
    <w:rsid w:val="003A5565"/>
    <w:rsid w:val="003A6B7E"/>
    <w:rsid w:val="003A6B86"/>
    <w:rsid w:val="003A6F65"/>
    <w:rsid w:val="003A7AB3"/>
    <w:rsid w:val="003A7B39"/>
    <w:rsid w:val="003A7BD5"/>
    <w:rsid w:val="003B2CC7"/>
    <w:rsid w:val="003B76D5"/>
    <w:rsid w:val="003C05FF"/>
    <w:rsid w:val="003C0E2F"/>
    <w:rsid w:val="003C10D6"/>
    <w:rsid w:val="003C1C3A"/>
    <w:rsid w:val="003C6A87"/>
    <w:rsid w:val="003C6EF6"/>
    <w:rsid w:val="003C7783"/>
    <w:rsid w:val="003C7E3C"/>
    <w:rsid w:val="003D11FF"/>
    <w:rsid w:val="003D168D"/>
    <w:rsid w:val="003E048F"/>
    <w:rsid w:val="003E0B32"/>
    <w:rsid w:val="003E140A"/>
    <w:rsid w:val="003E20B0"/>
    <w:rsid w:val="003E2453"/>
    <w:rsid w:val="003E3EC5"/>
    <w:rsid w:val="003E5417"/>
    <w:rsid w:val="003E588B"/>
    <w:rsid w:val="003E5DC6"/>
    <w:rsid w:val="003F039B"/>
    <w:rsid w:val="003F0C64"/>
    <w:rsid w:val="003F0D21"/>
    <w:rsid w:val="003F28F0"/>
    <w:rsid w:val="003F3F87"/>
    <w:rsid w:val="003F4CE3"/>
    <w:rsid w:val="003F6444"/>
    <w:rsid w:val="003F67A4"/>
    <w:rsid w:val="003F6884"/>
    <w:rsid w:val="003F6AB7"/>
    <w:rsid w:val="003F6ABF"/>
    <w:rsid w:val="003F739D"/>
    <w:rsid w:val="0040174A"/>
    <w:rsid w:val="00401C65"/>
    <w:rsid w:val="004038E3"/>
    <w:rsid w:val="004055E8"/>
    <w:rsid w:val="0040658D"/>
    <w:rsid w:val="00407999"/>
    <w:rsid w:val="00411D8B"/>
    <w:rsid w:val="0041207D"/>
    <w:rsid w:val="00413FD2"/>
    <w:rsid w:val="00415FEA"/>
    <w:rsid w:val="00422103"/>
    <w:rsid w:val="00422A63"/>
    <w:rsid w:val="00423028"/>
    <w:rsid w:val="00423BC0"/>
    <w:rsid w:val="00424454"/>
    <w:rsid w:val="00424AFA"/>
    <w:rsid w:val="00424F2D"/>
    <w:rsid w:val="004256FD"/>
    <w:rsid w:val="00425E0E"/>
    <w:rsid w:val="00426E70"/>
    <w:rsid w:val="00431F1F"/>
    <w:rsid w:val="00431F50"/>
    <w:rsid w:val="0043331E"/>
    <w:rsid w:val="004335B5"/>
    <w:rsid w:val="004339BF"/>
    <w:rsid w:val="00434CFC"/>
    <w:rsid w:val="00435964"/>
    <w:rsid w:val="004364A0"/>
    <w:rsid w:val="00437935"/>
    <w:rsid w:val="00441635"/>
    <w:rsid w:val="004422BD"/>
    <w:rsid w:val="00442BC8"/>
    <w:rsid w:val="00445571"/>
    <w:rsid w:val="00446462"/>
    <w:rsid w:val="0045074C"/>
    <w:rsid w:val="004507DF"/>
    <w:rsid w:val="00451623"/>
    <w:rsid w:val="00451956"/>
    <w:rsid w:val="0045245A"/>
    <w:rsid w:val="00455DFC"/>
    <w:rsid w:val="00457AAF"/>
    <w:rsid w:val="00460A28"/>
    <w:rsid w:val="00460B23"/>
    <w:rsid w:val="00462A70"/>
    <w:rsid w:val="00462EB5"/>
    <w:rsid w:val="00470537"/>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B4C"/>
    <w:rsid w:val="00493E7A"/>
    <w:rsid w:val="00495D8A"/>
    <w:rsid w:val="0049697C"/>
    <w:rsid w:val="00496C58"/>
    <w:rsid w:val="004A1928"/>
    <w:rsid w:val="004A1D5D"/>
    <w:rsid w:val="004A2E61"/>
    <w:rsid w:val="004A2EF6"/>
    <w:rsid w:val="004A4F1C"/>
    <w:rsid w:val="004A5D3E"/>
    <w:rsid w:val="004A7067"/>
    <w:rsid w:val="004B0B03"/>
    <w:rsid w:val="004B2975"/>
    <w:rsid w:val="004B3675"/>
    <w:rsid w:val="004B3910"/>
    <w:rsid w:val="004B4C0D"/>
    <w:rsid w:val="004B5248"/>
    <w:rsid w:val="004B6036"/>
    <w:rsid w:val="004B6B3A"/>
    <w:rsid w:val="004B719F"/>
    <w:rsid w:val="004B732B"/>
    <w:rsid w:val="004C260D"/>
    <w:rsid w:val="004C44CB"/>
    <w:rsid w:val="004C4516"/>
    <w:rsid w:val="004C63DF"/>
    <w:rsid w:val="004C7E40"/>
    <w:rsid w:val="004D070D"/>
    <w:rsid w:val="004D1074"/>
    <w:rsid w:val="004D125E"/>
    <w:rsid w:val="004D1C4D"/>
    <w:rsid w:val="004D2F41"/>
    <w:rsid w:val="004D3EF9"/>
    <w:rsid w:val="004D489D"/>
    <w:rsid w:val="004D6001"/>
    <w:rsid w:val="004E3AFC"/>
    <w:rsid w:val="004E6740"/>
    <w:rsid w:val="004F38DE"/>
    <w:rsid w:val="004F3CD9"/>
    <w:rsid w:val="004F3F53"/>
    <w:rsid w:val="004F4707"/>
    <w:rsid w:val="004F5996"/>
    <w:rsid w:val="004F7AE7"/>
    <w:rsid w:val="0050051D"/>
    <w:rsid w:val="00500BA3"/>
    <w:rsid w:val="005020C8"/>
    <w:rsid w:val="005041F6"/>
    <w:rsid w:val="00506C39"/>
    <w:rsid w:val="00507D13"/>
    <w:rsid w:val="005117AD"/>
    <w:rsid w:val="00512669"/>
    <w:rsid w:val="00513BE9"/>
    <w:rsid w:val="00514EAA"/>
    <w:rsid w:val="0051683F"/>
    <w:rsid w:val="0051784F"/>
    <w:rsid w:val="00520DF1"/>
    <w:rsid w:val="005232DD"/>
    <w:rsid w:val="0052576E"/>
    <w:rsid w:val="005277D0"/>
    <w:rsid w:val="00530D57"/>
    <w:rsid w:val="00532DF4"/>
    <w:rsid w:val="00533371"/>
    <w:rsid w:val="005333BC"/>
    <w:rsid w:val="0053490F"/>
    <w:rsid w:val="00534A39"/>
    <w:rsid w:val="00535E4C"/>
    <w:rsid w:val="00536584"/>
    <w:rsid w:val="00536D9C"/>
    <w:rsid w:val="00537ED8"/>
    <w:rsid w:val="00541C47"/>
    <w:rsid w:val="0054314D"/>
    <w:rsid w:val="005442AF"/>
    <w:rsid w:val="00544992"/>
    <w:rsid w:val="00544D41"/>
    <w:rsid w:val="0055115B"/>
    <w:rsid w:val="00551B92"/>
    <w:rsid w:val="00552AC8"/>
    <w:rsid w:val="00553E3E"/>
    <w:rsid w:val="00554372"/>
    <w:rsid w:val="0055481D"/>
    <w:rsid w:val="00557A45"/>
    <w:rsid w:val="00557D9C"/>
    <w:rsid w:val="005610E3"/>
    <w:rsid w:val="00561DCF"/>
    <w:rsid w:val="00562E7B"/>
    <w:rsid w:val="00563D96"/>
    <w:rsid w:val="0056420A"/>
    <w:rsid w:val="005655EC"/>
    <w:rsid w:val="00566156"/>
    <w:rsid w:val="005669A3"/>
    <w:rsid w:val="00567B32"/>
    <w:rsid w:val="00570B36"/>
    <w:rsid w:val="00570EB1"/>
    <w:rsid w:val="00571155"/>
    <w:rsid w:val="00572AB5"/>
    <w:rsid w:val="00574FB7"/>
    <w:rsid w:val="00580637"/>
    <w:rsid w:val="00581412"/>
    <w:rsid w:val="00582AD1"/>
    <w:rsid w:val="00582B9C"/>
    <w:rsid w:val="00582BD9"/>
    <w:rsid w:val="00583768"/>
    <w:rsid w:val="00583BCC"/>
    <w:rsid w:val="0058464F"/>
    <w:rsid w:val="00585296"/>
    <w:rsid w:val="00585D12"/>
    <w:rsid w:val="00592D0D"/>
    <w:rsid w:val="00592E0B"/>
    <w:rsid w:val="00595671"/>
    <w:rsid w:val="005A129B"/>
    <w:rsid w:val="005A3510"/>
    <w:rsid w:val="005A4280"/>
    <w:rsid w:val="005A72D6"/>
    <w:rsid w:val="005B1A6E"/>
    <w:rsid w:val="005B3043"/>
    <w:rsid w:val="005B6D0B"/>
    <w:rsid w:val="005C0E72"/>
    <w:rsid w:val="005C10D6"/>
    <w:rsid w:val="005C25B3"/>
    <w:rsid w:val="005C460F"/>
    <w:rsid w:val="005C588B"/>
    <w:rsid w:val="005C6A71"/>
    <w:rsid w:val="005C6C16"/>
    <w:rsid w:val="005C6D81"/>
    <w:rsid w:val="005D01C0"/>
    <w:rsid w:val="005D155D"/>
    <w:rsid w:val="005D1B01"/>
    <w:rsid w:val="005D4C3B"/>
    <w:rsid w:val="005D624D"/>
    <w:rsid w:val="005E24A2"/>
    <w:rsid w:val="005E2E8F"/>
    <w:rsid w:val="005E2F15"/>
    <w:rsid w:val="005E3116"/>
    <w:rsid w:val="005E4D8E"/>
    <w:rsid w:val="005E520A"/>
    <w:rsid w:val="005E6B2E"/>
    <w:rsid w:val="005E7567"/>
    <w:rsid w:val="005F07A2"/>
    <w:rsid w:val="005F148C"/>
    <w:rsid w:val="005F350E"/>
    <w:rsid w:val="005F4F9C"/>
    <w:rsid w:val="005F5924"/>
    <w:rsid w:val="005F6495"/>
    <w:rsid w:val="0060053B"/>
    <w:rsid w:val="006013FA"/>
    <w:rsid w:val="00601958"/>
    <w:rsid w:val="0060233D"/>
    <w:rsid w:val="0061066F"/>
    <w:rsid w:val="0061176B"/>
    <w:rsid w:val="006122D3"/>
    <w:rsid w:val="006130E6"/>
    <w:rsid w:val="00613D59"/>
    <w:rsid w:val="0061632E"/>
    <w:rsid w:val="00616B93"/>
    <w:rsid w:val="006209F9"/>
    <w:rsid w:val="006210CD"/>
    <w:rsid w:val="006210DA"/>
    <w:rsid w:val="00621368"/>
    <w:rsid w:val="00621BB4"/>
    <w:rsid w:val="00621C55"/>
    <w:rsid w:val="006264E7"/>
    <w:rsid w:val="00627437"/>
    <w:rsid w:val="00627B48"/>
    <w:rsid w:val="00627B93"/>
    <w:rsid w:val="0063077A"/>
    <w:rsid w:val="00630989"/>
    <w:rsid w:val="0063172F"/>
    <w:rsid w:val="00633AF7"/>
    <w:rsid w:val="00642E8D"/>
    <w:rsid w:val="00643E18"/>
    <w:rsid w:val="0064499F"/>
    <w:rsid w:val="00646714"/>
    <w:rsid w:val="00646EA5"/>
    <w:rsid w:val="0064785C"/>
    <w:rsid w:val="00651CCC"/>
    <w:rsid w:val="00652403"/>
    <w:rsid w:val="006540A3"/>
    <w:rsid w:val="006546B3"/>
    <w:rsid w:val="00657AED"/>
    <w:rsid w:val="00657F75"/>
    <w:rsid w:val="00662104"/>
    <w:rsid w:val="0066281A"/>
    <w:rsid w:val="006631FC"/>
    <w:rsid w:val="006650E4"/>
    <w:rsid w:val="006665C9"/>
    <w:rsid w:val="00666670"/>
    <w:rsid w:val="00667475"/>
    <w:rsid w:val="0066760A"/>
    <w:rsid w:val="006726C0"/>
    <w:rsid w:val="00672CAA"/>
    <w:rsid w:val="006739C0"/>
    <w:rsid w:val="00673A78"/>
    <w:rsid w:val="0067500C"/>
    <w:rsid w:val="00675163"/>
    <w:rsid w:val="00675771"/>
    <w:rsid w:val="00675E71"/>
    <w:rsid w:val="00677546"/>
    <w:rsid w:val="0067784C"/>
    <w:rsid w:val="00681A9F"/>
    <w:rsid w:val="00683062"/>
    <w:rsid w:val="0068381B"/>
    <w:rsid w:val="00683D30"/>
    <w:rsid w:val="0068424A"/>
    <w:rsid w:val="00686B0B"/>
    <w:rsid w:val="006873C4"/>
    <w:rsid w:val="00687677"/>
    <w:rsid w:val="00690978"/>
    <w:rsid w:val="00691070"/>
    <w:rsid w:val="00692ABA"/>
    <w:rsid w:val="00697B74"/>
    <w:rsid w:val="006A0FD2"/>
    <w:rsid w:val="006A154D"/>
    <w:rsid w:val="006A2D97"/>
    <w:rsid w:val="006A4CD1"/>
    <w:rsid w:val="006A592E"/>
    <w:rsid w:val="006A6221"/>
    <w:rsid w:val="006A7988"/>
    <w:rsid w:val="006B0D19"/>
    <w:rsid w:val="006B0DE8"/>
    <w:rsid w:val="006B14AF"/>
    <w:rsid w:val="006B31A6"/>
    <w:rsid w:val="006B356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48E1"/>
    <w:rsid w:val="006E5441"/>
    <w:rsid w:val="006E64F6"/>
    <w:rsid w:val="006E7ACE"/>
    <w:rsid w:val="006F26A9"/>
    <w:rsid w:val="006F2E78"/>
    <w:rsid w:val="006F3859"/>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58DD"/>
    <w:rsid w:val="00740B03"/>
    <w:rsid w:val="00740C88"/>
    <w:rsid w:val="007423A7"/>
    <w:rsid w:val="007428EC"/>
    <w:rsid w:val="00744995"/>
    <w:rsid w:val="00746E60"/>
    <w:rsid w:val="00751C34"/>
    <w:rsid w:val="00751FF2"/>
    <w:rsid w:val="00752B7F"/>
    <w:rsid w:val="007544EA"/>
    <w:rsid w:val="007552F4"/>
    <w:rsid w:val="0075604A"/>
    <w:rsid w:val="007560E1"/>
    <w:rsid w:val="00760C2F"/>
    <w:rsid w:val="00762126"/>
    <w:rsid w:val="007636EA"/>
    <w:rsid w:val="00764224"/>
    <w:rsid w:val="00772BE9"/>
    <w:rsid w:val="007756E7"/>
    <w:rsid w:val="007758C6"/>
    <w:rsid w:val="00780B55"/>
    <w:rsid w:val="00780B9D"/>
    <w:rsid w:val="00782FE5"/>
    <w:rsid w:val="00783437"/>
    <w:rsid w:val="007870A2"/>
    <w:rsid w:val="0078735E"/>
    <w:rsid w:val="00787A33"/>
    <w:rsid w:val="00787FAD"/>
    <w:rsid w:val="00790D3A"/>
    <w:rsid w:val="00792041"/>
    <w:rsid w:val="00792BDF"/>
    <w:rsid w:val="00794B56"/>
    <w:rsid w:val="00796488"/>
    <w:rsid w:val="007A0A65"/>
    <w:rsid w:val="007A0A6D"/>
    <w:rsid w:val="007A1C38"/>
    <w:rsid w:val="007A443C"/>
    <w:rsid w:val="007A4FFC"/>
    <w:rsid w:val="007A6518"/>
    <w:rsid w:val="007A67AA"/>
    <w:rsid w:val="007A73ED"/>
    <w:rsid w:val="007B133A"/>
    <w:rsid w:val="007B3649"/>
    <w:rsid w:val="007B364C"/>
    <w:rsid w:val="007B37EC"/>
    <w:rsid w:val="007B7C58"/>
    <w:rsid w:val="007C2070"/>
    <w:rsid w:val="007C23E7"/>
    <w:rsid w:val="007C4D82"/>
    <w:rsid w:val="007C54D6"/>
    <w:rsid w:val="007C56EC"/>
    <w:rsid w:val="007C5D4E"/>
    <w:rsid w:val="007C6890"/>
    <w:rsid w:val="007C79C8"/>
    <w:rsid w:val="007D1C88"/>
    <w:rsid w:val="007D35F7"/>
    <w:rsid w:val="007D3848"/>
    <w:rsid w:val="007D4341"/>
    <w:rsid w:val="007D5531"/>
    <w:rsid w:val="007D55A4"/>
    <w:rsid w:val="007D6086"/>
    <w:rsid w:val="007E20D5"/>
    <w:rsid w:val="007E2F41"/>
    <w:rsid w:val="007E577D"/>
    <w:rsid w:val="007E7DE5"/>
    <w:rsid w:val="007F0B00"/>
    <w:rsid w:val="007F178A"/>
    <w:rsid w:val="007F32EA"/>
    <w:rsid w:val="007F3C6F"/>
    <w:rsid w:val="007F41D9"/>
    <w:rsid w:val="007F50B7"/>
    <w:rsid w:val="007F597C"/>
    <w:rsid w:val="007F62A7"/>
    <w:rsid w:val="008022AE"/>
    <w:rsid w:val="00803D62"/>
    <w:rsid w:val="00815AEA"/>
    <w:rsid w:val="0081692E"/>
    <w:rsid w:val="008169BC"/>
    <w:rsid w:val="00816A52"/>
    <w:rsid w:val="008175FF"/>
    <w:rsid w:val="0081767A"/>
    <w:rsid w:val="0082258A"/>
    <w:rsid w:val="00822FB7"/>
    <w:rsid w:val="00823136"/>
    <w:rsid w:val="008234B4"/>
    <w:rsid w:val="0082487B"/>
    <w:rsid w:val="00826C07"/>
    <w:rsid w:val="008271A7"/>
    <w:rsid w:val="008272F8"/>
    <w:rsid w:val="00827EB0"/>
    <w:rsid w:val="008305A6"/>
    <w:rsid w:val="00831D70"/>
    <w:rsid w:val="00834948"/>
    <w:rsid w:val="00834EDF"/>
    <w:rsid w:val="00835284"/>
    <w:rsid w:val="00835B86"/>
    <w:rsid w:val="0084259C"/>
    <w:rsid w:val="00842C6B"/>
    <w:rsid w:val="0084499C"/>
    <w:rsid w:val="008503BC"/>
    <w:rsid w:val="0085127F"/>
    <w:rsid w:val="00851600"/>
    <w:rsid w:val="00851A33"/>
    <w:rsid w:val="008524D1"/>
    <w:rsid w:val="008530B3"/>
    <w:rsid w:val="008545CD"/>
    <w:rsid w:val="008548F1"/>
    <w:rsid w:val="008560B9"/>
    <w:rsid w:val="00856837"/>
    <w:rsid w:val="008570FF"/>
    <w:rsid w:val="00857D9A"/>
    <w:rsid w:val="0086205A"/>
    <w:rsid w:val="008640DF"/>
    <w:rsid w:val="00864E8F"/>
    <w:rsid w:val="0086649D"/>
    <w:rsid w:val="008700AB"/>
    <w:rsid w:val="008701F6"/>
    <w:rsid w:val="0087390A"/>
    <w:rsid w:val="00873922"/>
    <w:rsid w:val="0087472B"/>
    <w:rsid w:val="00874C57"/>
    <w:rsid w:val="00874D48"/>
    <w:rsid w:val="00880B92"/>
    <w:rsid w:val="00881A20"/>
    <w:rsid w:val="00882276"/>
    <w:rsid w:val="0088313A"/>
    <w:rsid w:val="008834C3"/>
    <w:rsid w:val="00883702"/>
    <w:rsid w:val="00883A3D"/>
    <w:rsid w:val="00885E22"/>
    <w:rsid w:val="00887AEE"/>
    <w:rsid w:val="00887F80"/>
    <w:rsid w:val="00891290"/>
    <w:rsid w:val="00891D53"/>
    <w:rsid w:val="0089210B"/>
    <w:rsid w:val="00892F45"/>
    <w:rsid w:val="00894421"/>
    <w:rsid w:val="00897014"/>
    <w:rsid w:val="008978AD"/>
    <w:rsid w:val="00897CAC"/>
    <w:rsid w:val="008A07B2"/>
    <w:rsid w:val="008A1C35"/>
    <w:rsid w:val="008A1D62"/>
    <w:rsid w:val="008A26E6"/>
    <w:rsid w:val="008A37CD"/>
    <w:rsid w:val="008A3FE3"/>
    <w:rsid w:val="008A7DD9"/>
    <w:rsid w:val="008A7E4D"/>
    <w:rsid w:val="008B1940"/>
    <w:rsid w:val="008B332B"/>
    <w:rsid w:val="008B44B1"/>
    <w:rsid w:val="008C076C"/>
    <w:rsid w:val="008C0B7B"/>
    <w:rsid w:val="008C2292"/>
    <w:rsid w:val="008C31FF"/>
    <w:rsid w:val="008C3669"/>
    <w:rsid w:val="008C5C2F"/>
    <w:rsid w:val="008C6F0A"/>
    <w:rsid w:val="008C7016"/>
    <w:rsid w:val="008D2AD8"/>
    <w:rsid w:val="008D2D58"/>
    <w:rsid w:val="008D3233"/>
    <w:rsid w:val="008D6119"/>
    <w:rsid w:val="008D6329"/>
    <w:rsid w:val="008D6D92"/>
    <w:rsid w:val="008E03F2"/>
    <w:rsid w:val="008E180B"/>
    <w:rsid w:val="008E3FB0"/>
    <w:rsid w:val="008E5F3F"/>
    <w:rsid w:val="008F060F"/>
    <w:rsid w:val="008F3395"/>
    <w:rsid w:val="008F3733"/>
    <w:rsid w:val="008F5CCC"/>
    <w:rsid w:val="008F5F96"/>
    <w:rsid w:val="0090026E"/>
    <w:rsid w:val="00910BD5"/>
    <w:rsid w:val="00910CA5"/>
    <w:rsid w:val="00911D7F"/>
    <w:rsid w:val="00911F28"/>
    <w:rsid w:val="00912893"/>
    <w:rsid w:val="009135EB"/>
    <w:rsid w:val="0091456A"/>
    <w:rsid w:val="00917D1F"/>
    <w:rsid w:val="00920BB5"/>
    <w:rsid w:val="00921BC4"/>
    <w:rsid w:val="00922D67"/>
    <w:rsid w:val="009230EA"/>
    <w:rsid w:val="00923504"/>
    <w:rsid w:val="0092577F"/>
    <w:rsid w:val="009305A1"/>
    <w:rsid w:val="009309E4"/>
    <w:rsid w:val="0093195B"/>
    <w:rsid w:val="009329B2"/>
    <w:rsid w:val="0093371B"/>
    <w:rsid w:val="00933B15"/>
    <w:rsid w:val="00934498"/>
    <w:rsid w:val="00935139"/>
    <w:rsid w:val="00936BD4"/>
    <w:rsid w:val="0094013C"/>
    <w:rsid w:val="00941096"/>
    <w:rsid w:val="009420A3"/>
    <w:rsid w:val="00942435"/>
    <w:rsid w:val="009447B7"/>
    <w:rsid w:val="00944B6F"/>
    <w:rsid w:val="00947B05"/>
    <w:rsid w:val="00947C60"/>
    <w:rsid w:val="009521B8"/>
    <w:rsid w:val="00954E17"/>
    <w:rsid w:val="00956E1C"/>
    <w:rsid w:val="0096359A"/>
    <w:rsid w:val="009653FF"/>
    <w:rsid w:val="00965FBA"/>
    <w:rsid w:val="00966F9A"/>
    <w:rsid w:val="00972DFE"/>
    <w:rsid w:val="0097543B"/>
    <w:rsid w:val="00975B0D"/>
    <w:rsid w:val="00975D32"/>
    <w:rsid w:val="00976488"/>
    <w:rsid w:val="00977ED1"/>
    <w:rsid w:val="0098006B"/>
    <w:rsid w:val="00980C2F"/>
    <w:rsid w:val="0098127F"/>
    <w:rsid w:val="00982701"/>
    <w:rsid w:val="00982CC9"/>
    <w:rsid w:val="00983149"/>
    <w:rsid w:val="00985BF5"/>
    <w:rsid w:val="00987ED0"/>
    <w:rsid w:val="009903A8"/>
    <w:rsid w:val="00991B5F"/>
    <w:rsid w:val="00995E4A"/>
    <w:rsid w:val="009972CD"/>
    <w:rsid w:val="009A1C29"/>
    <w:rsid w:val="009A253B"/>
    <w:rsid w:val="009A7BF0"/>
    <w:rsid w:val="009B053D"/>
    <w:rsid w:val="009B564E"/>
    <w:rsid w:val="009B5A8B"/>
    <w:rsid w:val="009C1057"/>
    <w:rsid w:val="009C2184"/>
    <w:rsid w:val="009C3210"/>
    <w:rsid w:val="009C6325"/>
    <w:rsid w:val="009C6DDE"/>
    <w:rsid w:val="009D0264"/>
    <w:rsid w:val="009D11C1"/>
    <w:rsid w:val="009D34C3"/>
    <w:rsid w:val="009D43D7"/>
    <w:rsid w:val="009D45E7"/>
    <w:rsid w:val="009D4B8A"/>
    <w:rsid w:val="009D5DB6"/>
    <w:rsid w:val="009D745B"/>
    <w:rsid w:val="009E010E"/>
    <w:rsid w:val="009E04BF"/>
    <w:rsid w:val="009E20FE"/>
    <w:rsid w:val="009E54F8"/>
    <w:rsid w:val="009E59A4"/>
    <w:rsid w:val="009E6B3C"/>
    <w:rsid w:val="009F0669"/>
    <w:rsid w:val="009F4074"/>
    <w:rsid w:val="00A02CEC"/>
    <w:rsid w:val="00A02D6D"/>
    <w:rsid w:val="00A0482B"/>
    <w:rsid w:val="00A05EBB"/>
    <w:rsid w:val="00A06F03"/>
    <w:rsid w:val="00A1247B"/>
    <w:rsid w:val="00A15012"/>
    <w:rsid w:val="00A15290"/>
    <w:rsid w:val="00A154D9"/>
    <w:rsid w:val="00A161C6"/>
    <w:rsid w:val="00A20751"/>
    <w:rsid w:val="00A22983"/>
    <w:rsid w:val="00A23088"/>
    <w:rsid w:val="00A23EA7"/>
    <w:rsid w:val="00A2497D"/>
    <w:rsid w:val="00A25599"/>
    <w:rsid w:val="00A260D9"/>
    <w:rsid w:val="00A279CF"/>
    <w:rsid w:val="00A27DBD"/>
    <w:rsid w:val="00A315E3"/>
    <w:rsid w:val="00A35725"/>
    <w:rsid w:val="00A3696A"/>
    <w:rsid w:val="00A36ABC"/>
    <w:rsid w:val="00A37EEF"/>
    <w:rsid w:val="00A37F33"/>
    <w:rsid w:val="00A40744"/>
    <w:rsid w:val="00A41AB6"/>
    <w:rsid w:val="00A424E2"/>
    <w:rsid w:val="00A430E4"/>
    <w:rsid w:val="00A43B8B"/>
    <w:rsid w:val="00A4467D"/>
    <w:rsid w:val="00A51AE1"/>
    <w:rsid w:val="00A55072"/>
    <w:rsid w:val="00A5585C"/>
    <w:rsid w:val="00A62379"/>
    <w:rsid w:val="00A624F9"/>
    <w:rsid w:val="00A6263A"/>
    <w:rsid w:val="00A634F4"/>
    <w:rsid w:val="00A64BCC"/>
    <w:rsid w:val="00A65183"/>
    <w:rsid w:val="00A657BD"/>
    <w:rsid w:val="00A65B52"/>
    <w:rsid w:val="00A6607E"/>
    <w:rsid w:val="00A661B0"/>
    <w:rsid w:val="00A66A0F"/>
    <w:rsid w:val="00A66FE9"/>
    <w:rsid w:val="00A70F11"/>
    <w:rsid w:val="00A73CD7"/>
    <w:rsid w:val="00A74538"/>
    <w:rsid w:val="00A76CA7"/>
    <w:rsid w:val="00A77811"/>
    <w:rsid w:val="00A81462"/>
    <w:rsid w:val="00A81EAD"/>
    <w:rsid w:val="00A82807"/>
    <w:rsid w:val="00A82DEB"/>
    <w:rsid w:val="00A835AA"/>
    <w:rsid w:val="00A84555"/>
    <w:rsid w:val="00A84881"/>
    <w:rsid w:val="00A9079B"/>
    <w:rsid w:val="00A92CDA"/>
    <w:rsid w:val="00A9328C"/>
    <w:rsid w:val="00A93982"/>
    <w:rsid w:val="00A958A9"/>
    <w:rsid w:val="00A9717A"/>
    <w:rsid w:val="00AA1E58"/>
    <w:rsid w:val="00AA1FE5"/>
    <w:rsid w:val="00AA4137"/>
    <w:rsid w:val="00AA4331"/>
    <w:rsid w:val="00AA5942"/>
    <w:rsid w:val="00AA6516"/>
    <w:rsid w:val="00AA6852"/>
    <w:rsid w:val="00AB02B7"/>
    <w:rsid w:val="00AB0F12"/>
    <w:rsid w:val="00AB1459"/>
    <w:rsid w:val="00AB2B04"/>
    <w:rsid w:val="00AB3DEA"/>
    <w:rsid w:val="00AB43BC"/>
    <w:rsid w:val="00AB7928"/>
    <w:rsid w:val="00AC30CA"/>
    <w:rsid w:val="00AC409D"/>
    <w:rsid w:val="00AC5A11"/>
    <w:rsid w:val="00AC7946"/>
    <w:rsid w:val="00AD2C53"/>
    <w:rsid w:val="00AD48A7"/>
    <w:rsid w:val="00AD58F0"/>
    <w:rsid w:val="00AD5A7E"/>
    <w:rsid w:val="00AE4413"/>
    <w:rsid w:val="00AE49EE"/>
    <w:rsid w:val="00AF274C"/>
    <w:rsid w:val="00AF32F1"/>
    <w:rsid w:val="00AF4BBB"/>
    <w:rsid w:val="00AF5E7A"/>
    <w:rsid w:val="00AF6E24"/>
    <w:rsid w:val="00B01277"/>
    <w:rsid w:val="00B01572"/>
    <w:rsid w:val="00B02321"/>
    <w:rsid w:val="00B049DD"/>
    <w:rsid w:val="00B04AA2"/>
    <w:rsid w:val="00B05673"/>
    <w:rsid w:val="00B10AAA"/>
    <w:rsid w:val="00B10F53"/>
    <w:rsid w:val="00B1129F"/>
    <w:rsid w:val="00B11FA7"/>
    <w:rsid w:val="00B13967"/>
    <w:rsid w:val="00B1474E"/>
    <w:rsid w:val="00B16631"/>
    <w:rsid w:val="00B209AF"/>
    <w:rsid w:val="00B210C1"/>
    <w:rsid w:val="00B23B8D"/>
    <w:rsid w:val="00B24C4C"/>
    <w:rsid w:val="00B27730"/>
    <w:rsid w:val="00B279E1"/>
    <w:rsid w:val="00B27D19"/>
    <w:rsid w:val="00B31D73"/>
    <w:rsid w:val="00B33139"/>
    <w:rsid w:val="00B33DC1"/>
    <w:rsid w:val="00B34987"/>
    <w:rsid w:val="00B36366"/>
    <w:rsid w:val="00B36C61"/>
    <w:rsid w:val="00B3731B"/>
    <w:rsid w:val="00B376BF"/>
    <w:rsid w:val="00B463B6"/>
    <w:rsid w:val="00B53BD6"/>
    <w:rsid w:val="00B542E1"/>
    <w:rsid w:val="00B5636E"/>
    <w:rsid w:val="00B56B44"/>
    <w:rsid w:val="00B60FB4"/>
    <w:rsid w:val="00B62CCA"/>
    <w:rsid w:val="00B62FBD"/>
    <w:rsid w:val="00B62FCE"/>
    <w:rsid w:val="00B65FB6"/>
    <w:rsid w:val="00B65FF1"/>
    <w:rsid w:val="00B6601C"/>
    <w:rsid w:val="00B6655C"/>
    <w:rsid w:val="00B6673F"/>
    <w:rsid w:val="00B72939"/>
    <w:rsid w:val="00B73B76"/>
    <w:rsid w:val="00B73D20"/>
    <w:rsid w:val="00B74B16"/>
    <w:rsid w:val="00B74E26"/>
    <w:rsid w:val="00B76CD6"/>
    <w:rsid w:val="00B84622"/>
    <w:rsid w:val="00B84679"/>
    <w:rsid w:val="00B84970"/>
    <w:rsid w:val="00B85AF4"/>
    <w:rsid w:val="00B92D40"/>
    <w:rsid w:val="00B92DB9"/>
    <w:rsid w:val="00B9301D"/>
    <w:rsid w:val="00B933ED"/>
    <w:rsid w:val="00B93896"/>
    <w:rsid w:val="00B95087"/>
    <w:rsid w:val="00B956AB"/>
    <w:rsid w:val="00B95C2B"/>
    <w:rsid w:val="00B964FA"/>
    <w:rsid w:val="00BA1583"/>
    <w:rsid w:val="00BA22B0"/>
    <w:rsid w:val="00BA22F5"/>
    <w:rsid w:val="00BA316E"/>
    <w:rsid w:val="00BA3208"/>
    <w:rsid w:val="00BA3876"/>
    <w:rsid w:val="00BA5538"/>
    <w:rsid w:val="00BA6E28"/>
    <w:rsid w:val="00BB1C44"/>
    <w:rsid w:val="00BB5096"/>
    <w:rsid w:val="00BB575C"/>
    <w:rsid w:val="00BC315E"/>
    <w:rsid w:val="00BC648F"/>
    <w:rsid w:val="00BC752C"/>
    <w:rsid w:val="00BE111F"/>
    <w:rsid w:val="00BE1546"/>
    <w:rsid w:val="00BE21CA"/>
    <w:rsid w:val="00BE2D8D"/>
    <w:rsid w:val="00BE55BE"/>
    <w:rsid w:val="00BE5B9E"/>
    <w:rsid w:val="00BE6ADE"/>
    <w:rsid w:val="00BE725B"/>
    <w:rsid w:val="00BE7A84"/>
    <w:rsid w:val="00BF07F1"/>
    <w:rsid w:val="00BF0EEA"/>
    <w:rsid w:val="00BF130D"/>
    <w:rsid w:val="00BF2E1E"/>
    <w:rsid w:val="00BF4DDB"/>
    <w:rsid w:val="00BF6085"/>
    <w:rsid w:val="00C0057F"/>
    <w:rsid w:val="00C03F98"/>
    <w:rsid w:val="00C03FFB"/>
    <w:rsid w:val="00C04743"/>
    <w:rsid w:val="00C05AFB"/>
    <w:rsid w:val="00C07163"/>
    <w:rsid w:val="00C102E0"/>
    <w:rsid w:val="00C1614B"/>
    <w:rsid w:val="00C162BA"/>
    <w:rsid w:val="00C17828"/>
    <w:rsid w:val="00C22ECD"/>
    <w:rsid w:val="00C2553F"/>
    <w:rsid w:val="00C275F1"/>
    <w:rsid w:val="00C31717"/>
    <w:rsid w:val="00C332AC"/>
    <w:rsid w:val="00C35B46"/>
    <w:rsid w:val="00C37062"/>
    <w:rsid w:val="00C377D7"/>
    <w:rsid w:val="00C37820"/>
    <w:rsid w:val="00C40974"/>
    <w:rsid w:val="00C4399B"/>
    <w:rsid w:val="00C43C68"/>
    <w:rsid w:val="00C43EC0"/>
    <w:rsid w:val="00C44094"/>
    <w:rsid w:val="00C440F6"/>
    <w:rsid w:val="00C51AD1"/>
    <w:rsid w:val="00C53708"/>
    <w:rsid w:val="00C57096"/>
    <w:rsid w:val="00C570B4"/>
    <w:rsid w:val="00C57943"/>
    <w:rsid w:val="00C57E77"/>
    <w:rsid w:val="00C60B7E"/>
    <w:rsid w:val="00C6491B"/>
    <w:rsid w:val="00C664A6"/>
    <w:rsid w:val="00C66721"/>
    <w:rsid w:val="00C6746A"/>
    <w:rsid w:val="00C70886"/>
    <w:rsid w:val="00C71831"/>
    <w:rsid w:val="00C723FB"/>
    <w:rsid w:val="00C72D4D"/>
    <w:rsid w:val="00C73327"/>
    <w:rsid w:val="00C73C52"/>
    <w:rsid w:val="00C73EFD"/>
    <w:rsid w:val="00C74068"/>
    <w:rsid w:val="00C746B5"/>
    <w:rsid w:val="00C763D2"/>
    <w:rsid w:val="00C77496"/>
    <w:rsid w:val="00C80146"/>
    <w:rsid w:val="00C80CD7"/>
    <w:rsid w:val="00C8394F"/>
    <w:rsid w:val="00C8688A"/>
    <w:rsid w:val="00C86BF4"/>
    <w:rsid w:val="00C901BF"/>
    <w:rsid w:val="00C912A1"/>
    <w:rsid w:val="00C913A9"/>
    <w:rsid w:val="00C926F4"/>
    <w:rsid w:val="00C92CA5"/>
    <w:rsid w:val="00C933D5"/>
    <w:rsid w:val="00C97139"/>
    <w:rsid w:val="00CA1E03"/>
    <w:rsid w:val="00CA2AB8"/>
    <w:rsid w:val="00CA6FF8"/>
    <w:rsid w:val="00CA7F7A"/>
    <w:rsid w:val="00CB397D"/>
    <w:rsid w:val="00CB4BA1"/>
    <w:rsid w:val="00CB667C"/>
    <w:rsid w:val="00CB7512"/>
    <w:rsid w:val="00CC097B"/>
    <w:rsid w:val="00CC5ECE"/>
    <w:rsid w:val="00CC64E5"/>
    <w:rsid w:val="00CC7CB8"/>
    <w:rsid w:val="00CC7DBC"/>
    <w:rsid w:val="00CD0244"/>
    <w:rsid w:val="00CD15B2"/>
    <w:rsid w:val="00CD2301"/>
    <w:rsid w:val="00CD2C75"/>
    <w:rsid w:val="00CD66CB"/>
    <w:rsid w:val="00CE10E6"/>
    <w:rsid w:val="00CE48BF"/>
    <w:rsid w:val="00CE6333"/>
    <w:rsid w:val="00CE657E"/>
    <w:rsid w:val="00CE6AC9"/>
    <w:rsid w:val="00CF0666"/>
    <w:rsid w:val="00CF1EAF"/>
    <w:rsid w:val="00CF20E0"/>
    <w:rsid w:val="00CF50FA"/>
    <w:rsid w:val="00CF57B5"/>
    <w:rsid w:val="00CF685B"/>
    <w:rsid w:val="00D0105F"/>
    <w:rsid w:val="00D023AD"/>
    <w:rsid w:val="00D03A06"/>
    <w:rsid w:val="00D05F2A"/>
    <w:rsid w:val="00D06D71"/>
    <w:rsid w:val="00D10FC3"/>
    <w:rsid w:val="00D14FDE"/>
    <w:rsid w:val="00D15C0A"/>
    <w:rsid w:val="00D15EE4"/>
    <w:rsid w:val="00D16C48"/>
    <w:rsid w:val="00D17FDD"/>
    <w:rsid w:val="00D27022"/>
    <w:rsid w:val="00D303EB"/>
    <w:rsid w:val="00D30D15"/>
    <w:rsid w:val="00D31502"/>
    <w:rsid w:val="00D3294D"/>
    <w:rsid w:val="00D43B46"/>
    <w:rsid w:val="00D44972"/>
    <w:rsid w:val="00D45A87"/>
    <w:rsid w:val="00D46308"/>
    <w:rsid w:val="00D470E4"/>
    <w:rsid w:val="00D477A8"/>
    <w:rsid w:val="00D55E57"/>
    <w:rsid w:val="00D61E46"/>
    <w:rsid w:val="00D6229F"/>
    <w:rsid w:val="00D62A11"/>
    <w:rsid w:val="00D62E1A"/>
    <w:rsid w:val="00D633C0"/>
    <w:rsid w:val="00D6380E"/>
    <w:rsid w:val="00D64593"/>
    <w:rsid w:val="00D65F34"/>
    <w:rsid w:val="00D7105D"/>
    <w:rsid w:val="00D72253"/>
    <w:rsid w:val="00D735B4"/>
    <w:rsid w:val="00D74AC6"/>
    <w:rsid w:val="00D75D28"/>
    <w:rsid w:val="00D76261"/>
    <w:rsid w:val="00D813E0"/>
    <w:rsid w:val="00D83ED0"/>
    <w:rsid w:val="00D97312"/>
    <w:rsid w:val="00DA0E5F"/>
    <w:rsid w:val="00DA0FA4"/>
    <w:rsid w:val="00DA1089"/>
    <w:rsid w:val="00DA3356"/>
    <w:rsid w:val="00DA71C0"/>
    <w:rsid w:val="00DA71E6"/>
    <w:rsid w:val="00DA722F"/>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203E"/>
    <w:rsid w:val="00DD2596"/>
    <w:rsid w:val="00DD2698"/>
    <w:rsid w:val="00DD2E7B"/>
    <w:rsid w:val="00DD2EC2"/>
    <w:rsid w:val="00DD58FC"/>
    <w:rsid w:val="00DD79C2"/>
    <w:rsid w:val="00DE0294"/>
    <w:rsid w:val="00DE2E94"/>
    <w:rsid w:val="00DE379B"/>
    <w:rsid w:val="00DE4A82"/>
    <w:rsid w:val="00DE5282"/>
    <w:rsid w:val="00DE556B"/>
    <w:rsid w:val="00DE62B0"/>
    <w:rsid w:val="00DF02D1"/>
    <w:rsid w:val="00DF0F3E"/>
    <w:rsid w:val="00DF29B6"/>
    <w:rsid w:val="00DF3EC0"/>
    <w:rsid w:val="00DF5AD8"/>
    <w:rsid w:val="00E01F5E"/>
    <w:rsid w:val="00E03FFD"/>
    <w:rsid w:val="00E048FB"/>
    <w:rsid w:val="00E04A03"/>
    <w:rsid w:val="00E11720"/>
    <w:rsid w:val="00E1251C"/>
    <w:rsid w:val="00E131BD"/>
    <w:rsid w:val="00E14A28"/>
    <w:rsid w:val="00E14EE8"/>
    <w:rsid w:val="00E1787E"/>
    <w:rsid w:val="00E202CD"/>
    <w:rsid w:val="00E26F20"/>
    <w:rsid w:val="00E27047"/>
    <w:rsid w:val="00E30068"/>
    <w:rsid w:val="00E3100A"/>
    <w:rsid w:val="00E32713"/>
    <w:rsid w:val="00E33604"/>
    <w:rsid w:val="00E3568D"/>
    <w:rsid w:val="00E377E0"/>
    <w:rsid w:val="00E40E13"/>
    <w:rsid w:val="00E417E4"/>
    <w:rsid w:val="00E43D3D"/>
    <w:rsid w:val="00E45237"/>
    <w:rsid w:val="00E50E2E"/>
    <w:rsid w:val="00E50EEF"/>
    <w:rsid w:val="00E5281E"/>
    <w:rsid w:val="00E5291D"/>
    <w:rsid w:val="00E53D9F"/>
    <w:rsid w:val="00E55B5B"/>
    <w:rsid w:val="00E60DD5"/>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27F3"/>
    <w:rsid w:val="00E93FE4"/>
    <w:rsid w:val="00EA2396"/>
    <w:rsid w:val="00EA3CC2"/>
    <w:rsid w:val="00EA3E80"/>
    <w:rsid w:val="00EA4FC9"/>
    <w:rsid w:val="00EA6306"/>
    <w:rsid w:val="00EA7D50"/>
    <w:rsid w:val="00EB4FE9"/>
    <w:rsid w:val="00EC17FA"/>
    <w:rsid w:val="00EC2178"/>
    <w:rsid w:val="00EC393F"/>
    <w:rsid w:val="00EC577E"/>
    <w:rsid w:val="00EC7AC8"/>
    <w:rsid w:val="00ED253E"/>
    <w:rsid w:val="00ED2742"/>
    <w:rsid w:val="00ED2A98"/>
    <w:rsid w:val="00ED4E97"/>
    <w:rsid w:val="00ED677A"/>
    <w:rsid w:val="00ED6A68"/>
    <w:rsid w:val="00ED754A"/>
    <w:rsid w:val="00EE1031"/>
    <w:rsid w:val="00EE1BD5"/>
    <w:rsid w:val="00EE2036"/>
    <w:rsid w:val="00EE311E"/>
    <w:rsid w:val="00EE3C19"/>
    <w:rsid w:val="00EE5037"/>
    <w:rsid w:val="00EE5BFB"/>
    <w:rsid w:val="00EF09EA"/>
    <w:rsid w:val="00EF20D5"/>
    <w:rsid w:val="00EF232A"/>
    <w:rsid w:val="00EF36E9"/>
    <w:rsid w:val="00EF4415"/>
    <w:rsid w:val="00EF565B"/>
    <w:rsid w:val="00EF5B49"/>
    <w:rsid w:val="00EF6747"/>
    <w:rsid w:val="00EF6AF4"/>
    <w:rsid w:val="00F02C37"/>
    <w:rsid w:val="00F03C63"/>
    <w:rsid w:val="00F05946"/>
    <w:rsid w:val="00F07472"/>
    <w:rsid w:val="00F129B0"/>
    <w:rsid w:val="00F13477"/>
    <w:rsid w:val="00F148E2"/>
    <w:rsid w:val="00F17E38"/>
    <w:rsid w:val="00F22BBD"/>
    <w:rsid w:val="00F304AA"/>
    <w:rsid w:val="00F310B9"/>
    <w:rsid w:val="00F33410"/>
    <w:rsid w:val="00F3500E"/>
    <w:rsid w:val="00F35256"/>
    <w:rsid w:val="00F368F1"/>
    <w:rsid w:val="00F36A4E"/>
    <w:rsid w:val="00F3787E"/>
    <w:rsid w:val="00F4047B"/>
    <w:rsid w:val="00F40B91"/>
    <w:rsid w:val="00F40E33"/>
    <w:rsid w:val="00F411F8"/>
    <w:rsid w:val="00F41909"/>
    <w:rsid w:val="00F42893"/>
    <w:rsid w:val="00F440A5"/>
    <w:rsid w:val="00F47F75"/>
    <w:rsid w:val="00F509CD"/>
    <w:rsid w:val="00F53A24"/>
    <w:rsid w:val="00F57070"/>
    <w:rsid w:val="00F5723C"/>
    <w:rsid w:val="00F614A2"/>
    <w:rsid w:val="00F6271C"/>
    <w:rsid w:val="00F62AE0"/>
    <w:rsid w:val="00F64649"/>
    <w:rsid w:val="00F67361"/>
    <w:rsid w:val="00F67E6A"/>
    <w:rsid w:val="00F71957"/>
    <w:rsid w:val="00F721F6"/>
    <w:rsid w:val="00F753AA"/>
    <w:rsid w:val="00F802FF"/>
    <w:rsid w:val="00F8292E"/>
    <w:rsid w:val="00F84682"/>
    <w:rsid w:val="00F84E20"/>
    <w:rsid w:val="00F8524D"/>
    <w:rsid w:val="00F852C0"/>
    <w:rsid w:val="00F85670"/>
    <w:rsid w:val="00F857A5"/>
    <w:rsid w:val="00F91F4E"/>
    <w:rsid w:val="00F91F79"/>
    <w:rsid w:val="00F91FC4"/>
    <w:rsid w:val="00F93017"/>
    <w:rsid w:val="00F937CB"/>
    <w:rsid w:val="00F939E2"/>
    <w:rsid w:val="00F94001"/>
    <w:rsid w:val="00F95E2E"/>
    <w:rsid w:val="00F96639"/>
    <w:rsid w:val="00F96789"/>
    <w:rsid w:val="00F969A2"/>
    <w:rsid w:val="00F97EB0"/>
    <w:rsid w:val="00FA18CA"/>
    <w:rsid w:val="00FA2A38"/>
    <w:rsid w:val="00FA3425"/>
    <w:rsid w:val="00FA5CD7"/>
    <w:rsid w:val="00FA6B9C"/>
    <w:rsid w:val="00FA74AD"/>
    <w:rsid w:val="00FB0ACB"/>
    <w:rsid w:val="00FB2B62"/>
    <w:rsid w:val="00FB39E3"/>
    <w:rsid w:val="00FB3B85"/>
    <w:rsid w:val="00FB3FA8"/>
    <w:rsid w:val="00FB42BD"/>
    <w:rsid w:val="00FB49F6"/>
    <w:rsid w:val="00FC0CDD"/>
    <w:rsid w:val="00FC1EE1"/>
    <w:rsid w:val="00FC5510"/>
    <w:rsid w:val="00FD0630"/>
    <w:rsid w:val="00FD0819"/>
    <w:rsid w:val="00FD41B4"/>
    <w:rsid w:val="00FD496E"/>
    <w:rsid w:val="00FD4F66"/>
    <w:rsid w:val="00FD620B"/>
    <w:rsid w:val="00FE348D"/>
    <w:rsid w:val="00FE590B"/>
    <w:rsid w:val="00FE5E09"/>
    <w:rsid w:val="00FE7006"/>
    <w:rsid w:val="00FF059C"/>
    <w:rsid w:val="00FF4616"/>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E0AE9F-B265-4974-BB4C-9C84811FD8E0}"/>
</file>

<file path=customXml/itemProps2.xml><?xml version="1.0" encoding="utf-8"?>
<ds:datastoreItem xmlns:ds="http://schemas.openxmlformats.org/officeDocument/2006/customXml" ds:itemID="{04E7B02F-83AC-4CE2-BF1B-02541E2DFD85}"/>
</file>

<file path=customXml/itemProps3.xml><?xml version="1.0" encoding="utf-8"?>
<ds:datastoreItem xmlns:ds="http://schemas.openxmlformats.org/officeDocument/2006/customXml" ds:itemID="{8FB5355B-8DD3-4FFE-8E7A-BF6C871F807D}"/>
</file>

<file path=customXml/itemProps4.xml><?xml version="1.0" encoding="utf-8"?>
<ds:datastoreItem xmlns:ds="http://schemas.openxmlformats.org/officeDocument/2006/customXml" ds:itemID="{584BFE8F-E10A-4033-8E20-719F5C0FD5B9}"/>
</file>

<file path=docProps/app.xml><?xml version="1.0" encoding="utf-8"?>
<Properties xmlns="http://schemas.openxmlformats.org/officeDocument/2006/extended-properties" xmlns:vt="http://schemas.openxmlformats.org/officeDocument/2006/docPropsVTypes">
  <Template>Normal.dotm</Template>
  <TotalTime>2</TotalTime>
  <Pages>9</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2020-06-02T09:04:00Z</cp:lastPrinted>
  <dcterms:created xsi:type="dcterms:W3CDTF">2020-10-22T10:24:00Z</dcterms:created>
  <dcterms:modified xsi:type="dcterms:W3CDTF">2020-10-22T11:15:00Z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