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E26C"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27110E65" w14:textId="77777777" w:rsidR="00435964" w:rsidRDefault="00435964" w:rsidP="00AB3DEA">
      <w:pPr>
        <w:jc w:val="center"/>
        <w:rPr>
          <w:rFonts w:ascii="Arial" w:hAnsi="Arial" w:cs="Arial"/>
          <w:b/>
          <w:sz w:val="24"/>
          <w:szCs w:val="24"/>
        </w:rPr>
      </w:pPr>
    </w:p>
    <w:p w14:paraId="54620544" w14:textId="77777777" w:rsidR="00AB3DEA" w:rsidRPr="005B080A" w:rsidRDefault="00AB3DEA" w:rsidP="00AB3DEA">
      <w:pPr>
        <w:jc w:val="center"/>
        <w:rPr>
          <w:rFonts w:ascii="Arial" w:hAnsi="Arial" w:cs="Arial"/>
          <w:b/>
          <w:sz w:val="24"/>
          <w:szCs w:val="24"/>
        </w:rPr>
      </w:pPr>
      <w:r>
        <w:rPr>
          <w:rFonts w:ascii="Arial" w:hAnsi="Arial" w:cs="Arial"/>
          <w:b/>
          <w:sz w:val="24"/>
          <w:szCs w:val="24"/>
        </w:rPr>
        <w:t>AWARD</w:t>
      </w:r>
    </w:p>
    <w:p w14:paraId="4F70F3F8"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C31717">
        <w:rPr>
          <w:rFonts w:ascii="Arial" w:hAnsi="Arial" w:cs="Arial"/>
          <w:b/>
          <w:sz w:val="24"/>
          <w:szCs w:val="24"/>
        </w:rPr>
        <w:t>25</w:t>
      </w:r>
      <w:r w:rsidRPr="005B080A">
        <w:rPr>
          <w:rFonts w:ascii="Arial" w:hAnsi="Arial" w:cs="Arial"/>
          <w:b/>
          <w:sz w:val="24"/>
          <w:szCs w:val="24"/>
        </w:rPr>
        <w:t>/1</w:t>
      </w:r>
      <w:r w:rsidR="00C31717">
        <w:rPr>
          <w:rFonts w:ascii="Arial" w:hAnsi="Arial" w:cs="Arial"/>
          <w:b/>
          <w:sz w:val="24"/>
          <w:szCs w:val="24"/>
        </w:rPr>
        <w:t>8</w:t>
      </w:r>
      <w:r w:rsidR="00097D74">
        <w:rPr>
          <w:rFonts w:ascii="Arial" w:hAnsi="Arial" w:cs="Arial"/>
          <w:b/>
          <w:sz w:val="24"/>
          <w:szCs w:val="24"/>
        </w:rPr>
        <w:t xml:space="preserve"> to ERT/RN </w:t>
      </w:r>
      <w:r w:rsidR="00C31717">
        <w:rPr>
          <w:rFonts w:ascii="Arial" w:hAnsi="Arial" w:cs="Arial"/>
          <w:b/>
          <w:sz w:val="24"/>
          <w:szCs w:val="24"/>
        </w:rPr>
        <w:t>31</w:t>
      </w:r>
      <w:r w:rsidR="00097D74">
        <w:rPr>
          <w:rFonts w:ascii="Arial" w:hAnsi="Arial" w:cs="Arial"/>
          <w:b/>
          <w:sz w:val="24"/>
          <w:szCs w:val="24"/>
        </w:rPr>
        <w:t>/1</w:t>
      </w:r>
      <w:r w:rsidR="00C31717">
        <w:rPr>
          <w:rFonts w:ascii="Arial" w:hAnsi="Arial" w:cs="Arial"/>
          <w:b/>
          <w:sz w:val="24"/>
          <w:szCs w:val="24"/>
        </w:rPr>
        <w:t>8</w:t>
      </w:r>
    </w:p>
    <w:p w14:paraId="3B4C4B02" w14:textId="77777777" w:rsidR="00AB3DEA" w:rsidRPr="005B080A" w:rsidRDefault="00AB3DEA" w:rsidP="00AB3DEA">
      <w:pPr>
        <w:ind w:firstLine="720"/>
        <w:rPr>
          <w:rFonts w:ascii="Arial" w:hAnsi="Arial" w:cs="Arial"/>
          <w:b/>
          <w:sz w:val="24"/>
          <w:szCs w:val="24"/>
        </w:rPr>
      </w:pPr>
    </w:p>
    <w:p w14:paraId="78E6645D"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9A53F6B"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137EBAA0" w14:textId="77777777" w:rsidR="00AB3DEA" w:rsidRPr="005B080A" w:rsidRDefault="00C31717" w:rsidP="00AB3DEA">
      <w:pPr>
        <w:ind w:left="1440" w:firstLine="720"/>
        <w:jc w:val="both"/>
        <w:rPr>
          <w:rFonts w:ascii="Arial" w:hAnsi="Arial" w:cs="Arial"/>
          <w:b/>
          <w:sz w:val="24"/>
          <w:szCs w:val="24"/>
        </w:rPr>
      </w:pPr>
      <w:r>
        <w:rPr>
          <w:rFonts w:ascii="Arial" w:hAnsi="Arial" w:cs="Arial"/>
          <w:b/>
          <w:sz w:val="24"/>
          <w:szCs w:val="24"/>
        </w:rPr>
        <w:t>Abdool Kader Lotun</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7FCA3BED" w14:textId="77777777" w:rsidR="00AB3DEA" w:rsidRPr="005B080A" w:rsidRDefault="00C31717" w:rsidP="00AB3DEA">
      <w:pPr>
        <w:ind w:left="1440" w:firstLine="720"/>
        <w:jc w:val="both"/>
        <w:rPr>
          <w:rFonts w:ascii="Arial" w:hAnsi="Arial" w:cs="Arial"/>
          <w:b/>
          <w:sz w:val="24"/>
          <w:szCs w:val="24"/>
        </w:rPr>
      </w:pPr>
      <w:r>
        <w:rPr>
          <w:rFonts w:ascii="Arial" w:hAnsi="Arial" w:cs="Arial"/>
          <w:b/>
          <w:sz w:val="24"/>
          <w:szCs w:val="24"/>
        </w:rPr>
        <w:t>Karen K. Veerapen</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0C69EEF5"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C31717">
        <w:rPr>
          <w:rFonts w:ascii="Arial" w:hAnsi="Arial" w:cs="Arial"/>
          <w:b/>
          <w:sz w:val="24"/>
          <w:szCs w:val="24"/>
        </w:rPr>
        <w:t>Ghianeswar Gokhool</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5700EA38" w14:textId="77777777" w:rsidR="00AB3DEA" w:rsidRDefault="00AB3DEA" w:rsidP="00AB3DEA">
      <w:pPr>
        <w:rPr>
          <w:rFonts w:ascii="Arial" w:hAnsi="Arial" w:cs="Arial"/>
          <w:b/>
          <w:sz w:val="24"/>
          <w:szCs w:val="24"/>
        </w:rPr>
      </w:pPr>
    </w:p>
    <w:p w14:paraId="59264F8B" w14:textId="77777777" w:rsidR="00AB3DEA" w:rsidRPr="005B080A" w:rsidRDefault="00AB3DEA" w:rsidP="00AB3DEA">
      <w:pPr>
        <w:rPr>
          <w:rFonts w:ascii="Arial" w:hAnsi="Arial" w:cs="Arial"/>
          <w:b/>
          <w:sz w:val="24"/>
          <w:szCs w:val="24"/>
        </w:rPr>
      </w:pPr>
    </w:p>
    <w:p w14:paraId="2DC6623C"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2EB3705D" w14:textId="77777777"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0730AD">
        <w:rPr>
          <w:rFonts w:ascii="Arial" w:hAnsi="Arial" w:cs="Arial"/>
          <w:b/>
          <w:sz w:val="24"/>
          <w:szCs w:val="24"/>
        </w:rPr>
        <w:t>Santaram Ramma</w:t>
      </w:r>
      <w:r w:rsidRPr="005B080A">
        <w:rPr>
          <w:rFonts w:ascii="Arial" w:hAnsi="Arial" w:cs="Arial"/>
          <w:b/>
          <w:sz w:val="24"/>
          <w:szCs w:val="24"/>
        </w:rPr>
        <w:t xml:space="preserve"> (</w:t>
      </w:r>
      <w:r w:rsidR="00FB39E3">
        <w:rPr>
          <w:rFonts w:ascii="Arial" w:hAnsi="Arial" w:cs="Arial"/>
          <w:b/>
          <w:sz w:val="24"/>
          <w:szCs w:val="24"/>
        </w:rPr>
        <w:t>Disputant</w:t>
      </w:r>
      <w:r w:rsidR="00087A97">
        <w:rPr>
          <w:rFonts w:ascii="Arial" w:hAnsi="Arial" w:cs="Arial"/>
          <w:b/>
          <w:sz w:val="24"/>
          <w:szCs w:val="24"/>
        </w:rPr>
        <w:t xml:space="preserve"> No 1</w:t>
      </w:r>
      <w:r w:rsidRPr="005B080A">
        <w:rPr>
          <w:rFonts w:ascii="Arial" w:hAnsi="Arial" w:cs="Arial"/>
          <w:b/>
          <w:sz w:val="24"/>
          <w:szCs w:val="24"/>
        </w:rPr>
        <w:t>)</w:t>
      </w:r>
    </w:p>
    <w:p w14:paraId="34EA6E16"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208E14B7" w14:textId="77777777" w:rsidR="00AB3DEA" w:rsidRDefault="000730AD" w:rsidP="00AB3DEA">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14:paraId="05BD7857" w14:textId="77777777" w:rsidR="00AA1FE5" w:rsidRDefault="00AA1FE5" w:rsidP="00AB3DEA">
      <w:pPr>
        <w:jc w:val="both"/>
        <w:rPr>
          <w:rFonts w:ascii="Arial" w:hAnsi="Arial" w:cs="Arial"/>
          <w:sz w:val="24"/>
          <w:szCs w:val="24"/>
        </w:rPr>
      </w:pPr>
    </w:p>
    <w:p w14:paraId="50BE5C80" w14:textId="77777777" w:rsidR="00F33410" w:rsidRPr="005B080A" w:rsidRDefault="00F33410" w:rsidP="00F33410">
      <w:pPr>
        <w:ind w:firstLine="720"/>
        <w:jc w:val="center"/>
        <w:rPr>
          <w:rFonts w:ascii="Arial" w:hAnsi="Arial" w:cs="Arial"/>
          <w:b/>
          <w:sz w:val="24"/>
          <w:szCs w:val="24"/>
        </w:rPr>
      </w:pPr>
      <w:r>
        <w:rPr>
          <w:rFonts w:ascii="Arial" w:hAnsi="Arial" w:cs="Arial"/>
          <w:b/>
          <w:sz w:val="24"/>
          <w:szCs w:val="24"/>
        </w:rPr>
        <w:t xml:space="preserve">Mr </w:t>
      </w:r>
      <w:r w:rsidR="000730AD">
        <w:rPr>
          <w:rFonts w:ascii="Arial" w:hAnsi="Arial" w:cs="Arial"/>
          <w:b/>
          <w:sz w:val="24"/>
          <w:szCs w:val="24"/>
        </w:rPr>
        <w:t>Sooriadev Boodhun</w:t>
      </w:r>
      <w:r w:rsidRPr="005B080A">
        <w:rPr>
          <w:rFonts w:ascii="Arial" w:hAnsi="Arial" w:cs="Arial"/>
          <w:b/>
          <w:sz w:val="24"/>
          <w:szCs w:val="24"/>
        </w:rPr>
        <w:t xml:space="preserve"> (</w:t>
      </w:r>
      <w:r>
        <w:rPr>
          <w:rFonts w:ascii="Arial" w:hAnsi="Arial" w:cs="Arial"/>
          <w:b/>
          <w:sz w:val="24"/>
          <w:szCs w:val="24"/>
        </w:rPr>
        <w:t>Disputant No 2</w:t>
      </w:r>
      <w:r w:rsidRPr="005B080A">
        <w:rPr>
          <w:rFonts w:ascii="Arial" w:hAnsi="Arial" w:cs="Arial"/>
          <w:b/>
          <w:sz w:val="24"/>
          <w:szCs w:val="24"/>
        </w:rPr>
        <w:t>)</w:t>
      </w:r>
    </w:p>
    <w:p w14:paraId="31EF6B80" w14:textId="77777777"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14:paraId="48FBCE8A" w14:textId="77777777" w:rsidR="00F33410" w:rsidRDefault="000730AD" w:rsidP="00F33410">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F33410" w:rsidRPr="005B080A">
        <w:rPr>
          <w:rFonts w:ascii="Arial" w:hAnsi="Arial" w:cs="Arial"/>
          <w:b/>
          <w:sz w:val="24"/>
          <w:szCs w:val="24"/>
        </w:rPr>
        <w:t xml:space="preserve"> (Respondent</w:t>
      </w:r>
      <w:r w:rsidR="00F33410" w:rsidRPr="00906543">
        <w:rPr>
          <w:rFonts w:ascii="Arial" w:hAnsi="Arial" w:cs="Arial"/>
          <w:b/>
          <w:sz w:val="28"/>
          <w:szCs w:val="28"/>
        </w:rPr>
        <w:t>)</w:t>
      </w:r>
    </w:p>
    <w:p w14:paraId="7F2F5115" w14:textId="77777777" w:rsidR="00F33410" w:rsidRDefault="00F33410" w:rsidP="00F33410">
      <w:pPr>
        <w:ind w:left="1440" w:firstLine="720"/>
        <w:jc w:val="center"/>
        <w:rPr>
          <w:rFonts w:ascii="Arial" w:hAnsi="Arial" w:cs="Arial"/>
          <w:b/>
          <w:sz w:val="28"/>
          <w:szCs w:val="28"/>
        </w:rPr>
      </w:pPr>
    </w:p>
    <w:p w14:paraId="5546815F" w14:textId="77777777" w:rsidR="00F33410" w:rsidRPr="005B080A" w:rsidRDefault="00F33410" w:rsidP="00F33410">
      <w:pPr>
        <w:ind w:firstLine="720"/>
        <w:jc w:val="center"/>
        <w:rPr>
          <w:rFonts w:ascii="Arial" w:hAnsi="Arial" w:cs="Arial"/>
          <w:b/>
          <w:sz w:val="24"/>
          <w:szCs w:val="24"/>
        </w:rPr>
      </w:pPr>
      <w:r>
        <w:rPr>
          <w:rFonts w:ascii="Arial" w:hAnsi="Arial" w:cs="Arial"/>
          <w:b/>
          <w:sz w:val="24"/>
          <w:szCs w:val="24"/>
        </w:rPr>
        <w:t xml:space="preserve">Mr </w:t>
      </w:r>
      <w:r w:rsidR="000730AD">
        <w:rPr>
          <w:rFonts w:ascii="Arial" w:hAnsi="Arial" w:cs="Arial"/>
          <w:b/>
          <w:sz w:val="24"/>
          <w:szCs w:val="24"/>
        </w:rPr>
        <w:t xml:space="preserve">Premduth Booputh </w:t>
      </w:r>
      <w:r w:rsidRPr="005B080A">
        <w:rPr>
          <w:rFonts w:ascii="Arial" w:hAnsi="Arial" w:cs="Arial"/>
          <w:b/>
          <w:sz w:val="24"/>
          <w:szCs w:val="24"/>
        </w:rPr>
        <w:t>(</w:t>
      </w:r>
      <w:r>
        <w:rPr>
          <w:rFonts w:ascii="Arial" w:hAnsi="Arial" w:cs="Arial"/>
          <w:b/>
          <w:sz w:val="24"/>
          <w:szCs w:val="24"/>
        </w:rPr>
        <w:t>Disputant No 3</w:t>
      </w:r>
      <w:r w:rsidRPr="005B080A">
        <w:rPr>
          <w:rFonts w:ascii="Arial" w:hAnsi="Arial" w:cs="Arial"/>
          <w:b/>
          <w:sz w:val="24"/>
          <w:szCs w:val="24"/>
        </w:rPr>
        <w:t>)</w:t>
      </w:r>
    </w:p>
    <w:p w14:paraId="0CDE0556" w14:textId="77777777"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14:paraId="3C7F7654" w14:textId="77777777" w:rsidR="00F33410" w:rsidRDefault="000730AD" w:rsidP="00F33410">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F33410" w:rsidRPr="005B080A">
        <w:rPr>
          <w:rFonts w:ascii="Arial" w:hAnsi="Arial" w:cs="Arial"/>
          <w:b/>
          <w:sz w:val="24"/>
          <w:szCs w:val="24"/>
        </w:rPr>
        <w:t xml:space="preserve"> (Respondent</w:t>
      </w:r>
      <w:r w:rsidR="00F33410" w:rsidRPr="00906543">
        <w:rPr>
          <w:rFonts w:ascii="Arial" w:hAnsi="Arial" w:cs="Arial"/>
          <w:b/>
          <w:sz w:val="28"/>
          <w:szCs w:val="28"/>
        </w:rPr>
        <w:t>)</w:t>
      </w:r>
    </w:p>
    <w:p w14:paraId="00EB564D" w14:textId="77777777" w:rsidR="00F33410" w:rsidRPr="005B080A" w:rsidRDefault="00F33410" w:rsidP="00F33410">
      <w:pPr>
        <w:ind w:firstLine="720"/>
        <w:jc w:val="center"/>
        <w:rPr>
          <w:rFonts w:ascii="Arial" w:hAnsi="Arial" w:cs="Arial"/>
          <w:b/>
          <w:sz w:val="24"/>
          <w:szCs w:val="24"/>
        </w:rPr>
      </w:pPr>
      <w:r>
        <w:rPr>
          <w:rFonts w:ascii="Arial" w:hAnsi="Arial" w:cs="Arial"/>
          <w:b/>
          <w:sz w:val="24"/>
          <w:szCs w:val="24"/>
        </w:rPr>
        <w:lastRenderedPageBreak/>
        <w:t xml:space="preserve">Mr </w:t>
      </w:r>
      <w:r w:rsidR="000730AD">
        <w:rPr>
          <w:rFonts w:ascii="Arial" w:hAnsi="Arial" w:cs="Arial"/>
          <w:b/>
          <w:sz w:val="24"/>
          <w:szCs w:val="24"/>
        </w:rPr>
        <w:t>Mario Rassou</w:t>
      </w:r>
      <w:r w:rsidR="00355A30">
        <w:rPr>
          <w:rFonts w:ascii="Arial" w:hAnsi="Arial" w:cs="Arial"/>
          <w:b/>
          <w:sz w:val="24"/>
          <w:szCs w:val="24"/>
        </w:rPr>
        <w:t xml:space="preserve"> </w:t>
      </w:r>
      <w:r w:rsidRPr="005B080A">
        <w:rPr>
          <w:rFonts w:ascii="Arial" w:hAnsi="Arial" w:cs="Arial"/>
          <w:b/>
          <w:sz w:val="24"/>
          <w:szCs w:val="24"/>
        </w:rPr>
        <w:t>(</w:t>
      </w:r>
      <w:r>
        <w:rPr>
          <w:rFonts w:ascii="Arial" w:hAnsi="Arial" w:cs="Arial"/>
          <w:b/>
          <w:sz w:val="24"/>
          <w:szCs w:val="24"/>
        </w:rPr>
        <w:t xml:space="preserve">Disputant No </w:t>
      </w:r>
      <w:r w:rsidR="00355A30">
        <w:rPr>
          <w:rFonts w:ascii="Arial" w:hAnsi="Arial" w:cs="Arial"/>
          <w:b/>
          <w:sz w:val="24"/>
          <w:szCs w:val="24"/>
        </w:rPr>
        <w:t>4</w:t>
      </w:r>
      <w:r w:rsidRPr="005B080A">
        <w:rPr>
          <w:rFonts w:ascii="Arial" w:hAnsi="Arial" w:cs="Arial"/>
          <w:b/>
          <w:sz w:val="24"/>
          <w:szCs w:val="24"/>
        </w:rPr>
        <w:t>)</w:t>
      </w:r>
    </w:p>
    <w:p w14:paraId="5F5A7D05" w14:textId="77777777"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14:paraId="2D7B19BC" w14:textId="77777777" w:rsidR="00F33410" w:rsidRDefault="000730AD" w:rsidP="00F33410">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F33410" w:rsidRPr="005B080A">
        <w:rPr>
          <w:rFonts w:ascii="Arial" w:hAnsi="Arial" w:cs="Arial"/>
          <w:b/>
          <w:sz w:val="24"/>
          <w:szCs w:val="24"/>
        </w:rPr>
        <w:t xml:space="preserve"> (Respondent</w:t>
      </w:r>
      <w:r w:rsidR="00F33410" w:rsidRPr="00906543">
        <w:rPr>
          <w:rFonts w:ascii="Arial" w:hAnsi="Arial" w:cs="Arial"/>
          <w:b/>
          <w:sz w:val="28"/>
          <w:szCs w:val="28"/>
        </w:rPr>
        <w:t>)</w:t>
      </w:r>
    </w:p>
    <w:p w14:paraId="66971C55" w14:textId="77777777" w:rsidR="00355A30" w:rsidRDefault="00355A30" w:rsidP="00F33410">
      <w:pPr>
        <w:ind w:left="1440" w:firstLine="720"/>
        <w:jc w:val="center"/>
        <w:rPr>
          <w:rFonts w:ascii="Arial" w:hAnsi="Arial" w:cs="Arial"/>
          <w:b/>
          <w:sz w:val="28"/>
          <w:szCs w:val="28"/>
        </w:rPr>
      </w:pPr>
    </w:p>
    <w:p w14:paraId="4E26DD51" w14:textId="77777777"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w:t>
      </w:r>
      <w:r w:rsidR="000730AD">
        <w:rPr>
          <w:rFonts w:ascii="Arial" w:hAnsi="Arial" w:cs="Arial"/>
          <w:b/>
          <w:sz w:val="24"/>
          <w:szCs w:val="24"/>
        </w:rPr>
        <w:t>Goranah Junninth Kaniah</w:t>
      </w:r>
      <w:r w:rsidRPr="005B080A">
        <w:rPr>
          <w:rFonts w:ascii="Arial" w:hAnsi="Arial" w:cs="Arial"/>
          <w:b/>
          <w:sz w:val="24"/>
          <w:szCs w:val="24"/>
        </w:rPr>
        <w:t xml:space="preserve"> (</w:t>
      </w:r>
      <w:r>
        <w:rPr>
          <w:rFonts w:ascii="Arial" w:hAnsi="Arial" w:cs="Arial"/>
          <w:b/>
          <w:sz w:val="24"/>
          <w:szCs w:val="24"/>
        </w:rPr>
        <w:t>Disputant No 5</w:t>
      </w:r>
      <w:r w:rsidRPr="005B080A">
        <w:rPr>
          <w:rFonts w:ascii="Arial" w:hAnsi="Arial" w:cs="Arial"/>
          <w:b/>
          <w:sz w:val="24"/>
          <w:szCs w:val="24"/>
        </w:rPr>
        <w:t>)</w:t>
      </w:r>
    </w:p>
    <w:p w14:paraId="4405509B" w14:textId="77777777"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14:paraId="1AF21E88" w14:textId="77777777" w:rsidR="00355A30" w:rsidRDefault="000730AD" w:rsidP="00355A30">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355A30" w:rsidRPr="005B080A">
        <w:rPr>
          <w:rFonts w:ascii="Arial" w:hAnsi="Arial" w:cs="Arial"/>
          <w:b/>
          <w:sz w:val="24"/>
          <w:szCs w:val="24"/>
        </w:rPr>
        <w:t xml:space="preserve"> (Respondent</w:t>
      </w:r>
      <w:r w:rsidR="00355A30" w:rsidRPr="00906543">
        <w:rPr>
          <w:rFonts w:ascii="Arial" w:hAnsi="Arial" w:cs="Arial"/>
          <w:b/>
          <w:sz w:val="28"/>
          <w:szCs w:val="28"/>
        </w:rPr>
        <w:t>)</w:t>
      </w:r>
    </w:p>
    <w:p w14:paraId="558A012D" w14:textId="77777777" w:rsidR="00F33410" w:rsidRDefault="00F33410" w:rsidP="00F33410">
      <w:pPr>
        <w:ind w:left="1440" w:firstLine="720"/>
        <w:jc w:val="center"/>
        <w:rPr>
          <w:rFonts w:ascii="Arial" w:hAnsi="Arial" w:cs="Arial"/>
          <w:b/>
          <w:sz w:val="28"/>
          <w:szCs w:val="28"/>
        </w:rPr>
      </w:pPr>
    </w:p>
    <w:p w14:paraId="2A5BF6E9" w14:textId="77777777"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w:t>
      </w:r>
      <w:r w:rsidR="000730AD">
        <w:rPr>
          <w:rFonts w:ascii="Arial" w:hAnsi="Arial" w:cs="Arial"/>
          <w:b/>
          <w:sz w:val="24"/>
          <w:szCs w:val="24"/>
        </w:rPr>
        <w:t>Robin Sunyasi</w:t>
      </w:r>
      <w:r w:rsidRPr="005B080A">
        <w:rPr>
          <w:rFonts w:ascii="Arial" w:hAnsi="Arial" w:cs="Arial"/>
          <w:b/>
          <w:sz w:val="24"/>
          <w:szCs w:val="24"/>
        </w:rPr>
        <w:t xml:space="preserve"> (</w:t>
      </w:r>
      <w:r>
        <w:rPr>
          <w:rFonts w:ascii="Arial" w:hAnsi="Arial" w:cs="Arial"/>
          <w:b/>
          <w:sz w:val="24"/>
          <w:szCs w:val="24"/>
        </w:rPr>
        <w:t>Disputant No 6</w:t>
      </w:r>
      <w:r w:rsidRPr="005B080A">
        <w:rPr>
          <w:rFonts w:ascii="Arial" w:hAnsi="Arial" w:cs="Arial"/>
          <w:b/>
          <w:sz w:val="24"/>
          <w:szCs w:val="24"/>
        </w:rPr>
        <w:t>)</w:t>
      </w:r>
    </w:p>
    <w:p w14:paraId="251C2123" w14:textId="77777777"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14:paraId="4330030C" w14:textId="77777777" w:rsidR="00355A30" w:rsidRDefault="000730AD" w:rsidP="00355A30">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355A30" w:rsidRPr="005B080A">
        <w:rPr>
          <w:rFonts w:ascii="Arial" w:hAnsi="Arial" w:cs="Arial"/>
          <w:b/>
          <w:sz w:val="24"/>
          <w:szCs w:val="24"/>
        </w:rPr>
        <w:t xml:space="preserve"> (Respondent</w:t>
      </w:r>
      <w:r w:rsidR="00355A30" w:rsidRPr="00906543">
        <w:rPr>
          <w:rFonts w:ascii="Arial" w:hAnsi="Arial" w:cs="Arial"/>
          <w:b/>
          <w:sz w:val="28"/>
          <w:szCs w:val="28"/>
        </w:rPr>
        <w:t>)</w:t>
      </w:r>
    </w:p>
    <w:p w14:paraId="23F1BA34" w14:textId="77777777" w:rsidR="00355A30" w:rsidRDefault="00355A30" w:rsidP="00F33410">
      <w:pPr>
        <w:ind w:left="1440" w:firstLine="720"/>
        <w:jc w:val="center"/>
        <w:rPr>
          <w:rFonts w:ascii="Arial" w:hAnsi="Arial" w:cs="Arial"/>
          <w:b/>
          <w:sz w:val="28"/>
          <w:szCs w:val="28"/>
        </w:rPr>
      </w:pPr>
    </w:p>
    <w:p w14:paraId="0B812460" w14:textId="77777777"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w:t>
      </w:r>
      <w:r w:rsidR="000730AD">
        <w:rPr>
          <w:rFonts w:ascii="Arial" w:hAnsi="Arial" w:cs="Arial"/>
          <w:b/>
          <w:sz w:val="24"/>
          <w:szCs w:val="24"/>
        </w:rPr>
        <w:t>Navindeo Gobin</w:t>
      </w:r>
      <w:r>
        <w:rPr>
          <w:rFonts w:ascii="Arial" w:hAnsi="Arial" w:cs="Arial"/>
          <w:b/>
          <w:sz w:val="24"/>
          <w:szCs w:val="24"/>
        </w:rPr>
        <w:t xml:space="preserve"> </w:t>
      </w:r>
      <w:r w:rsidRPr="005B080A">
        <w:rPr>
          <w:rFonts w:ascii="Arial" w:hAnsi="Arial" w:cs="Arial"/>
          <w:b/>
          <w:sz w:val="24"/>
          <w:szCs w:val="24"/>
        </w:rPr>
        <w:t>(</w:t>
      </w:r>
      <w:r>
        <w:rPr>
          <w:rFonts w:ascii="Arial" w:hAnsi="Arial" w:cs="Arial"/>
          <w:b/>
          <w:sz w:val="24"/>
          <w:szCs w:val="24"/>
        </w:rPr>
        <w:t>Disputant No 7</w:t>
      </w:r>
      <w:r w:rsidRPr="005B080A">
        <w:rPr>
          <w:rFonts w:ascii="Arial" w:hAnsi="Arial" w:cs="Arial"/>
          <w:b/>
          <w:sz w:val="24"/>
          <w:szCs w:val="24"/>
        </w:rPr>
        <w:t>)</w:t>
      </w:r>
    </w:p>
    <w:p w14:paraId="745D354A" w14:textId="77777777"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14:paraId="36D23D7D" w14:textId="77777777" w:rsidR="00355A30" w:rsidRDefault="000730AD" w:rsidP="00355A30">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355A30" w:rsidRPr="005B080A">
        <w:rPr>
          <w:rFonts w:ascii="Arial" w:hAnsi="Arial" w:cs="Arial"/>
          <w:b/>
          <w:sz w:val="24"/>
          <w:szCs w:val="24"/>
        </w:rPr>
        <w:t xml:space="preserve"> (Respondent</w:t>
      </w:r>
      <w:r w:rsidR="00355A30" w:rsidRPr="00906543">
        <w:rPr>
          <w:rFonts w:ascii="Arial" w:hAnsi="Arial" w:cs="Arial"/>
          <w:b/>
          <w:sz w:val="28"/>
          <w:szCs w:val="28"/>
        </w:rPr>
        <w:t>)</w:t>
      </w:r>
    </w:p>
    <w:p w14:paraId="3A8DA393" w14:textId="77777777" w:rsidR="00355A30" w:rsidRDefault="00363A01" w:rsidP="002E6878">
      <w:pPr>
        <w:ind w:left="1440" w:hanging="720"/>
        <w:jc w:val="both"/>
        <w:rPr>
          <w:rFonts w:ascii="Arial" w:hAnsi="Arial" w:cs="Arial"/>
          <w:b/>
          <w:sz w:val="24"/>
          <w:szCs w:val="24"/>
        </w:rPr>
      </w:pPr>
      <w:r w:rsidRPr="00363A01">
        <w:rPr>
          <w:rFonts w:ascii="Arial" w:hAnsi="Arial" w:cs="Arial"/>
          <w:b/>
          <w:sz w:val="24"/>
          <w:szCs w:val="24"/>
        </w:rPr>
        <w:t xml:space="preserve">I.P.O: </w:t>
      </w:r>
      <w:r>
        <w:rPr>
          <w:rFonts w:ascii="Arial" w:hAnsi="Arial" w:cs="Arial"/>
          <w:b/>
          <w:sz w:val="24"/>
          <w:szCs w:val="24"/>
        </w:rPr>
        <w:t>(1) Ministry of Education</w:t>
      </w:r>
      <w:r w:rsidR="00B64331">
        <w:rPr>
          <w:rFonts w:ascii="Arial" w:hAnsi="Arial" w:cs="Arial"/>
          <w:b/>
          <w:sz w:val="24"/>
          <w:szCs w:val="24"/>
        </w:rPr>
        <w:t xml:space="preserve">, </w:t>
      </w:r>
      <w:r>
        <w:rPr>
          <w:rFonts w:ascii="Arial" w:hAnsi="Arial" w:cs="Arial"/>
          <w:b/>
          <w:sz w:val="24"/>
          <w:szCs w:val="24"/>
        </w:rPr>
        <w:t>Tertiary Education</w:t>
      </w:r>
      <w:r w:rsidR="00B64331">
        <w:rPr>
          <w:rFonts w:ascii="Arial" w:hAnsi="Arial" w:cs="Arial"/>
          <w:b/>
          <w:sz w:val="24"/>
          <w:szCs w:val="24"/>
        </w:rPr>
        <w:t xml:space="preserve">, </w:t>
      </w:r>
      <w:r>
        <w:rPr>
          <w:rFonts w:ascii="Arial" w:hAnsi="Arial" w:cs="Arial"/>
          <w:b/>
          <w:sz w:val="24"/>
          <w:szCs w:val="24"/>
        </w:rPr>
        <w:t>Scienc</w:t>
      </w:r>
      <w:r w:rsidR="00B64331">
        <w:rPr>
          <w:rFonts w:ascii="Arial" w:hAnsi="Arial" w:cs="Arial"/>
          <w:b/>
          <w:sz w:val="24"/>
          <w:szCs w:val="24"/>
        </w:rPr>
        <w:t>e</w:t>
      </w:r>
      <w:r>
        <w:rPr>
          <w:rFonts w:ascii="Arial" w:hAnsi="Arial" w:cs="Arial"/>
          <w:b/>
          <w:sz w:val="24"/>
          <w:szCs w:val="24"/>
        </w:rPr>
        <w:t xml:space="preserve"> </w:t>
      </w:r>
      <w:r w:rsidR="00B64331">
        <w:rPr>
          <w:rFonts w:ascii="Arial" w:hAnsi="Arial" w:cs="Arial"/>
          <w:b/>
          <w:sz w:val="24"/>
          <w:szCs w:val="24"/>
        </w:rPr>
        <w:t>and Technology</w:t>
      </w:r>
      <w:r>
        <w:rPr>
          <w:rFonts w:ascii="Arial" w:hAnsi="Arial" w:cs="Arial"/>
          <w:b/>
          <w:sz w:val="24"/>
          <w:szCs w:val="24"/>
        </w:rPr>
        <w:tab/>
      </w:r>
      <w:r>
        <w:rPr>
          <w:rFonts w:ascii="Arial" w:hAnsi="Arial" w:cs="Arial"/>
          <w:b/>
          <w:sz w:val="24"/>
          <w:szCs w:val="24"/>
        </w:rPr>
        <w:tab/>
        <w:t>(Co-Respondent No 1)</w:t>
      </w:r>
    </w:p>
    <w:p w14:paraId="66C91CF6" w14:textId="77777777" w:rsidR="00363A01" w:rsidRDefault="00363A01" w:rsidP="002E6878">
      <w:pPr>
        <w:ind w:left="1440"/>
        <w:jc w:val="both"/>
        <w:rPr>
          <w:rFonts w:ascii="Arial" w:hAnsi="Arial" w:cs="Arial"/>
          <w:b/>
          <w:sz w:val="24"/>
          <w:szCs w:val="24"/>
        </w:rPr>
      </w:pPr>
      <w:r>
        <w:rPr>
          <w:rFonts w:ascii="Arial" w:hAnsi="Arial" w:cs="Arial"/>
          <w:b/>
          <w:sz w:val="24"/>
          <w:szCs w:val="24"/>
        </w:rPr>
        <w:t xml:space="preserve">(2) Ministry of </w:t>
      </w:r>
      <w:r w:rsidR="00B64331">
        <w:rPr>
          <w:rFonts w:ascii="Arial" w:hAnsi="Arial" w:cs="Arial"/>
          <w:b/>
          <w:sz w:val="24"/>
          <w:szCs w:val="24"/>
        </w:rPr>
        <w:t xml:space="preserve">Public </w:t>
      </w:r>
      <w:r>
        <w:rPr>
          <w:rFonts w:ascii="Arial" w:hAnsi="Arial" w:cs="Arial"/>
          <w:b/>
          <w:sz w:val="24"/>
          <w:szCs w:val="24"/>
        </w:rPr>
        <w:t>Service</w:t>
      </w:r>
      <w:r w:rsidR="00B64331">
        <w:rPr>
          <w:rFonts w:ascii="Arial" w:hAnsi="Arial" w:cs="Arial"/>
          <w:b/>
          <w:sz w:val="24"/>
          <w:szCs w:val="24"/>
        </w:rPr>
        <w:t>,</w:t>
      </w:r>
      <w:r>
        <w:rPr>
          <w:rFonts w:ascii="Arial" w:hAnsi="Arial" w:cs="Arial"/>
          <w:b/>
          <w:sz w:val="24"/>
          <w:szCs w:val="24"/>
        </w:rPr>
        <w:t xml:space="preserve"> Administrative </w:t>
      </w:r>
      <w:r w:rsidR="00B64331">
        <w:rPr>
          <w:rFonts w:ascii="Arial" w:hAnsi="Arial" w:cs="Arial"/>
          <w:b/>
          <w:sz w:val="24"/>
          <w:szCs w:val="24"/>
        </w:rPr>
        <w:t xml:space="preserve">and Institutional </w:t>
      </w:r>
      <w:r>
        <w:rPr>
          <w:rFonts w:ascii="Arial" w:hAnsi="Arial" w:cs="Arial"/>
          <w:b/>
          <w:sz w:val="24"/>
          <w:szCs w:val="24"/>
        </w:rPr>
        <w:t>Reforms (Co-Respondent No 2)</w:t>
      </w:r>
    </w:p>
    <w:p w14:paraId="4C68EC0C" w14:textId="77777777" w:rsidR="00363A01" w:rsidRDefault="00363A01" w:rsidP="002E6878">
      <w:pPr>
        <w:ind w:left="1440" w:hanging="720"/>
        <w:jc w:val="both"/>
        <w:rPr>
          <w:rFonts w:ascii="Arial" w:hAnsi="Arial" w:cs="Arial"/>
          <w:b/>
          <w:sz w:val="24"/>
          <w:szCs w:val="24"/>
        </w:rPr>
      </w:pPr>
      <w:r>
        <w:rPr>
          <w:rFonts w:ascii="Arial" w:hAnsi="Arial" w:cs="Arial"/>
          <w:b/>
          <w:sz w:val="24"/>
          <w:szCs w:val="24"/>
        </w:rPr>
        <w:tab/>
        <w:t>(3) Pay Research Bureau</w:t>
      </w:r>
      <w:r>
        <w:rPr>
          <w:rFonts w:ascii="Arial" w:hAnsi="Arial" w:cs="Arial"/>
          <w:b/>
          <w:sz w:val="24"/>
          <w:szCs w:val="24"/>
        </w:rPr>
        <w:tab/>
      </w:r>
      <w:r>
        <w:rPr>
          <w:rFonts w:ascii="Arial" w:hAnsi="Arial" w:cs="Arial"/>
          <w:b/>
          <w:sz w:val="24"/>
          <w:szCs w:val="24"/>
        </w:rPr>
        <w:tab/>
      </w:r>
      <w:r>
        <w:rPr>
          <w:rFonts w:ascii="Arial" w:hAnsi="Arial" w:cs="Arial"/>
          <w:b/>
          <w:sz w:val="24"/>
          <w:szCs w:val="24"/>
        </w:rPr>
        <w:tab/>
        <w:t>(Co-Respondent No 3)</w:t>
      </w:r>
    </w:p>
    <w:p w14:paraId="70346AAA" w14:textId="77777777" w:rsidR="00363A01" w:rsidRDefault="00363A01" w:rsidP="002E6878">
      <w:pPr>
        <w:ind w:left="1440" w:hanging="720"/>
        <w:jc w:val="both"/>
        <w:rPr>
          <w:rFonts w:ascii="Arial" w:hAnsi="Arial" w:cs="Arial"/>
          <w:b/>
          <w:sz w:val="24"/>
          <w:szCs w:val="24"/>
        </w:rPr>
      </w:pPr>
      <w:r>
        <w:rPr>
          <w:rFonts w:ascii="Arial" w:hAnsi="Arial" w:cs="Arial"/>
          <w:b/>
          <w:sz w:val="24"/>
          <w:szCs w:val="24"/>
        </w:rPr>
        <w:tab/>
        <w:t>(4) State Insurance Company of Mauritius (SICOM)</w:t>
      </w:r>
      <w:r w:rsidR="002E6878">
        <w:rPr>
          <w:rFonts w:ascii="Arial" w:hAnsi="Arial" w:cs="Arial"/>
          <w:b/>
          <w:sz w:val="24"/>
          <w:szCs w:val="24"/>
        </w:rPr>
        <w:t xml:space="preserve"> (Co-Respondent No 4)</w:t>
      </w:r>
    </w:p>
    <w:p w14:paraId="25ECE196" w14:textId="77777777" w:rsidR="00E60F69" w:rsidRPr="00363A01" w:rsidRDefault="00E60F69" w:rsidP="002E6878">
      <w:pPr>
        <w:ind w:left="1440" w:hanging="720"/>
        <w:jc w:val="both"/>
        <w:rPr>
          <w:rFonts w:ascii="Arial" w:hAnsi="Arial" w:cs="Arial"/>
          <w:b/>
          <w:sz w:val="24"/>
          <w:szCs w:val="24"/>
        </w:rPr>
      </w:pPr>
      <w:r>
        <w:rPr>
          <w:rFonts w:ascii="Arial" w:hAnsi="Arial" w:cs="Arial"/>
          <w:b/>
          <w:sz w:val="24"/>
          <w:szCs w:val="24"/>
        </w:rPr>
        <w:tab/>
        <w:t xml:space="preserve">(5) Ministry of </w:t>
      </w:r>
      <w:r w:rsidR="00B64331">
        <w:rPr>
          <w:rFonts w:ascii="Arial" w:hAnsi="Arial" w:cs="Arial"/>
          <w:b/>
          <w:sz w:val="24"/>
          <w:szCs w:val="24"/>
        </w:rPr>
        <w:t>Labour, Human Resource Development and Training</w:t>
      </w:r>
    </w:p>
    <w:p w14:paraId="0B970BA4" w14:textId="77777777" w:rsidR="002E6878" w:rsidRDefault="002E6878" w:rsidP="002E6878">
      <w:pPr>
        <w:jc w:val="both"/>
        <w:rPr>
          <w:rFonts w:ascii="Arial" w:hAnsi="Arial" w:cs="Arial"/>
          <w:sz w:val="24"/>
          <w:szCs w:val="24"/>
        </w:rPr>
      </w:pPr>
    </w:p>
    <w:p w14:paraId="3CA64561" w14:textId="168C6A95" w:rsidR="00FB39E3" w:rsidRDefault="00FB39E3" w:rsidP="00AB3DEA">
      <w:pPr>
        <w:jc w:val="both"/>
        <w:rPr>
          <w:rFonts w:ascii="Arial" w:hAnsi="Arial" w:cs="Arial"/>
          <w:sz w:val="24"/>
          <w:szCs w:val="24"/>
        </w:rPr>
      </w:pPr>
      <w:r w:rsidRPr="00FB39E3">
        <w:rPr>
          <w:rFonts w:ascii="Arial" w:hAnsi="Arial" w:cs="Arial"/>
          <w:sz w:val="24"/>
          <w:szCs w:val="24"/>
        </w:rPr>
        <w:t xml:space="preserve">The </w:t>
      </w:r>
      <w:r w:rsidR="00087A97">
        <w:rPr>
          <w:rFonts w:ascii="Arial" w:hAnsi="Arial" w:cs="Arial"/>
          <w:sz w:val="24"/>
          <w:szCs w:val="24"/>
        </w:rPr>
        <w:t>above</w:t>
      </w:r>
      <w:r w:rsidRPr="00FB39E3">
        <w:rPr>
          <w:rFonts w:ascii="Arial" w:hAnsi="Arial" w:cs="Arial"/>
          <w:sz w:val="24"/>
          <w:szCs w:val="24"/>
        </w:rPr>
        <w:t xml:space="preserve"> </w:t>
      </w:r>
      <w:r w:rsidR="00087A97">
        <w:rPr>
          <w:rFonts w:ascii="Arial" w:hAnsi="Arial" w:cs="Arial"/>
          <w:sz w:val="24"/>
          <w:szCs w:val="24"/>
        </w:rPr>
        <w:t>cases</w:t>
      </w:r>
      <w:r w:rsidRPr="00FB39E3">
        <w:rPr>
          <w:rFonts w:ascii="Arial" w:hAnsi="Arial" w:cs="Arial"/>
          <w:sz w:val="24"/>
          <w:szCs w:val="24"/>
        </w:rPr>
        <w:t xml:space="preserve"> ha</w:t>
      </w:r>
      <w:r w:rsidR="00087A97">
        <w:rPr>
          <w:rFonts w:ascii="Arial" w:hAnsi="Arial" w:cs="Arial"/>
          <w:sz w:val="24"/>
          <w:szCs w:val="24"/>
        </w:rPr>
        <w:t>ve</w:t>
      </w:r>
      <w:r w:rsidRPr="00FB39E3">
        <w:rPr>
          <w:rFonts w:ascii="Arial" w:hAnsi="Arial" w:cs="Arial"/>
          <w:sz w:val="24"/>
          <w:szCs w:val="24"/>
        </w:rPr>
        <w:t xml:space="preserve"> been referred to the Tribunal by the Commission for Conciliation and Mediation under </w:t>
      </w:r>
      <w:r w:rsidR="00A848FA">
        <w:rPr>
          <w:rFonts w:ascii="Arial" w:hAnsi="Arial" w:cs="Arial"/>
          <w:sz w:val="24"/>
          <w:szCs w:val="24"/>
        </w:rPr>
        <w:t xml:space="preserve">the then </w:t>
      </w:r>
      <w:r w:rsidRPr="00FB39E3">
        <w:rPr>
          <w:rFonts w:ascii="Arial" w:hAnsi="Arial" w:cs="Arial"/>
          <w:sz w:val="24"/>
          <w:szCs w:val="24"/>
        </w:rPr>
        <w:t xml:space="preserve">Section 69(7) </w:t>
      </w:r>
      <w:r w:rsidR="00A848FA">
        <w:rPr>
          <w:rFonts w:ascii="Arial" w:hAnsi="Arial" w:cs="Arial"/>
          <w:sz w:val="24"/>
          <w:szCs w:val="24"/>
        </w:rPr>
        <w:t xml:space="preserve">(prior to the coming into force of the </w:t>
      </w:r>
      <w:r w:rsidR="00A848FA">
        <w:rPr>
          <w:rFonts w:ascii="Arial" w:hAnsi="Arial" w:cs="Arial"/>
          <w:sz w:val="24"/>
          <w:szCs w:val="24"/>
        </w:rPr>
        <w:lastRenderedPageBreak/>
        <w:t xml:space="preserve">Employment Relations (Amendment) Act 2019) </w:t>
      </w:r>
      <w:r w:rsidRPr="00FB39E3">
        <w:rPr>
          <w:rFonts w:ascii="Arial" w:hAnsi="Arial" w:cs="Arial"/>
          <w:sz w:val="24"/>
          <w:szCs w:val="24"/>
        </w:rPr>
        <w:t xml:space="preserve">of the Employment Relations Act (hereinafter referred to as “the Act”). </w:t>
      </w:r>
      <w:r>
        <w:rPr>
          <w:rFonts w:ascii="Arial" w:hAnsi="Arial" w:cs="Arial"/>
          <w:sz w:val="24"/>
          <w:szCs w:val="24"/>
        </w:rPr>
        <w:t xml:space="preserve"> </w:t>
      </w:r>
      <w:r w:rsidR="00087A97">
        <w:rPr>
          <w:rFonts w:ascii="Arial" w:hAnsi="Arial" w:cs="Arial"/>
          <w:sz w:val="24"/>
          <w:szCs w:val="24"/>
        </w:rPr>
        <w:t xml:space="preserve">All the cases were consolidated following a </w:t>
      </w:r>
      <w:r w:rsidR="002E6878">
        <w:rPr>
          <w:rFonts w:ascii="Arial" w:hAnsi="Arial" w:cs="Arial"/>
          <w:sz w:val="24"/>
          <w:szCs w:val="24"/>
        </w:rPr>
        <w:t xml:space="preserve">joint </w:t>
      </w:r>
      <w:r w:rsidR="00087A97">
        <w:rPr>
          <w:rFonts w:ascii="Arial" w:hAnsi="Arial" w:cs="Arial"/>
          <w:sz w:val="24"/>
          <w:szCs w:val="24"/>
        </w:rPr>
        <w:t xml:space="preserve">motion made by Counsel for </w:t>
      </w:r>
      <w:r w:rsidR="004B2E43">
        <w:rPr>
          <w:rFonts w:ascii="Arial" w:hAnsi="Arial" w:cs="Arial"/>
          <w:sz w:val="24"/>
          <w:szCs w:val="24"/>
        </w:rPr>
        <w:t>d</w:t>
      </w:r>
      <w:r w:rsidR="00087A97">
        <w:rPr>
          <w:rFonts w:ascii="Arial" w:hAnsi="Arial" w:cs="Arial"/>
          <w:sz w:val="24"/>
          <w:szCs w:val="24"/>
        </w:rPr>
        <w:t xml:space="preserve">isputants and </w:t>
      </w:r>
      <w:r w:rsidR="002E6878">
        <w:rPr>
          <w:rFonts w:ascii="Arial" w:hAnsi="Arial" w:cs="Arial"/>
          <w:sz w:val="24"/>
          <w:szCs w:val="24"/>
        </w:rPr>
        <w:t xml:space="preserve">Respondent since the main bone of contention in all the cases is the same.  Co-Respondents </w:t>
      </w:r>
      <w:r w:rsidR="00D8672A">
        <w:rPr>
          <w:rFonts w:ascii="Arial" w:hAnsi="Arial" w:cs="Arial"/>
          <w:sz w:val="24"/>
          <w:szCs w:val="24"/>
        </w:rPr>
        <w:t xml:space="preserve">Nos 1 to 4 (as initially styled) </w:t>
      </w:r>
      <w:r w:rsidR="002E6878">
        <w:rPr>
          <w:rFonts w:ascii="Arial" w:hAnsi="Arial" w:cs="Arial"/>
          <w:sz w:val="24"/>
          <w:szCs w:val="24"/>
        </w:rPr>
        <w:t xml:space="preserve">were then joined as parties </w:t>
      </w:r>
      <w:r w:rsidR="001349A3">
        <w:rPr>
          <w:rFonts w:ascii="Arial" w:hAnsi="Arial" w:cs="Arial"/>
          <w:sz w:val="24"/>
          <w:szCs w:val="24"/>
        </w:rPr>
        <w:t xml:space="preserve">in the above cases.  </w:t>
      </w:r>
      <w:r w:rsidR="008E528C">
        <w:rPr>
          <w:rFonts w:ascii="Arial" w:hAnsi="Arial" w:cs="Arial"/>
          <w:sz w:val="24"/>
          <w:szCs w:val="24"/>
        </w:rPr>
        <w:t>During</w:t>
      </w:r>
      <w:r w:rsidR="00E60F69">
        <w:rPr>
          <w:rFonts w:ascii="Arial" w:hAnsi="Arial" w:cs="Arial"/>
          <w:sz w:val="24"/>
          <w:szCs w:val="24"/>
        </w:rPr>
        <w:t xml:space="preserve"> the course of proceedings in the present matter, there </w:t>
      </w:r>
      <w:r w:rsidR="008E528C">
        <w:rPr>
          <w:rFonts w:ascii="Arial" w:hAnsi="Arial" w:cs="Arial"/>
          <w:sz w:val="24"/>
          <w:szCs w:val="24"/>
        </w:rPr>
        <w:t>have been</w:t>
      </w:r>
      <w:r w:rsidR="00E60F69">
        <w:rPr>
          <w:rFonts w:ascii="Arial" w:hAnsi="Arial" w:cs="Arial"/>
          <w:sz w:val="24"/>
          <w:szCs w:val="24"/>
        </w:rPr>
        <w:t xml:space="preserve"> changes brought to the responsibilities of certain Ministries by Government.  With the agreement of parties, the names of the Ministries were amended to refer to the</w:t>
      </w:r>
      <w:r w:rsidR="00D8672A">
        <w:rPr>
          <w:rFonts w:ascii="Arial" w:hAnsi="Arial" w:cs="Arial"/>
          <w:sz w:val="24"/>
          <w:szCs w:val="24"/>
        </w:rPr>
        <w:t xml:space="preserve">ir </w:t>
      </w:r>
      <w:r w:rsidR="008E528C">
        <w:rPr>
          <w:rFonts w:ascii="Arial" w:hAnsi="Arial" w:cs="Arial"/>
          <w:sz w:val="24"/>
          <w:szCs w:val="24"/>
        </w:rPr>
        <w:t>current</w:t>
      </w:r>
      <w:r w:rsidR="00D8672A">
        <w:rPr>
          <w:rFonts w:ascii="Arial" w:hAnsi="Arial" w:cs="Arial"/>
          <w:sz w:val="24"/>
          <w:szCs w:val="24"/>
        </w:rPr>
        <w:t xml:space="preserve"> appellations.  There was no objection for Co-Respondent No 5 to be </w:t>
      </w:r>
      <w:r w:rsidR="004B2E43">
        <w:rPr>
          <w:rFonts w:ascii="Arial" w:hAnsi="Arial" w:cs="Arial"/>
          <w:sz w:val="24"/>
          <w:szCs w:val="24"/>
        </w:rPr>
        <w:t xml:space="preserve">also </w:t>
      </w:r>
      <w:r w:rsidR="00D8672A">
        <w:rPr>
          <w:rFonts w:ascii="Arial" w:hAnsi="Arial" w:cs="Arial"/>
          <w:sz w:val="24"/>
          <w:szCs w:val="24"/>
        </w:rPr>
        <w:t>joined as a party since the responsibilities f</w:t>
      </w:r>
      <w:r w:rsidR="008E528C">
        <w:rPr>
          <w:rFonts w:ascii="Arial" w:hAnsi="Arial" w:cs="Arial"/>
          <w:sz w:val="24"/>
          <w:szCs w:val="24"/>
        </w:rPr>
        <w:t>or</w:t>
      </w:r>
      <w:r w:rsidR="00D8672A">
        <w:rPr>
          <w:rFonts w:ascii="Arial" w:hAnsi="Arial" w:cs="Arial"/>
          <w:sz w:val="24"/>
          <w:szCs w:val="24"/>
        </w:rPr>
        <w:t xml:space="preserve"> “Training” </w:t>
      </w:r>
      <w:r w:rsidR="008E528C">
        <w:rPr>
          <w:rFonts w:ascii="Arial" w:hAnsi="Arial" w:cs="Arial"/>
          <w:sz w:val="24"/>
          <w:szCs w:val="24"/>
        </w:rPr>
        <w:t xml:space="preserve">now </w:t>
      </w:r>
      <w:r w:rsidR="00D8672A">
        <w:rPr>
          <w:rFonts w:ascii="Arial" w:hAnsi="Arial" w:cs="Arial"/>
          <w:sz w:val="24"/>
          <w:szCs w:val="24"/>
        </w:rPr>
        <w:t>f</w:t>
      </w:r>
      <w:r w:rsidR="008E528C">
        <w:rPr>
          <w:rFonts w:ascii="Arial" w:hAnsi="Arial" w:cs="Arial"/>
          <w:sz w:val="24"/>
          <w:szCs w:val="24"/>
        </w:rPr>
        <w:t>a</w:t>
      </w:r>
      <w:r w:rsidR="00D8672A">
        <w:rPr>
          <w:rFonts w:ascii="Arial" w:hAnsi="Arial" w:cs="Arial"/>
          <w:sz w:val="24"/>
          <w:szCs w:val="24"/>
        </w:rPr>
        <w:t xml:space="preserve">ll under Co-Respondent No 5 and not under Co-Respondent No 1.  </w:t>
      </w:r>
      <w:r w:rsidR="001A5236">
        <w:rPr>
          <w:rFonts w:ascii="Arial" w:hAnsi="Arial" w:cs="Arial"/>
          <w:sz w:val="24"/>
          <w:szCs w:val="24"/>
        </w:rPr>
        <w:t xml:space="preserve">Co-Respondent No 5 was given ample time to take cognizance of </w:t>
      </w:r>
      <w:r w:rsidR="001065CA">
        <w:rPr>
          <w:rFonts w:ascii="Arial" w:hAnsi="Arial" w:cs="Arial"/>
          <w:sz w:val="24"/>
          <w:szCs w:val="24"/>
        </w:rPr>
        <w:t xml:space="preserve">the </w:t>
      </w:r>
      <w:r w:rsidR="008E528C">
        <w:rPr>
          <w:rFonts w:ascii="Arial" w:hAnsi="Arial" w:cs="Arial"/>
          <w:sz w:val="24"/>
          <w:szCs w:val="24"/>
        </w:rPr>
        <w:t xml:space="preserve">case including </w:t>
      </w:r>
      <w:r w:rsidR="001A5236">
        <w:rPr>
          <w:rFonts w:ascii="Arial" w:hAnsi="Arial" w:cs="Arial"/>
          <w:sz w:val="24"/>
          <w:szCs w:val="24"/>
        </w:rPr>
        <w:t xml:space="preserve">proceedings held </w:t>
      </w:r>
      <w:r w:rsidR="00C9070F">
        <w:rPr>
          <w:rFonts w:ascii="Arial" w:hAnsi="Arial" w:cs="Arial"/>
          <w:sz w:val="24"/>
          <w:szCs w:val="24"/>
        </w:rPr>
        <w:t>until then a</w:t>
      </w:r>
      <w:r w:rsidR="001A5236">
        <w:rPr>
          <w:rFonts w:ascii="Arial" w:hAnsi="Arial" w:cs="Arial"/>
          <w:sz w:val="24"/>
          <w:szCs w:val="24"/>
        </w:rPr>
        <w:t xml:space="preserve">nd also the opportunity to file any statement of case.  </w:t>
      </w:r>
      <w:r w:rsidR="001065CA">
        <w:rPr>
          <w:rFonts w:ascii="Arial" w:hAnsi="Arial" w:cs="Arial"/>
          <w:sz w:val="24"/>
          <w:szCs w:val="24"/>
        </w:rPr>
        <w:t xml:space="preserve">Co-Respondent No 5 decided not to file any statement of case and the stand of Co-Respondent No 5 was to abide by the decision of the Tribunal.  </w:t>
      </w:r>
      <w:r w:rsidR="001349A3">
        <w:rPr>
          <w:rFonts w:ascii="Arial" w:hAnsi="Arial" w:cs="Arial"/>
          <w:sz w:val="24"/>
          <w:szCs w:val="24"/>
        </w:rPr>
        <w:t xml:space="preserve">All the parties were assisted by Counsel except for Co-Respondent No 4 who was not assisted by Counsel.  </w:t>
      </w:r>
      <w:r w:rsidR="00E66185">
        <w:rPr>
          <w:rFonts w:ascii="Arial" w:hAnsi="Arial" w:cs="Arial"/>
          <w:sz w:val="24"/>
          <w:szCs w:val="24"/>
        </w:rPr>
        <w:t xml:space="preserve">The Tribunal bore in mind that the Mauritius Institute of Training and Development was the Respondent in the case, that Co-Respondent No 5 was only joined </w:t>
      </w:r>
      <w:r w:rsidR="00C9070F">
        <w:rPr>
          <w:rFonts w:ascii="Arial" w:hAnsi="Arial" w:cs="Arial"/>
          <w:sz w:val="24"/>
          <w:szCs w:val="24"/>
        </w:rPr>
        <w:t>a</w:t>
      </w:r>
      <w:r w:rsidR="00E66185">
        <w:rPr>
          <w:rFonts w:ascii="Arial" w:hAnsi="Arial" w:cs="Arial"/>
          <w:sz w:val="24"/>
          <w:szCs w:val="24"/>
        </w:rPr>
        <w:t xml:space="preserve">s a </w:t>
      </w:r>
      <w:r w:rsidR="004B2E43">
        <w:rPr>
          <w:rFonts w:ascii="Arial" w:hAnsi="Arial" w:cs="Arial"/>
          <w:sz w:val="24"/>
          <w:szCs w:val="24"/>
        </w:rPr>
        <w:t>c</w:t>
      </w:r>
      <w:r w:rsidR="00E66185">
        <w:rPr>
          <w:rFonts w:ascii="Arial" w:hAnsi="Arial" w:cs="Arial"/>
          <w:sz w:val="24"/>
          <w:szCs w:val="24"/>
        </w:rPr>
        <w:t>o-</w:t>
      </w:r>
      <w:r w:rsidR="004B2E43">
        <w:rPr>
          <w:rFonts w:ascii="Arial" w:hAnsi="Arial" w:cs="Arial"/>
          <w:sz w:val="24"/>
          <w:szCs w:val="24"/>
        </w:rPr>
        <w:t>r</w:t>
      </w:r>
      <w:r w:rsidR="00E66185">
        <w:rPr>
          <w:rFonts w:ascii="Arial" w:hAnsi="Arial" w:cs="Arial"/>
          <w:sz w:val="24"/>
          <w:szCs w:val="24"/>
        </w:rPr>
        <w:t xml:space="preserve">espondent with new responsibilities pertaining to “Training” as from a particular date (whereas this responsibility was </w:t>
      </w:r>
      <w:r w:rsidR="00C9070F">
        <w:rPr>
          <w:rFonts w:ascii="Arial" w:hAnsi="Arial" w:cs="Arial"/>
          <w:sz w:val="24"/>
          <w:szCs w:val="24"/>
        </w:rPr>
        <w:t>that of C</w:t>
      </w:r>
      <w:r w:rsidR="00E66185">
        <w:rPr>
          <w:rFonts w:ascii="Arial" w:hAnsi="Arial" w:cs="Arial"/>
          <w:sz w:val="24"/>
          <w:szCs w:val="24"/>
        </w:rPr>
        <w:t xml:space="preserve">o-Respondent No 1 </w:t>
      </w:r>
      <w:r w:rsidR="00C9070F">
        <w:rPr>
          <w:rFonts w:ascii="Arial" w:hAnsi="Arial" w:cs="Arial"/>
          <w:sz w:val="24"/>
          <w:szCs w:val="24"/>
        </w:rPr>
        <w:t>before this change in responsibilities and appellations of Ministries</w:t>
      </w:r>
      <w:r w:rsidR="00E66185">
        <w:rPr>
          <w:rFonts w:ascii="Arial" w:hAnsi="Arial" w:cs="Arial"/>
          <w:sz w:val="24"/>
          <w:szCs w:val="24"/>
        </w:rPr>
        <w:t>)</w:t>
      </w:r>
      <w:r w:rsidR="00C9070F">
        <w:rPr>
          <w:rFonts w:ascii="Arial" w:hAnsi="Arial" w:cs="Arial"/>
          <w:sz w:val="24"/>
          <w:szCs w:val="24"/>
        </w:rPr>
        <w:t xml:space="preserve"> </w:t>
      </w:r>
      <w:r w:rsidR="0045445B">
        <w:rPr>
          <w:rFonts w:ascii="Arial" w:hAnsi="Arial" w:cs="Arial"/>
          <w:sz w:val="24"/>
          <w:szCs w:val="24"/>
        </w:rPr>
        <w:t xml:space="preserve">and that Co-Respondent No 5 was </w:t>
      </w:r>
      <w:r w:rsidR="00A848FA">
        <w:rPr>
          <w:rFonts w:ascii="Arial" w:hAnsi="Arial" w:cs="Arial"/>
          <w:sz w:val="24"/>
          <w:szCs w:val="24"/>
        </w:rPr>
        <w:t>offered</w:t>
      </w:r>
      <w:r w:rsidR="0045445B">
        <w:rPr>
          <w:rFonts w:ascii="Arial" w:hAnsi="Arial" w:cs="Arial"/>
          <w:sz w:val="24"/>
          <w:szCs w:val="24"/>
        </w:rPr>
        <w:t xml:space="preserve"> the opportunity to cross-examine </w:t>
      </w:r>
      <w:r w:rsidR="00C9070F">
        <w:rPr>
          <w:rFonts w:ascii="Arial" w:hAnsi="Arial" w:cs="Arial"/>
          <w:sz w:val="24"/>
          <w:szCs w:val="24"/>
        </w:rPr>
        <w:t xml:space="preserve">witnesses </w:t>
      </w:r>
      <w:r w:rsidR="0045445B">
        <w:rPr>
          <w:rFonts w:ascii="Arial" w:hAnsi="Arial" w:cs="Arial"/>
          <w:sz w:val="24"/>
          <w:szCs w:val="24"/>
        </w:rPr>
        <w:t xml:space="preserve">and to adduce evidence if it so wished despite that </w:t>
      </w:r>
      <w:r w:rsidR="00C9070F">
        <w:rPr>
          <w:rFonts w:ascii="Arial" w:hAnsi="Arial" w:cs="Arial"/>
          <w:sz w:val="24"/>
          <w:szCs w:val="24"/>
        </w:rPr>
        <w:t>Co-Respondent No 5</w:t>
      </w:r>
      <w:r w:rsidR="0045445B">
        <w:rPr>
          <w:rFonts w:ascii="Arial" w:hAnsi="Arial" w:cs="Arial"/>
          <w:sz w:val="24"/>
          <w:szCs w:val="24"/>
        </w:rPr>
        <w:t xml:space="preserve"> </w:t>
      </w:r>
      <w:r w:rsidR="00C9070F">
        <w:rPr>
          <w:rFonts w:ascii="Arial" w:hAnsi="Arial" w:cs="Arial"/>
          <w:sz w:val="24"/>
          <w:szCs w:val="24"/>
        </w:rPr>
        <w:t xml:space="preserve">decided to </w:t>
      </w:r>
      <w:r w:rsidR="0045445B">
        <w:rPr>
          <w:rFonts w:ascii="Arial" w:hAnsi="Arial" w:cs="Arial"/>
          <w:sz w:val="24"/>
          <w:szCs w:val="24"/>
        </w:rPr>
        <w:t>abid</w:t>
      </w:r>
      <w:r w:rsidR="00C9070F">
        <w:rPr>
          <w:rFonts w:ascii="Arial" w:hAnsi="Arial" w:cs="Arial"/>
          <w:sz w:val="24"/>
          <w:szCs w:val="24"/>
        </w:rPr>
        <w:t>e</w:t>
      </w:r>
      <w:r w:rsidR="0045445B">
        <w:rPr>
          <w:rFonts w:ascii="Arial" w:hAnsi="Arial" w:cs="Arial"/>
          <w:sz w:val="24"/>
          <w:szCs w:val="24"/>
        </w:rPr>
        <w:t xml:space="preserve"> by the decision of the Tribunal.  The Tribunal </w:t>
      </w:r>
      <w:r w:rsidR="00C9070F">
        <w:rPr>
          <w:rFonts w:ascii="Arial" w:hAnsi="Arial" w:cs="Arial"/>
          <w:sz w:val="24"/>
          <w:szCs w:val="24"/>
        </w:rPr>
        <w:t xml:space="preserve">also </w:t>
      </w:r>
      <w:r w:rsidR="0045445B">
        <w:rPr>
          <w:rFonts w:ascii="Arial" w:hAnsi="Arial" w:cs="Arial"/>
          <w:sz w:val="24"/>
          <w:szCs w:val="24"/>
        </w:rPr>
        <w:t xml:space="preserve">bore in mind the principles enunciated in section 97 of the Act, </w:t>
      </w:r>
      <w:r w:rsidR="00A848FA">
        <w:rPr>
          <w:rFonts w:ascii="Arial" w:hAnsi="Arial" w:cs="Arial"/>
          <w:sz w:val="24"/>
          <w:szCs w:val="24"/>
        </w:rPr>
        <w:t xml:space="preserve">that </w:t>
      </w:r>
      <w:r w:rsidR="004F3E0C">
        <w:rPr>
          <w:rFonts w:ascii="Arial" w:hAnsi="Arial" w:cs="Arial"/>
          <w:sz w:val="24"/>
          <w:szCs w:val="24"/>
        </w:rPr>
        <w:t>th</w:t>
      </w:r>
      <w:r w:rsidR="00B632F2">
        <w:rPr>
          <w:rFonts w:ascii="Arial" w:hAnsi="Arial" w:cs="Arial"/>
          <w:sz w:val="24"/>
          <w:szCs w:val="24"/>
        </w:rPr>
        <w:t xml:space="preserve">e present matter concerns </w:t>
      </w:r>
      <w:r w:rsidR="004F3E0C">
        <w:rPr>
          <w:rFonts w:ascii="Arial" w:hAnsi="Arial" w:cs="Arial"/>
          <w:sz w:val="24"/>
          <w:szCs w:val="24"/>
        </w:rPr>
        <w:t xml:space="preserve">employment </w:t>
      </w:r>
      <w:r w:rsidR="00AD2148">
        <w:rPr>
          <w:rFonts w:ascii="Arial" w:hAnsi="Arial" w:cs="Arial"/>
          <w:sz w:val="24"/>
          <w:szCs w:val="24"/>
        </w:rPr>
        <w:t>relations disputes,</w:t>
      </w:r>
      <w:r w:rsidR="004F3E0C">
        <w:rPr>
          <w:rFonts w:ascii="Arial" w:hAnsi="Arial" w:cs="Arial"/>
          <w:sz w:val="24"/>
          <w:szCs w:val="24"/>
        </w:rPr>
        <w:t xml:space="preserve"> </w:t>
      </w:r>
      <w:r w:rsidR="0045445B">
        <w:rPr>
          <w:rFonts w:ascii="Arial" w:hAnsi="Arial" w:cs="Arial"/>
          <w:sz w:val="24"/>
          <w:szCs w:val="24"/>
        </w:rPr>
        <w:t xml:space="preserve">the </w:t>
      </w:r>
      <w:r w:rsidR="004F3E0C">
        <w:rPr>
          <w:rFonts w:ascii="Arial" w:hAnsi="Arial" w:cs="Arial"/>
          <w:sz w:val="24"/>
          <w:szCs w:val="24"/>
        </w:rPr>
        <w:t xml:space="preserve">possibility given to the Tribunal to deal with the </w:t>
      </w:r>
      <w:r w:rsidR="00B632F2">
        <w:rPr>
          <w:rFonts w:ascii="Arial" w:hAnsi="Arial" w:cs="Arial"/>
          <w:sz w:val="24"/>
          <w:szCs w:val="24"/>
        </w:rPr>
        <w:t>matter</w:t>
      </w:r>
      <w:r w:rsidR="004F3E0C">
        <w:rPr>
          <w:rFonts w:ascii="Arial" w:hAnsi="Arial" w:cs="Arial"/>
          <w:sz w:val="24"/>
          <w:szCs w:val="24"/>
        </w:rPr>
        <w:t xml:space="preserve"> with a minimum of </w:t>
      </w:r>
      <w:r w:rsidR="00B632F2">
        <w:rPr>
          <w:rFonts w:ascii="Arial" w:hAnsi="Arial" w:cs="Arial"/>
          <w:sz w:val="24"/>
          <w:szCs w:val="24"/>
        </w:rPr>
        <w:t xml:space="preserve">legal </w:t>
      </w:r>
      <w:r w:rsidR="004F3E0C">
        <w:rPr>
          <w:rFonts w:ascii="Arial" w:hAnsi="Arial" w:cs="Arial"/>
          <w:sz w:val="24"/>
          <w:szCs w:val="24"/>
        </w:rPr>
        <w:t xml:space="preserve">formalities (section </w:t>
      </w:r>
      <w:r w:rsidR="00B632F2">
        <w:rPr>
          <w:rFonts w:ascii="Arial" w:hAnsi="Arial" w:cs="Arial"/>
          <w:sz w:val="24"/>
          <w:szCs w:val="24"/>
        </w:rPr>
        <w:t>15 o</w:t>
      </w:r>
      <w:r w:rsidR="004F3E0C">
        <w:rPr>
          <w:rFonts w:ascii="Arial" w:hAnsi="Arial" w:cs="Arial"/>
          <w:sz w:val="24"/>
          <w:szCs w:val="24"/>
        </w:rPr>
        <w:t xml:space="preserve">f the </w:t>
      </w:r>
      <w:r w:rsidR="00B632F2">
        <w:rPr>
          <w:rFonts w:ascii="Arial" w:hAnsi="Arial" w:cs="Arial"/>
          <w:sz w:val="24"/>
          <w:szCs w:val="24"/>
        </w:rPr>
        <w:t>Second S</w:t>
      </w:r>
      <w:r w:rsidR="004F3E0C">
        <w:rPr>
          <w:rFonts w:ascii="Arial" w:hAnsi="Arial" w:cs="Arial"/>
          <w:sz w:val="24"/>
          <w:szCs w:val="24"/>
        </w:rPr>
        <w:t xml:space="preserve">chedule </w:t>
      </w:r>
      <w:r w:rsidR="00B632F2">
        <w:rPr>
          <w:rFonts w:ascii="Arial" w:hAnsi="Arial" w:cs="Arial"/>
          <w:sz w:val="24"/>
          <w:szCs w:val="24"/>
        </w:rPr>
        <w:t>to the Act</w:t>
      </w:r>
      <w:r w:rsidR="004F3E0C">
        <w:rPr>
          <w:rFonts w:ascii="Arial" w:hAnsi="Arial" w:cs="Arial"/>
          <w:sz w:val="24"/>
          <w:szCs w:val="24"/>
        </w:rPr>
        <w:t xml:space="preserve">) and </w:t>
      </w:r>
      <w:r w:rsidR="00AD2148">
        <w:rPr>
          <w:rFonts w:ascii="Arial" w:hAnsi="Arial" w:cs="Arial"/>
          <w:sz w:val="24"/>
          <w:szCs w:val="24"/>
        </w:rPr>
        <w:t xml:space="preserve">the </w:t>
      </w:r>
      <w:r w:rsidR="00A848FA">
        <w:rPr>
          <w:rFonts w:ascii="Arial" w:hAnsi="Arial" w:cs="Arial"/>
          <w:sz w:val="24"/>
          <w:szCs w:val="24"/>
        </w:rPr>
        <w:t>different</w:t>
      </w:r>
      <w:r w:rsidR="00AD2148">
        <w:rPr>
          <w:rFonts w:ascii="Arial" w:hAnsi="Arial" w:cs="Arial"/>
          <w:sz w:val="24"/>
          <w:szCs w:val="24"/>
        </w:rPr>
        <w:t xml:space="preserve"> stand</w:t>
      </w:r>
      <w:r w:rsidR="00A848FA">
        <w:rPr>
          <w:rFonts w:ascii="Arial" w:hAnsi="Arial" w:cs="Arial"/>
          <w:sz w:val="24"/>
          <w:szCs w:val="24"/>
        </w:rPr>
        <w:t>s</w:t>
      </w:r>
      <w:r w:rsidR="00AD2148">
        <w:rPr>
          <w:rFonts w:ascii="Arial" w:hAnsi="Arial" w:cs="Arial"/>
          <w:sz w:val="24"/>
          <w:szCs w:val="24"/>
        </w:rPr>
        <w:t xml:space="preserve"> of </w:t>
      </w:r>
      <w:r w:rsidR="00A848FA">
        <w:rPr>
          <w:rFonts w:ascii="Arial" w:hAnsi="Arial" w:cs="Arial"/>
          <w:sz w:val="24"/>
          <w:szCs w:val="24"/>
        </w:rPr>
        <w:t xml:space="preserve">the </w:t>
      </w:r>
      <w:r w:rsidR="00AD2148">
        <w:rPr>
          <w:rFonts w:ascii="Arial" w:hAnsi="Arial" w:cs="Arial"/>
          <w:sz w:val="24"/>
          <w:szCs w:val="24"/>
        </w:rPr>
        <w:t xml:space="preserve">parties before us.  </w:t>
      </w:r>
      <w:r w:rsidRPr="00FB39E3">
        <w:rPr>
          <w:rFonts w:ascii="Arial" w:hAnsi="Arial" w:cs="Arial"/>
          <w:sz w:val="24"/>
          <w:szCs w:val="24"/>
        </w:rPr>
        <w:t xml:space="preserve">The terms of reference </w:t>
      </w:r>
      <w:r w:rsidR="00251C54">
        <w:rPr>
          <w:rFonts w:ascii="Arial" w:hAnsi="Arial" w:cs="Arial"/>
          <w:sz w:val="24"/>
          <w:szCs w:val="24"/>
        </w:rPr>
        <w:t>are</w:t>
      </w:r>
      <w:r w:rsidR="00F33410">
        <w:rPr>
          <w:rFonts w:ascii="Arial" w:hAnsi="Arial" w:cs="Arial"/>
          <w:sz w:val="24"/>
          <w:szCs w:val="24"/>
        </w:rPr>
        <w:t xml:space="preserve"> identical </w:t>
      </w:r>
      <w:r w:rsidR="0096359A">
        <w:rPr>
          <w:rFonts w:ascii="Arial" w:hAnsi="Arial" w:cs="Arial"/>
          <w:sz w:val="24"/>
          <w:szCs w:val="24"/>
        </w:rPr>
        <w:t>i</w:t>
      </w:r>
      <w:r w:rsidR="00F33410">
        <w:rPr>
          <w:rFonts w:ascii="Arial" w:hAnsi="Arial" w:cs="Arial"/>
          <w:sz w:val="24"/>
          <w:szCs w:val="24"/>
        </w:rPr>
        <w:t xml:space="preserve">n all the cases and read as </w:t>
      </w:r>
      <w:r w:rsidRPr="00FB39E3">
        <w:rPr>
          <w:rFonts w:ascii="Arial" w:hAnsi="Arial" w:cs="Arial"/>
          <w:sz w:val="24"/>
          <w:szCs w:val="24"/>
        </w:rPr>
        <w:t xml:space="preserve">follows: </w:t>
      </w:r>
    </w:p>
    <w:p w14:paraId="51C079EC" w14:textId="77777777" w:rsidR="00633AF7" w:rsidRPr="0096359A" w:rsidRDefault="00633AF7" w:rsidP="00633AF7">
      <w:pPr>
        <w:pStyle w:val="NoSpacing"/>
        <w:numPr>
          <w:ilvl w:val="0"/>
          <w:numId w:val="6"/>
        </w:numPr>
        <w:jc w:val="both"/>
        <w:rPr>
          <w:rFonts w:ascii="Arial" w:hAnsi="Arial" w:cs="Arial"/>
          <w:i/>
          <w:sz w:val="24"/>
          <w:szCs w:val="24"/>
        </w:rPr>
      </w:pPr>
      <w:r w:rsidRPr="0096359A">
        <w:rPr>
          <w:rFonts w:ascii="Arial" w:hAnsi="Arial" w:cs="Arial"/>
          <w:i/>
          <w:sz w:val="24"/>
          <w:szCs w:val="24"/>
        </w:rPr>
        <w:t>“Whether the post of Officer-in-Charge should be placed on the establishment and organisation structure of the Mauritius Institute of Training and Development (MITD).”</w:t>
      </w:r>
    </w:p>
    <w:p w14:paraId="60122AD9" w14:textId="77777777" w:rsidR="00633AF7" w:rsidRPr="0096359A" w:rsidRDefault="00633AF7" w:rsidP="00633AF7">
      <w:pPr>
        <w:pStyle w:val="NoSpacing"/>
        <w:jc w:val="both"/>
        <w:rPr>
          <w:rFonts w:ascii="Arial" w:hAnsi="Arial" w:cs="Arial"/>
          <w:i/>
          <w:sz w:val="24"/>
          <w:szCs w:val="24"/>
        </w:rPr>
      </w:pPr>
    </w:p>
    <w:p w14:paraId="3402B80D" w14:textId="77777777" w:rsidR="00633AF7" w:rsidRPr="0096359A" w:rsidRDefault="00633AF7" w:rsidP="00633AF7">
      <w:pPr>
        <w:pStyle w:val="NoSpacing"/>
        <w:numPr>
          <w:ilvl w:val="0"/>
          <w:numId w:val="6"/>
        </w:numPr>
        <w:jc w:val="both"/>
        <w:rPr>
          <w:rFonts w:ascii="Arial" w:hAnsi="Arial" w:cs="Arial"/>
          <w:i/>
          <w:sz w:val="24"/>
          <w:szCs w:val="24"/>
        </w:rPr>
      </w:pPr>
      <w:r w:rsidRPr="0096359A">
        <w:rPr>
          <w:rFonts w:ascii="Arial" w:hAnsi="Arial" w:cs="Arial"/>
          <w:i/>
          <w:sz w:val="24"/>
          <w:szCs w:val="24"/>
        </w:rPr>
        <w:t>“Whether the MITD should recognise me as Officer-in-Charge since the time I have been performing the duties as such.”</w:t>
      </w:r>
    </w:p>
    <w:p w14:paraId="675B8FCE" w14:textId="77777777" w:rsidR="00633AF7" w:rsidRPr="0096359A" w:rsidRDefault="00633AF7" w:rsidP="00633AF7">
      <w:pPr>
        <w:pStyle w:val="ListParagraph"/>
        <w:jc w:val="both"/>
        <w:rPr>
          <w:rFonts w:ascii="Arial" w:hAnsi="Arial" w:cs="Arial"/>
          <w:i/>
          <w:sz w:val="24"/>
          <w:szCs w:val="24"/>
        </w:rPr>
      </w:pPr>
    </w:p>
    <w:p w14:paraId="3EA8BDCF" w14:textId="77777777" w:rsidR="00633AF7" w:rsidRPr="0096359A" w:rsidRDefault="00633AF7" w:rsidP="00633AF7">
      <w:pPr>
        <w:pStyle w:val="NoSpacing"/>
        <w:numPr>
          <w:ilvl w:val="0"/>
          <w:numId w:val="6"/>
        </w:numPr>
        <w:jc w:val="both"/>
        <w:rPr>
          <w:rFonts w:ascii="Arial" w:hAnsi="Arial" w:cs="Arial"/>
          <w:i/>
          <w:sz w:val="24"/>
          <w:szCs w:val="24"/>
        </w:rPr>
      </w:pPr>
      <w:r w:rsidRPr="0096359A">
        <w:rPr>
          <w:rFonts w:ascii="Arial" w:hAnsi="Arial" w:cs="Arial"/>
          <w:i/>
          <w:sz w:val="24"/>
          <w:szCs w:val="24"/>
        </w:rPr>
        <w:t>“Whether the unilateral decision of the MITD to change the appellation of the acting/responsibility allowance which was paid to Officers-in-Charge as per the conditions of the post to an Adhoc allowance be declared null and void.”</w:t>
      </w:r>
    </w:p>
    <w:p w14:paraId="6A867E38" w14:textId="77777777" w:rsidR="00633AF7" w:rsidRPr="0096359A" w:rsidRDefault="00633AF7" w:rsidP="00633AF7">
      <w:pPr>
        <w:pStyle w:val="ListParagraph"/>
        <w:jc w:val="both"/>
        <w:rPr>
          <w:rFonts w:ascii="Arial" w:hAnsi="Arial" w:cs="Arial"/>
          <w:i/>
          <w:sz w:val="24"/>
          <w:szCs w:val="24"/>
        </w:rPr>
      </w:pPr>
    </w:p>
    <w:p w14:paraId="44A52A3F" w14:textId="77777777" w:rsidR="00633AF7" w:rsidRPr="0096359A" w:rsidRDefault="00633AF7" w:rsidP="00633AF7">
      <w:pPr>
        <w:pStyle w:val="NoSpacing"/>
        <w:numPr>
          <w:ilvl w:val="0"/>
          <w:numId w:val="6"/>
        </w:numPr>
        <w:jc w:val="both"/>
        <w:rPr>
          <w:rFonts w:ascii="Arial" w:hAnsi="Arial" w:cs="Arial"/>
          <w:i/>
          <w:sz w:val="24"/>
          <w:szCs w:val="24"/>
        </w:rPr>
      </w:pPr>
      <w:r w:rsidRPr="0096359A">
        <w:rPr>
          <w:rFonts w:ascii="Arial" w:hAnsi="Arial" w:cs="Arial"/>
          <w:i/>
          <w:sz w:val="24"/>
          <w:szCs w:val="24"/>
        </w:rPr>
        <w:t>“Whether the allowance (3 increments worth) forming part of my remuneration should:</w:t>
      </w:r>
    </w:p>
    <w:p w14:paraId="0F528F0D" w14:textId="77777777" w:rsidR="00633AF7" w:rsidRPr="0096359A" w:rsidRDefault="00633AF7" w:rsidP="00633AF7">
      <w:pPr>
        <w:pStyle w:val="NoSpacing"/>
        <w:numPr>
          <w:ilvl w:val="0"/>
          <w:numId w:val="7"/>
        </w:numPr>
        <w:jc w:val="both"/>
        <w:rPr>
          <w:rFonts w:ascii="Arial" w:hAnsi="Arial" w:cs="Arial"/>
          <w:i/>
          <w:sz w:val="24"/>
          <w:szCs w:val="24"/>
        </w:rPr>
      </w:pPr>
      <w:r w:rsidRPr="0096359A">
        <w:rPr>
          <w:rFonts w:ascii="Arial" w:hAnsi="Arial" w:cs="Arial"/>
          <w:i/>
          <w:sz w:val="24"/>
          <w:szCs w:val="24"/>
        </w:rPr>
        <w:lastRenderedPageBreak/>
        <w:t>Be computed for the purposes of the lump sum and pension payable to me at the time of my retirement and;</w:t>
      </w:r>
    </w:p>
    <w:p w14:paraId="6D46A93B" w14:textId="77777777" w:rsidR="00633AF7" w:rsidRPr="0096359A" w:rsidRDefault="00633AF7" w:rsidP="00633AF7">
      <w:pPr>
        <w:pStyle w:val="NoSpacing"/>
        <w:numPr>
          <w:ilvl w:val="0"/>
          <w:numId w:val="7"/>
        </w:numPr>
        <w:jc w:val="both"/>
        <w:rPr>
          <w:rFonts w:ascii="Arial" w:hAnsi="Arial" w:cs="Arial"/>
          <w:i/>
          <w:sz w:val="24"/>
          <w:szCs w:val="24"/>
        </w:rPr>
      </w:pPr>
      <w:r w:rsidRPr="0096359A">
        <w:rPr>
          <w:rFonts w:ascii="Arial" w:hAnsi="Arial" w:cs="Arial"/>
          <w:i/>
          <w:sz w:val="24"/>
          <w:szCs w:val="24"/>
        </w:rPr>
        <w:t>Should form part of my salary for all purposes.”</w:t>
      </w:r>
    </w:p>
    <w:p w14:paraId="4AD72F86" w14:textId="77777777" w:rsidR="00633AF7" w:rsidRPr="0096359A" w:rsidRDefault="00633AF7" w:rsidP="00633AF7">
      <w:pPr>
        <w:pStyle w:val="NoSpacing"/>
        <w:jc w:val="both"/>
        <w:rPr>
          <w:rFonts w:ascii="Arial" w:hAnsi="Arial" w:cs="Arial"/>
          <w:i/>
          <w:sz w:val="24"/>
          <w:szCs w:val="24"/>
        </w:rPr>
      </w:pPr>
    </w:p>
    <w:p w14:paraId="3C470185" w14:textId="77777777" w:rsidR="00633AF7" w:rsidRPr="0096359A" w:rsidRDefault="00633AF7" w:rsidP="00633AF7">
      <w:pPr>
        <w:pStyle w:val="NoSpacing"/>
        <w:jc w:val="both"/>
        <w:rPr>
          <w:rFonts w:ascii="Arial" w:hAnsi="Arial" w:cs="Arial"/>
          <w:i/>
          <w:sz w:val="24"/>
          <w:szCs w:val="24"/>
        </w:rPr>
      </w:pPr>
    </w:p>
    <w:p w14:paraId="0B121CFE" w14:textId="655DEA0B" w:rsidR="00C22ECD" w:rsidRDefault="00B62FBD" w:rsidP="00253AF6">
      <w:pPr>
        <w:jc w:val="both"/>
        <w:rPr>
          <w:rFonts w:ascii="Arial" w:hAnsi="Arial" w:cs="Arial"/>
          <w:sz w:val="24"/>
          <w:szCs w:val="24"/>
          <w:lang w:val="en-GB"/>
        </w:rPr>
      </w:pPr>
      <w:r>
        <w:rPr>
          <w:rFonts w:ascii="Arial" w:hAnsi="Arial" w:cs="Arial"/>
          <w:sz w:val="24"/>
          <w:szCs w:val="24"/>
          <w:lang w:val="en-GB"/>
        </w:rPr>
        <w:t xml:space="preserve">Disputant No 7 deponed </w:t>
      </w:r>
      <w:r w:rsidR="008D5935">
        <w:rPr>
          <w:rFonts w:ascii="Arial" w:hAnsi="Arial" w:cs="Arial"/>
          <w:sz w:val="24"/>
          <w:szCs w:val="24"/>
          <w:lang w:val="en-GB"/>
        </w:rPr>
        <w:t xml:space="preserve">on his own behalf and on behalf of the six other disputants </w:t>
      </w:r>
      <w:r>
        <w:rPr>
          <w:rFonts w:ascii="Arial" w:hAnsi="Arial" w:cs="Arial"/>
          <w:sz w:val="24"/>
          <w:szCs w:val="24"/>
          <w:lang w:val="en-GB"/>
        </w:rPr>
        <w:t>before the Tribunal</w:t>
      </w:r>
      <w:r w:rsidR="008D5935">
        <w:rPr>
          <w:rFonts w:ascii="Arial" w:hAnsi="Arial" w:cs="Arial"/>
          <w:sz w:val="24"/>
          <w:szCs w:val="24"/>
          <w:lang w:val="en-GB"/>
        </w:rPr>
        <w:t>.</w:t>
      </w:r>
      <w:r w:rsidR="00A93982">
        <w:rPr>
          <w:rFonts w:ascii="Arial" w:hAnsi="Arial" w:cs="Arial"/>
          <w:sz w:val="24"/>
          <w:szCs w:val="24"/>
          <w:lang w:val="en-GB"/>
        </w:rPr>
        <w:t xml:space="preserve">  He </w:t>
      </w:r>
      <w:r>
        <w:rPr>
          <w:rFonts w:ascii="Arial" w:hAnsi="Arial" w:cs="Arial"/>
          <w:sz w:val="24"/>
          <w:szCs w:val="24"/>
          <w:lang w:val="en-GB"/>
        </w:rPr>
        <w:t xml:space="preserve">solemnly affirmed as to the </w:t>
      </w:r>
      <w:r w:rsidR="00A93982">
        <w:rPr>
          <w:rFonts w:ascii="Arial" w:hAnsi="Arial" w:cs="Arial"/>
          <w:sz w:val="24"/>
          <w:szCs w:val="24"/>
          <w:lang w:val="en-GB"/>
        </w:rPr>
        <w:t xml:space="preserve">correctness </w:t>
      </w:r>
      <w:r>
        <w:rPr>
          <w:rFonts w:ascii="Arial" w:hAnsi="Arial" w:cs="Arial"/>
          <w:sz w:val="24"/>
          <w:szCs w:val="24"/>
          <w:lang w:val="en-GB"/>
        </w:rPr>
        <w:t>of the contents of his Statement of Case</w:t>
      </w:r>
      <w:r w:rsidR="00A93982">
        <w:rPr>
          <w:rFonts w:ascii="Arial" w:hAnsi="Arial" w:cs="Arial"/>
          <w:sz w:val="24"/>
          <w:szCs w:val="24"/>
          <w:lang w:val="en-GB"/>
        </w:rPr>
        <w:t xml:space="preserve">.  His evidence was to the effect that the facts in the Statements of Case of the other disputants were similar to those in his own Statement of Case except for the relevant dates of appointment and years of service.  </w:t>
      </w:r>
      <w:r w:rsidR="00256261">
        <w:rPr>
          <w:rFonts w:ascii="Arial" w:hAnsi="Arial" w:cs="Arial"/>
          <w:sz w:val="24"/>
          <w:szCs w:val="24"/>
          <w:lang w:val="en-GB"/>
        </w:rPr>
        <w:t>He referred to the relevant dates applicable for the other disputants including their dates of ‘appointment’ as Officer</w:t>
      </w:r>
      <w:r w:rsidR="00A848FA">
        <w:rPr>
          <w:rFonts w:ascii="Arial" w:hAnsi="Arial" w:cs="Arial"/>
          <w:sz w:val="24"/>
          <w:szCs w:val="24"/>
          <w:lang w:val="en-GB"/>
        </w:rPr>
        <w:t xml:space="preserve"> i</w:t>
      </w:r>
      <w:r w:rsidR="00256261">
        <w:rPr>
          <w:rFonts w:ascii="Arial" w:hAnsi="Arial" w:cs="Arial"/>
          <w:sz w:val="24"/>
          <w:szCs w:val="24"/>
          <w:lang w:val="en-GB"/>
        </w:rPr>
        <w:t>n</w:t>
      </w:r>
      <w:r w:rsidR="00A848FA">
        <w:rPr>
          <w:rFonts w:ascii="Arial" w:hAnsi="Arial" w:cs="Arial"/>
          <w:sz w:val="24"/>
          <w:szCs w:val="24"/>
          <w:lang w:val="en-GB"/>
        </w:rPr>
        <w:t xml:space="preserve"> </w:t>
      </w:r>
      <w:r w:rsidR="00256261">
        <w:rPr>
          <w:rFonts w:ascii="Arial" w:hAnsi="Arial" w:cs="Arial"/>
          <w:sz w:val="24"/>
          <w:szCs w:val="24"/>
          <w:lang w:val="en-GB"/>
        </w:rPr>
        <w:t>Charge</w:t>
      </w:r>
      <w:r w:rsidR="00A93982">
        <w:rPr>
          <w:rFonts w:ascii="Arial" w:hAnsi="Arial" w:cs="Arial"/>
          <w:sz w:val="24"/>
          <w:szCs w:val="24"/>
          <w:lang w:val="en-GB"/>
        </w:rPr>
        <w:t xml:space="preserve"> </w:t>
      </w:r>
      <w:r w:rsidR="00256261">
        <w:rPr>
          <w:rFonts w:ascii="Arial" w:hAnsi="Arial" w:cs="Arial"/>
          <w:sz w:val="24"/>
          <w:szCs w:val="24"/>
          <w:lang w:val="en-GB"/>
        </w:rPr>
        <w:t xml:space="preserve">following interviews which were held.  </w:t>
      </w:r>
      <w:r w:rsidR="00657AED">
        <w:rPr>
          <w:rFonts w:ascii="Arial" w:hAnsi="Arial" w:cs="Arial"/>
          <w:sz w:val="24"/>
          <w:szCs w:val="24"/>
          <w:lang w:val="en-GB"/>
        </w:rPr>
        <w:t xml:space="preserve">He referred to the annexes to the Statements of Case of the other disputants.  </w:t>
      </w:r>
      <w:r w:rsidR="001267D7">
        <w:rPr>
          <w:rFonts w:ascii="Arial" w:hAnsi="Arial" w:cs="Arial"/>
          <w:sz w:val="24"/>
          <w:szCs w:val="24"/>
          <w:lang w:val="en-GB"/>
        </w:rPr>
        <w:t>He also referred to the copies of the internal advertisements for the post</w:t>
      </w:r>
      <w:r w:rsidR="00F36F0C">
        <w:rPr>
          <w:rFonts w:ascii="Arial" w:hAnsi="Arial" w:cs="Arial"/>
          <w:sz w:val="24"/>
          <w:szCs w:val="24"/>
          <w:lang w:val="en-GB"/>
        </w:rPr>
        <w:t>s</w:t>
      </w:r>
      <w:r w:rsidR="001267D7">
        <w:rPr>
          <w:rFonts w:ascii="Arial" w:hAnsi="Arial" w:cs="Arial"/>
          <w:sz w:val="24"/>
          <w:szCs w:val="24"/>
          <w:lang w:val="en-GB"/>
        </w:rPr>
        <w:t xml:space="preserve"> of Officer</w:t>
      </w:r>
      <w:r w:rsidR="00F36F0C">
        <w:rPr>
          <w:rFonts w:ascii="Arial" w:hAnsi="Arial" w:cs="Arial"/>
          <w:sz w:val="24"/>
          <w:szCs w:val="24"/>
          <w:lang w:val="en-GB"/>
        </w:rPr>
        <w:t xml:space="preserve"> </w:t>
      </w:r>
      <w:r w:rsidR="00A848FA">
        <w:rPr>
          <w:rFonts w:ascii="Arial" w:hAnsi="Arial" w:cs="Arial"/>
          <w:sz w:val="24"/>
          <w:szCs w:val="24"/>
          <w:lang w:val="en-GB"/>
        </w:rPr>
        <w:t>i</w:t>
      </w:r>
      <w:r w:rsidR="001267D7">
        <w:rPr>
          <w:rFonts w:ascii="Arial" w:hAnsi="Arial" w:cs="Arial"/>
          <w:sz w:val="24"/>
          <w:szCs w:val="24"/>
          <w:lang w:val="en-GB"/>
        </w:rPr>
        <w:t>n</w:t>
      </w:r>
      <w:r w:rsidR="00F36F0C">
        <w:rPr>
          <w:rFonts w:ascii="Arial" w:hAnsi="Arial" w:cs="Arial"/>
          <w:sz w:val="24"/>
          <w:szCs w:val="24"/>
          <w:lang w:val="en-GB"/>
        </w:rPr>
        <w:t xml:space="preserve"> </w:t>
      </w:r>
      <w:r w:rsidR="001267D7">
        <w:rPr>
          <w:rFonts w:ascii="Arial" w:hAnsi="Arial" w:cs="Arial"/>
          <w:sz w:val="24"/>
          <w:szCs w:val="24"/>
          <w:lang w:val="en-GB"/>
        </w:rPr>
        <w:t xml:space="preserve">Charge </w:t>
      </w:r>
      <w:r w:rsidR="00F36F0C">
        <w:rPr>
          <w:rFonts w:ascii="Arial" w:hAnsi="Arial" w:cs="Arial"/>
          <w:sz w:val="24"/>
          <w:szCs w:val="24"/>
          <w:lang w:val="en-GB"/>
        </w:rPr>
        <w:t xml:space="preserve">(For New Training Centres conducting NTC Foundation Course), Officer </w:t>
      </w:r>
      <w:r w:rsidR="00A848FA">
        <w:rPr>
          <w:rFonts w:ascii="Arial" w:hAnsi="Arial" w:cs="Arial"/>
          <w:sz w:val="24"/>
          <w:szCs w:val="24"/>
          <w:lang w:val="en-GB"/>
        </w:rPr>
        <w:t>i</w:t>
      </w:r>
      <w:r w:rsidR="00F36F0C">
        <w:rPr>
          <w:rFonts w:ascii="Arial" w:hAnsi="Arial" w:cs="Arial"/>
          <w:sz w:val="24"/>
          <w:szCs w:val="24"/>
          <w:lang w:val="en-GB"/>
        </w:rPr>
        <w:t>n Charge (For Training Centres conducting NTC Foundation Course)</w:t>
      </w:r>
      <w:r w:rsidR="002938A4">
        <w:rPr>
          <w:rFonts w:ascii="Arial" w:hAnsi="Arial" w:cs="Arial"/>
          <w:sz w:val="24"/>
          <w:szCs w:val="24"/>
          <w:lang w:val="en-GB"/>
        </w:rPr>
        <w:t xml:space="preserve"> (two advertisements)</w:t>
      </w:r>
      <w:r w:rsidR="00F36F0C">
        <w:rPr>
          <w:rFonts w:ascii="Arial" w:hAnsi="Arial" w:cs="Arial"/>
          <w:sz w:val="24"/>
          <w:szCs w:val="24"/>
          <w:lang w:val="en-GB"/>
        </w:rPr>
        <w:t xml:space="preserve">, Officer in Charge (NTC Foundation Course), Officer in Charge and Officer in </w:t>
      </w:r>
      <w:r w:rsidR="002938A4">
        <w:rPr>
          <w:rFonts w:ascii="Arial" w:hAnsi="Arial" w:cs="Arial"/>
          <w:sz w:val="24"/>
          <w:szCs w:val="24"/>
          <w:lang w:val="en-GB"/>
        </w:rPr>
        <w:t xml:space="preserve">Charge–PVE Centres </w:t>
      </w:r>
      <w:r w:rsidR="001267D7">
        <w:rPr>
          <w:rFonts w:ascii="Arial" w:hAnsi="Arial" w:cs="Arial"/>
          <w:sz w:val="24"/>
          <w:szCs w:val="24"/>
          <w:lang w:val="en-GB"/>
        </w:rPr>
        <w:t>as per Annexes 2</w:t>
      </w:r>
      <w:r w:rsidR="002938A4">
        <w:rPr>
          <w:rFonts w:ascii="Arial" w:hAnsi="Arial" w:cs="Arial"/>
          <w:sz w:val="24"/>
          <w:szCs w:val="24"/>
          <w:lang w:val="en-GB"/>
        </w:rPr>
        <w:t>(a)</w:t>
      </w:r>
      <w:r w:rsidR="001267D7">
        <w:rPr>
          <w:rFonts w:ascii="Arial" w:hAnsi="Arial" w:cs="Arial"/>
          <w:sz w:val="24"/>
          <w:szCs w:val="24"/>
          <w:lang w:val="en-GB"/>
        </w:rPr>
        <w:t xml:space="preserve"> to 2</w:t>
      </w:r>
      <w:r w:rsidR="002938A4">
        <w:rPr>
          <w:rFonts w:ascii="Arial" w:hAnsi="Arial" w:cs="Arial"/>
          <w:sz w:val="24"/>
          <w:szCs w:val="24"/>
          <w:lang w:val="en-GB"/>
        </w:rPr>
        <w:t>(f)</w:t>
      </w:r>
      <w:r w:rsidR="001267D7">
        <w:rPr>
          <w:rFonts w:ascii="Arial" w:hAnsi="Arial" w:cs="Arial"/>
          <w:sz w:val="24"/>
          <w:szCs w:val="24"/>
          <w:lang w:val="en-GB"/>
        </w:rPr>
        <w:t xml:space="preserve"> </w:t>
      </w:r>
      <w:r w:rsidR="002938A4">
        <w:rPr>
          <w:rFonts w:ascii="Arial" w:hAnsi="Arial" w:cs="Arial"/>
          <w:sz w:val="24"/>
          <w:szCs w:val="24"/>
          <w:lang w:val="en-GB"/>
        </w:rPr>
        <w:t>respectively to</w:t>
      </w:r>
      <w:r w:rsidR="001267D7">
        <w:rPr>
          <w:rFonts w:ascii="Arial" w:hAnsi="Arial" w:cs="Arial"/>
          <w:sz w:val="24"/>
          <w:szCs w:val="24"/>
          <w:lang w:val="en-GB"/>
        </w:rPr>
        <w:t xml:space="preserve"> his own Statement of Case. </w:t>
      </w:r>
    </w:p>
    <w:p w14:paraId="50EEEF4D" w14:textId="61570D5F" w:rsidR="00286874" w:rsidRDefault="00C22ECD" w:rsidP="00253AF6">
      <w:pPr>
        <w:jc w:val="both"/>
        <w:rPr>
          <w:rFonts w:ascii="Arial" w:hAnsi="Arial" w:cs="Arial"/>
          <w:sz w:val="24"/>
          <w:szCs w:val="24"/>
          <w:lang w:val="en-GB"/>
        </w:rPr>
      </w:pPr>
      <w:r>
        <w:rPr>
          <w:rFonts w:ascii="Arial" w:hAnsi="Arial" w:cs="Arial"/>
          <w:sz w:val="24"/>
          <w:szCs w:val="24"/>
          <w:lang w:val="en-GB"/>
        </w:rPr>
        <w:t xml:space="preserve">In cross-examination, Disputant No 7 agreed that at some point in time all the disputants including himself were working as Instructors at the </w:t>
      </w:r>
      <w:r w:rsidR="00377C47">
        <w:rPr>
          <w:rFonts w:ascii="Arial" w:hAnsi="Arial" w:cs="Arial"/>
          <w:sz w:val="24"/>
          <w:szCs w:val="24"/>
          <w:lang w:val="en-GB"/>
        </w:rPr>
        <w:t xml:space="preserve">Industrial and Vocational Training Board </w:t>
      </w:r>
      <w:r>
        <w:rPr>
          <w:rFonts w:ascii="Arial" w:hAnsi="Arial" w:cs="Arial"/>
          <w:sz w:val="24"/>
          <w:szCs w:val="24"/>
          <w:lang w:val="en-GB"/>
        </w:rPr>
        <w:t xml:space="preserve">(IVTB).  </w:t>
      </w:r>
      <w:r w:rsidR="00377C47">
        <w:rPr>
          <w:rFonts w:ascii="Arial" w:hAnsi="Arial" w:cs="Arial"/>
          <w:sz w:val="24"/>
          <w:szCs w:val="24"/>
          <w:lang w:val="en-GB"/>
        </w:rPr>
        <w:t>The post of Instructor was then converted into that of Training Officer.</w:t>
      </w:r>
      <w:r w:rsidR="004F3CD9">
        <w:rPr>
          <w:rFonts w:ascii="Arial" w:hAnsi="Arial" w:cs="Arial"/>
          <w:sz w:val="24"/>
          <w:szCs w:val="24"/>
          <w:lang w:val="en-GB"/>
        </w:rPr>
        <w:t xml:space="preserve">  He considers that ‘Officer-In-Charge’ is a post at the Respondent though he conceded that the post is not on</w:t>
      </w:r>
      <w:r w:rsidR="00377C47">
        <w:rPr>
          <w:rFonts w:ascii="Arial" w:hAnsi="Arial" w:cs="Arial"/>
          <w:sz w:val="24"/>
          <w:szCs w:val="24"/>
          <w:lang w:val="en-GB"/>
        </w:rPr>
        <w:t xml:space="preserve"> </w:t>
      </w:r>
      <w:r w:rsidR="004F3CD9">
        <w:rPr>
          <w:rFonts w:ascii="Arial" w:hAnsi="Arial" w:cs="Arial"/>
          <w:sz w:val="24"/>
          <w:szCs w:val="24"/>
          <w:lang w:val="en-GB"/>
        </w:rPr>
        <w:t xml:space="preserve">the establishment of the Respondent.  </w:t>
      </w:r>
      <w:r w:rsidR="00557A45">
        <w:rPr>
          <w:rFonts w:ascii="Arial" w:hAnsi="Arial" w:cs="Arial"/>
          <w:sz w:val="24"/>
          <w:szCs w:val="24"/>
          <w:lang w:val="en-GB"/>
        </w:rPr>
        <w:t>He agreed that only Disputant No 3 is concerned with the advertisement annexed as Annex 2</w:t>
      </w:r>
      <w:r w:rsidR="002938A4">
        <w:rPr>
          <w:rFonts w:ascii="Arial" w:hAnsi="Arial" w:cs="Arial"/>
          <w:sz w:val="24"/>
          <w:szCs w:val="24"/>
          <w:lang w:val="en-GB"/>
        </w:rPr>
        <w:t>(b)</w:t>
      </w:r>
      <w:r w:rsidR="00557A45">
        <w:rPr>
          <w:rFonts w:ascii="Arial" w:hAnsi="Arial" w:cs="Arial"/>
          <w:sz w:val="24"/>
          <w:szCs w:val="24"/>
          <w:lang w:val="en-GB"/>
        </w:rPr>
        <w:t xml:space="preserve"> (to his Statement of Case) and that the other</w:t>
      </w:r>
      <w:r w:rsidR="00B419F1">
        <w:rPr>
          <w:rFonts w:ascii="Arial" w:hAnsi="Arial" w:cs="Arial"/>
          <w:sz w:val="24"/>
          <w:szCs w:val="24"/>
          <w:lang w:val="en-GB"/>
        </w:rPr>
        <w:t xml:space="preserve"> disputants</w:t>
      </w:r>
      <w:r w:rsidR="00557A45">
        <w:rPr>
          <w:rFonts w:ascii="Arial" w:hAnsi="Arial" w:cs="Arial"/>
          <w:sz w:val="24"/>
          <w:szCs w:val="24"/>
          <w:lang w:val="en-GB"/>
        </w:rPr>
        <w:t xml:space="preserve"> will be concerned with subsequent advertisements.  He agreed that Annex 2</w:t>
      </w:r>
      <w:r w:rsidR="002938A4">
        <w:rPr>
          <w:rFonts w:ascii="Arial" w:hAnsi="Arial" w:cs="Arial"/>
          <w:sz w:val="24"/>
          <w:szCs w:val="24"/>
          <w:lang w:val="en-GB"/>
        </w:rPr>
        <w:t>(c)</w:t>
      </w:r>
      <w:r w:rsidR="00557A45">
        <w:rPr>
          <w:rFonts w:ascii="Arial" w:hAnsi="Arial" w:cs="Arial"/>
          <w:sz w:val="24"/>
          <w:szCs w:val="24"/>
          <w:lang w:val="en-GB"/>
        </w:rPr>
        <w:t xml:space="preserve"> (to his Statement of Case)</w:t>
      </w:r>
      <w:r w:rsidR="00377C47">
        <w:rPr>
          <w:rFonts w:ascii="Arial" w:hAnsi="Arial" w:cs="Arial"/>
          <w:sz w:val="24"/>
          <w:szCs w:val="24"/>
          <w:lang w:val="en-GB"/>
        </w:rPr>
        <w:t xml:space="preserve"> </w:t>
      </w:r>
      <w:r w:rsidR="00557A45">
        <w:rPr>
          <w:rFonts w:ascii="Arial" w:hAnsi="Arial" w:cs="Arial"/>
          <w:sz w:val="24"/>
          <w:szCs w:val="24"/>
          <w:lang w:val="en-GB"/>
        </w:rPr>
        <w:t xml:space="preserve">was a call for the </w:t>
      </w:r>
      <w:r w:rsidR="002938A4">
        <w:rPr>
          <w:rFonts w:ascii="Arial" w:hAnsi="Arial" w:cs="Arial"/>
          <w:sz w:val="24"/>
          <w:szCs w:val="24"/>
          <w:lang w:val="en-GB"/>
        </w:rPr>
        <w:t>‘</w:t>
      </w:r>
      <w:r w:rsidR="00557A45">
        <w:rPr>
          <w:rFonts w:ascii="Arial" w:hAnsi="Arial" w:cs="Arial"/>
          <w:sz w:val="24"/>
          <w:szCs w:val="24"/>
          <w:lang w:val="en-GB"/>
        </w:rPr>
        <w:t>enlistment of services</w:t>
      </w:r>
      <w:r w:rsidR="002938A4">
        <w:rPr>
          <w:rFonts w:ascii="Arial" w:hAnsi="Arial" w:cs="Arial"/>
          <w:sz w:val="24"/>
          <w:szCs w:val="24"/>
          <w:lang w:val="en-GB"/>
        </w:rPr>
        <w:t>’</w:t>
      </w:r>
      <w:r w:rsidR="00557A45">
        <w:rPr>
          <w:rFonts w:ascii="Arial" w:hAnsi="Arial" w:cs="Arial"/>
          <w:sz w:val="24"/>
          <w:szCs w:val="24"/>
          <w:lang w:val="en-GB"/>
        </w:rPr>
        <w:t xml:space="preserve"> and that the remuneration was specified</w:t>
      </w:r>
      <w:r w:rsidR="00377C47">
        <w:rPr>
          <w:rFonts w:ascii="Arial" w:hAnsi="Arial" w:cs="Arial"/>
          <w:sz w:val="24"/>
          <w:szCs w:val="24"/>
          <w:lang w:val="en-GB"/>
        </w:rPr>
        <w:t xml:space="preserve"> </w:t>
      </w:r>
      <w:r w:rsidR="00557A45">
        <w:rPr>
          <w:rFonts w:ascii="Arial" w:hAnsi="Arial" w:cs="Arial"/>
          <w:sz w:val="24"/>
          <w:szCs w:val="24"/>
          <w:lang w:val="en-GB"/>
        </w:rPr>
        <w:t xml:space="preserve">as being </w:t>
      </w:r>
      <w:r w:rsidR="00B419F1">
        <w:rPr>
          <w:rFonts w:ascii="Arial" w:hAnsi="Arial" w:cs="Arial"/>
          <w:sz w:val="24"/>
          <w:szCs w:val="24"/>
          <w:lang w:val="en-GB"/>
        </w:rPr>
        <w:t>“</w:t>
      </w:r>
      <w:r w:rsidR="00557A45">
        <w:rPr>
          <w:rFonts w:ascii="Arial" w:hAnsi="Arial" w:cs="Arial"/>
          <w:sz w:val="24"/>
          <w:szCs w:val="24"/>
          <w:lang w:val="en-GB"/>
        </w:rPr>
        <w:t xml:space="preserve">an allowance </w:t>
      </w:r>
      <w:r w:rsidR="00B419F1">
        <w:rPr>
          <w:rFonts w:ascii="Arial" w:hAnsi="Arial" w:cs="Arial"/>
          <w:sz w:val="24"/>
          <w:szCs w:val="24"/>
          <w:lang w:val="en-GB"/>
        </w:rPr>
        <w:t>(3</w:t>
      </w:r>
      <w:r w:rsidR="002938A4">
        <w:rPr>
          <w:rFonts w:ascii="Arial" w:hAnsi="Arial" w:cs="Arial"/>
          <w:sz w:val="24"/>
          <w:szCs w:val="24"/>
          <w:lang w:val="en-GB"/>
        </w:rPr>
        <w:t xml:space="preserve"> </w:t>
      </w:r>
      <w:r w:rsidR="00557A45">
        <w:rPr>
          <w:rFonts w:ascii="Arial" w:hAnsi="Arial" w:cs="Arial"/>
          <w:sz w:val="24"/>
          <w:szCs w:val="24"/>
          <w:lang w:val="en-GB"/>
        </w:rPr>
        <w:t>increment worth</w:t>
      </w:r>
      <w:r w:rsidR="00B419F1">
        <w:rPr>
          <w:rFonts w:ascii="Arial" w:hAnsi="Arial" w:cs="Arial"/>
          <w:sz w:val="24"/>
          <w:szCs w:val="24"/>
          <w:lang w:val="en-GB"/>
        </w:rPr>
        <w:t>)</w:t>
      </w:r>
      <w:r w:rsidR="00557A45">
        <w:rPr>
          <w:rFonts w:ascii="Arial" w:hAnsi="Arial" w:cs="Arial"/>
          <w:sz w:val="24"/>
          <w:szCs w:val="24"/>
          <w:lang w:val="en-GB"/>
        </w:rPr>
        <w:t xml:space="preserve"> over and above</w:t>
      </w:r>
      <w:r w:rsidR="00B419F1">
        <w:rPr>
          <w:rFonts w:ascii="Arial" w:hAnsi="Arial" w:cs="Arial"/>
          <w:sz w:val="24"/>
          <w:szCs w:val="24"/>
          <w:lang w:val="en-GB"/>
        </w:rPr>
        <w:t>”</w:t>
      </w:r>
      <w:r w:rsidR="00557A45">
        <w:rPr>
          <w:rFonts w:ascii="Arial" w:hAnsi="Arial" w:cs="Arial"/>
          <w:sz w:val="24"/>
          <w:szCs w:val="24"/>
          <w:lang w:val="en-GB"/>
        </w:rPr>
        <w:t xml:space="preserve"> the salary </w:t>
      </w:r>
      <w:r w:rsidR="00261435">
        <w:rPr>
          <w:rFonts w:ascii="Arial" w:hAnsi="Arial" w:cs="Arial"/>
          <w:sz w:val="24"/>
          <w:szCs w:val="24"/>
          <w:lang w:val="en-GB"/>
        </w:rPr>
        <w:t>of</w:t>
      </w:r>
      <w:r w:rsidR="00557A45">
        <w:rPr>
          <w:rFonts w:ascii="Arial" w:hAnsi="Arial" w:cs="Arial"/>
          <w:sz w:val="24"/>
          <w:szCs w:val="24"/>
          <w:lang w:val="en-GB"/>
        </w:rPr>
        <w:t xml:space="preserve"> the post of Training Officer.  </w:t>
      </w:r>
    </w:p>
    <w:p w14:paraId="795F2B32" w14:textId="67D34802" w:rsidR="00751FF2" w:rsidRPr="0096359A" w:rsidRDefault="00557A45" w:rsidP="00253AF6">
      <w:pPr>
        <w:jc w:val="both"/>
        <w:rPr>
          <w:rFonts w:ascii="Arial" w:hAnsi="Arial" w:cs="Arial"/>
          <w:sz w:val="24"/>
          <w:szCs w:val="24"/>
          <w:lang w:val="en-GB"/>
        </w:rPr>
      </w:pPr>
      <w:r>
        <w:rPr>
          <w:rFonts w:ascii="Arial" w:hAnsi="Arial" w:cs="Arial"/>
          <w:sz w:val="24"/>
          <w:szCs w:val="24"/>
          <w:lang w:val="en-GB"/>
        </w:rPr>
        <w:t>Disputant No 7 was shown a document and he agreed that it was the offer made to him for the assignment of duties as Officer</w:t>
      </w:r>
      <w:r w:rsidR="00992622">
        <w:rPr>
          <w:rFonts w:ascii="Arial" w:hAnsi="Arial" w:cs="Arial"/>
          <w:sz w:val="24"/>
          <w:szCs w:val="24"/>
          <w:lang w:val="en-GB"/>
        </w:rPr>
        <w:t xml:space="preserve"> i</w:t>
      </w:r>
      <w:r>
        <w:rPr>
          <w:rFonts w:ascii="Arial" w:hAnsi="Arial" w:cs="Arial"/>
          <w:sz w:val="24"/>
          <w:szCs w:val="24"/>
          <w:lang w:val="en-GB"/>
        </w:rPr>
        <w:t>n</w:t>
      </w:r>
      <w:r w:rsidR="00992622">
        <w:rPr>
          <w:rFonts w:ascii="Arial" w:hAnsi="Arial" w:cs="Arial"/>
          <w:sz w:val="24"/>
          <w:szCs w:val="24"/>
          <w:lang w:val="en-GB"/>
        </w:rPr>
        <w:t xml:space="preserve"> </w:t>
      </w:r>
      <w:r>
        <w:rPr>
          <w:rFonts w:ascii="Arial" w:hAnsi="Arial" w:cs="Arial"/>
          <w:sz w:val="24"/>
          <w:szCs w:val="24"/>
          <w:lang w:val="en-GB"/>
        </w:rPr>
        <w:t xml:space="preserve">Charge.  He also agreed that as per the said letter, he kept his substantive post.  There was no mention </w:t>
      </w:r>
      <w:r w:rsidR="001802CC">
        <w:rPr>
          <w:rFonts w:ascii="Arial" w:hAnsi="Arial" w:cs="Arial"/>
          <w:sz w:val="24"/>
          <w:szCs w:val="24"/>
          <w:lang w:val="en-GB"/>
        </w:rPr>
        <w:t xml:space="preserve">in the letter </w:t>
      </w:r>
      <w:r>
        <w:rPr>
          <w:rFonts w:ascii="Arial" w:hAnsi="Arial" w:cs="Arial"/>
          <w:sz w:val="24"/>
          <w:szCs w:val="24"/>
          <w:lang w:val="en-GB"/>
        </w:rPr>
        <w:t xml:space="preserve">that he would be paid an acting or responsibility allowance nor that the allowance would form part </w:t>
      </w:r>
      <w:r w:rsidR="00887AEE">
        <w:rPr>
          <w:rFonts w:ascii="Arial" w:hAnsi="Arial" w:cs="Arial"/>
          <w:sz w:val="24"/>
          <w:szCs w:val="24"/>
          <w:lang w:val="en-GB"/>
        </w:rPr>
        <w:t>of his salary</w:t>
      </w:r>
      <w:r w:rsidR="00724BCE">
        <w:rPr>
          <w:rFonts w:ascii="Arial" w:hAnsi="Arial" w:cs="Arial"/>
          <w:sz w:val="24"/>
          <w:szCs w:val="24"/>
          <w:lang w:val="en-GB"/>
        </w:rPr>
        <w:t xml:space="preserve"> or be taken into account for pension purposes</w:t>
      </w:r>
      <w:r w:rsidR="00887AEE">
        <w:rPr>
          <w:rFonts w:ascii="Arial" w:hAnsi="Arial" w:cs="Arial"/>
          <w:sz w:val="24"/>
          <w:szCs w:val="24"/>
          <w:lang w:val="en-GB"/>
        </w:rPr>
        <w:t>.</w:t>
      </w:r>
      <w:r w:rsidR="00D6229F">
        <w:rPr>
          <w:rFonts w:ascii="Arial" w:hAnsi="Arial" w:cs="Arial"/>
          <w:sz w:val="24"/>
          <w:szCs w:val="24"/>
          <w:lang w:val="en-GB"/>
        </w:rPr>
        <w:t xml:space="preserve">  He accepted the assignment of duties as per the terms of the said letter.  </w:t>
      </w:r>
      <w:r w:rsidR="00286874">
        <w:rPr>
          <w:rFonts w:ascii="Arial" w:hAnsi="Arial" w:cs="Arial"/>
          <w:sz w:val="24"/>
          <w:szCs w:val="24"/>
          <w:lang w:val="en-GB"/>
        </w:rPr>
        <w:t xml:space="preserve">Disputant No 7 agreed that in </w:t>
      </w:r>
      <w:r w:rsidR="00286874" w:rsidRPr="003479BA">
        <w:rPr>
          <w:rFonts w:ascii="Arial" w:hAnsi="Arial" w:cs="Arial"/>
          <w:b/>
          <w:bCs/>
          <w:sz w:val="24"/>
          <w:szCs w:val="24"/>
          <w:lang w:val="en-GB"/>
        </w:rPr>
        <w:t>his</w:t>
      </w:r>
      <w:r w:rsidR="00286874">
        <w:rPr>
          <w:rFonts w:ascii="Arial" w:hAnsi="Arial" w:cs="Arial"/>
          <w:sz w:val="24"/>
          <w:szCs w:val="24"/>
          <w:lang w:val="en-GB"/>
        </w:rPr>
        <w:t xml:space="preserve"> </w:t>
      </w:r>
      <w:r w:rsidR="001802CC">
        <w:rPr>
          <w:rFonts w:ascii="Arial" w:hAnsi="Arial" w:cs="Arial"/>
          <w:sz w:val="24"/>
          <w:szCs w:val="24"/>
          <w:lang w:val="en-GB"/>
        </w:rPr>
        <w:t xml:space="preserve">case, his </w:t>
      </w:r>
      <w:r w:rsidR="00286874">
        <w:rPr>
          <w:rFonts w:ascii="Arial" w:hAnsi="Arial" w:cs="Arial"/>
          <w:sz w:val="24"/>
          <w:szCs w:val="24"/>
          <w:lang w:val="en-GB"/>
        </w:rPr>
        <w:t>payslip mentioned that he was being paid an adhoc allowance and the allowance was n</w:t>
      </w:r>
      <w:r w:rsidR="001802CC">
        <w:rPr>
          <w:rFonts w:ascii="Arial" w:hAnsi="Arial" w:cs="Arial"/>
          <w:sz w:val="24"/>
          <w:szCs w:val="24"/>
          <w:lang w:val="en-GB"/>
        </w:rPr>
        <w:t>ot</w:t>
      </w:r>
      <w:r w:rsidR="00286874">
        <w:rPr>
          <w:rFonts w:ascii="Arial" w:hAnsi="Arial" w:cs="Arial"/>
          <w:sz w:val="24"/>
          <w:szCs w:val="24"/>
          <w:lang w:val="en-GB"/>
        </w:rPr>
        <w:t xml:space="preserve"> termed as acting or responsibility allowance.   </w:t>
      </w:r>
      <w:r w:rsidR="00887AEE">
        <w:rPr>
          <w:rFonts w:ascii="Arial" w:hAnsi="Arial" w:cs="Arial"/>
          <w:sz w:val="24"/>
          <w:szCs w:val="24"/>
          <w:lang w:val="en-GB"/>
        </w:rPr>
        <w:t xml:space="preserve">  </w:t>
      </w:r>
      <w:r>
        <w:rPr>
          <w:rFonts w:ascii="Arial" w:hAnsi="Arial" w:cs="Arial"/>
          <w:sz w:val="24"/>
          <w:szCs w:val="24"/>
          <w:lang w:val="en-GB"/>
        </w:rPr>
        <w:t xml:space="preserve">  </w:t>
      </w:r>
      <w:r w:rsidR="00C22ECD">
        <w:rPr>
          <w:rFonts w:ascii="Arial" w:hAnsi="Arial" w:cs="Arial"/>
          <w:sz w:val="24"/>
          <w:szCs w:val="24"/>
          <w:lang w:val="en-GB"/>
        </w:rPr>
        <w:t xml:space="preserve">  </w:t>
      </w:r>
      <w:r w:rsidR="001267D7">
        <w:rPr>
          <w:rFonts w:ascii="Arial" w:hAnsi="Arial" w:cs="Arial"/>
          <w:sz w:val="24"/>
          <w:szCs w:val="24"/>
          <w:lang w:val="en-GB"/>
        </w:rPr>
        <w:t xml:space="preserve"> </w:t>
      </w:r>
    </w:p>
    <w:p w14:paraId="53090F47" w14:textId="4BB0015C" w:rsidR="00251C54" w:rsidRPr="00A93982" w:rsidRDefault="00921BC4" w:rsidP="00253AF6">
      <w:pPr>
        <w:jc w:val="both"/>
        <w:rPr>
          <w:rFonts w:ascii="Arial" w:hAnsi="Arial" w:cs="Arial"/>
          <w:sz w:val="24"/>
          <w:szCs w:val="24"/>
          <w:lang w:val="en-GB"/>
        </w:rPr>
      </w:pPr>
      <w:r>
        <w:rPr>
          <w:rFonts w:ascii="Arial" w:hAnsi="Arial" w:cs="Arial"/>
          <w:sz w:val="24"/>
          <w:szCs w:val="24"/>
          <w:lang w:val="en-GB"/>
        </w:rPr>
        <w:t xml:space="preserve">Disputant No 7 agreed that the advertisement for </w:t>
      </w:r>
      <w:r w:rsidR="003479BA">
        <w:rPr>
          <w:rFonts w:ascii="Arial" w:hAnsi="Arial" w:cs="Arial"/>
          <w:sz w:val="24"/>
          <w:szCs w:val="24"/>
          <w:lang w:val="en-GB"/>
        </w:rPr>
        <w:t>‘O</w:t>
      </w:r>
      <w:r>
        <w:rPr>
          <w:rFonts w:ascii="Arial" w:hAnsi="Arial" w:cs="Arial"/>
          <w:sz w:val="24"/>
          <w:szCs w:val="24"/>
          <w:lang w:val="en-GB"/>
        </w:rPr>
        <w:t>fficer</w:t>
      </w:r>
      <w:r w:rsidR="00992622">
        <w:rPr>
          <w:rFonts w:ascii="Arial" w:hAnsi="Arial" w:cs="Arial"/>
          <w:sz w:val="24"/>
          <w:szCs w:val="24"/>
          <w:lang w:val="en-GB"/>
        </w:rPr>
        <w:t xml:space="preserve"> i</w:t>
      </w:r>
      <w:r>
        <w:rPr>
          <w:rFonts w:ascii="Arial" w:hAnsi="Arial" w:cs="Arial"/>
          <w:sz w:val="24"/>
          <w:szCs w:val="24"/>
          <w:lang w:val="en-GB"/>
        </w:rPr>
        <w:t>n</w:t>
      </w:r>
      <w:r w:rsidR="00992622">
        <w:rPr>
          <w:rFonts w:ascii="Arial" w:hAnsi="Arial" w:cs="Arial"/>
          <w:sz w:val="24"/>
          <w:szCs w:val="24"/>
          <w:lang w:val="en-GB"/>
        </w:rPr>
        <w:t xml:space="preserve"> </w:t>
      </w:r>
      <w:r>
        <w:rPr>
          <w:rFonts w:ascii="Arial" w:hAnsi="Arial" w:cs="Arial"/>
          <w:sz w:val="24"/>
          <w:szCs w:val="24"/>
          <w:lang w:val="en-GB"/>
        </w:rPr>
        <w:t>Charge</w:t>
      </w:r>
      <w:r w:rsidR="003479BA">
        <w:rPr>
          <w:rFonts w:ascii="Arial" w:hAnsi="Arial" w:cs="Arial"/>
          <w:sz w:val="24"/>
          <w:szCs w:val="24"/>
          <w:lang w:val="en-GB"/>
        </w:rPr>
        <w:t>’</w:t>
      </w:r>
      <w:r>
        <w:rPr>
          <w:rFonts w:ascii="Arial" w:hAnsi="Arial" w:cs="Arial"/>
          <w:sz w:val="24"/>
          <w:szCs w:val="24"/>
          <w:lang w:val="en-GB"/>
        </w:rPr>
        <w:t xml:space="preserve"> was in relation to a one year course known as the NTC Foundation Course.  The project has changed and there is now a 4 year PVE Project whereby the fourth year of the course </w:t>
      </w:r>
      <w:r w:rsidR="006E40FB">
        <w:rPr>
          <w:rFonts w:ascii="Arial" w:hAnsi="Arial" w:cs="Arial"/>
          <w:sz w:val="24"/>
          <w:szCs w:val="24"/>
          <w:lang w:val="en-GB"/>
        </w:rPr>
        <w:t>i</w:t>
      </w:r>
      <w:r>
        <w:rPr>
          <w:rFonts w:ascii="Arial" w:hAnsi="Arial" w:cs="Arial"/>
          <w:sz w:val="24"/>
          <w:szCs w:val="24"/>
          <w:lang w:val="en-GB"/>
        </w:rPr>
        <w:t xml:space="preserve">s to be conducted </w:t>
      </w:r>
      <w:r>
        <w:rPr>
          <w:rFonts w:ascii="Arial" w:hAnsi="Arial" w:cs="Arial"/>
          <w:sz w:val="24"/>
          <w:szCs w:val="24"/>
          <w:lang w:val="en-GB"/>
        </w:rPr>
        <w:lastRenderedPageBreak/>
        <w:t>by the Respondent.  The ‘Officers</w:t>
      </w:r>
      <w:r w:rsidR="00F337A9">
        <w:rPr>
          <w:rFonts w:ascii="Arial" w:hAnsi="Arial" w:cs="Arial"/>
          <w:sz w:val="24"/>
          <w:szCs w:val="24"/>
          <w:lang w:val="en-GB"/>
        </w:rPr>
        <w:t xml:space="preserve"> </w:t>
      </w:r>
      <w:r w:rsidR="003479BA">
        <w:rPr>
          <w:rFonts w:ascii="Arial" w:hAnsi="Arial" w:cs="Arial"/>
          <w:sz w:val="24"/>
          <w:szCs w:val="24"/>
          <w:lang w:val="en-GB"/>
        </w:rPr>
        <w:t>i</w:t>
      </w:r>
      <w:r>
        <w:rPr>
          <w:rFonts w:ascii="Arial" w:hAnsi="Arial" w:cs="Arial"/>
          <w:sz w:val="24"/>
          <w:szCs w:val="24"/>
          <w:lang w:val="en-GB"/>
        </w:rPr>
        <w:t>n</w:t>
      </w:r>
      <w:r w:rsidR="00F337A9">
        <w:rPr>
          <w:rFonts w:ascii="Arial" w:hAnsi="Arial" w:cs="Arial"/>
          <w:sz w:val="24"/>
          <w:szCs w:val="24"/>
          <w:lang w:val="en-GB"/>
        </w:rPr>
        <w:t xml:space="preserve"> </w:t>
      </w:r>
      <w:r>
        <w:rPr>
          <w:rFonts w:ascii="Arial" w:hAnsi="Arial" w:cs="Arial"/>
          <w:sz w:val="24"/>
          <w:szCs w:val="24"/>
          <w:lang w:val="en-GB"/>
        </w:rPr>
        <w:t>Charge’ were thus concerned with the new project</w:t>
      </w:r>
      <w:r w:rsidR="001802CC">
        <w:rPr>
          <w:rFonts w:ascii="Arial" w:hAnsi="Arial" w:cs="Arial"/>
          <w:sz w:val="24"/>
          <w:szCs w:val="24"/>
          <w:lang w:val="en-GB"/>
        </w:rPr>
        <w:t>s</w:t>
      </w:r>
      <w:r>
        <w:rPr>
          <w:rFonts w:ascii="Arial" w:hAnsi="Arial" w:cs="Arial"/>
          <w:sz w:val="24"/>
          <w:szCs w:val="24"/>
          <w:lang w:val="en-GB"/>
        </w:rPr>
        <w:t xml:space="preserve"> </w:t>
      </w:r>
      <w:r w:rsidR="003479BA">
        <w:rPr>
          <w:rFonts w:ascii="Arial" w:hAnsi="Arial" w:cs="Arial"/>
          <w:sz w:val="24"/>
          <w:szCs w:val="24"/>
          <w:lang w:val="en-GB"/>
        </w:rPr>
        <w:t>as regards</w:t>
      </w:r>
      <w:r>
        <w:rPr>
          <w:rFonts w:ascii="Arial" w:hAnsi="Arial" w:cs="Arial"/>
          <w:sz w:val="24"/>
          <w:szCs w:val="24"/>
          <w:lang w:val="en-GB"/>
        </w:rPr>
        <w:t xml:space="preserve"> the fourth year</w:t>
      </w:r>
      <w:r w:rsidR="001802CC">
        <w:rPr>
          <w:rFonts w:ascii="Arial" w:hAnsi="Arial" w:cs="Arial"/>
          <w:sz w:val="24"/>
          <w:szCs w:val="24"/>
          <w:lang w:val="en-GB"/>
        </w:rPr>
        <w:t xml:space="preserve"> of study</w:t>
      </w:r>
      <w:r>
        <w:rPr>
          <w:rFonts w:ascii="Arial" w:hAnsi="Arial" w:cs="Arial"/>
          <w:sz w:val="24"/>
          <w:szCs w:val="24"/>
          <w:lang w:val="en-GB"/>
        </w:rPr>
        <w:t xml:space="preserve">.  After </w:t>
      </w:r>
      <w:r w:rsidR="00F337A9">
        <w:rPr>
          <w:rFonts w:ascii="Arial" w:hAnsi="Arial" w:cs="Arial"/>
          <w:sz w:val="24"/>
          <w:szCs w:val="24"/>
          <w:lang w:val="en-GB"/>
        </w:rPr>
        <w:t xml:space="preserve">the ‘nine-year schooling’ </w:t>
      </w:r>
      <w:r>
        <w:rPr>
          <w:rFonts w:ascii="Arial" w:hAnsi="Arial" w:cs="Arial"/>
          <w:sz w:val="24"/>
          <w:szCs w:val="24"/>
          <w:lang w:val="en-GB"/>
        </w:rPr>
        <w:t>was put to him, Disputant No 7 a</w:t>
      </w:r>
      <w:r w:rsidR="00F337A9">
        <w:rPr>
          <w:rFonts w:ascii="Arial" w:hAnsi="Arial" w:cs="Arial"/>
          <w:sz w:val="24"/>
          <w:szCs w:val="24"/>
          <w:lang w:val="en-GB"/>
        </w:rPr>
        <w:t>ccepted</w:t>
      </w:r>
      <w:r>
        <w:rPr>
          <w:rFonts w:ascii="Arial" w:hAnsi="Arial" w:cs="Arial"/>
          <w:sz w:val="24"/>
          <w:szCs w:val="24"/>
          <w:lang w:val="en-GB"/>
        </w:rPr>
        <w:t xml:space="preserve"> that he took cognizance of the nine</w:t>
      </w:r>
      <w:r w:rsidR="00F337A9">
        <w:rPr>
          <w:rFonts w:ascii="Arial" w:hAnsi="Arial" w:cs="Arial"/>
          <w:sz w:val="24"/>
          <w:szCs w:val="24"/>
          <w:lang w:val="en-GB"/>
        </w:rPr>
        <w:t>-</w:t>
      </w:r>
      <w:r>
        <w:rPr>
          <w:rFonts w:ascii="Arial" w:hAnsi="Arial" w:cs="Arial"/>
          <w:sz w:val="24"/>
          <w:szCs w:val="24"/>
          <w:lang w:val="en-GB"/>
        </w:rPr>
        <w:t>year schooling and stated that he heard that the pre-vocational stream would be phased out.</w:t>
      </w:r>
      <w:r w:rsidR="00D62A11">
        <w:rPr>
          <w:rFonts w:ascii="Arial" w:hAnsi="Arial" w:cs="Arial"/>
          <w:sz w:val="24"/>
          <w:szCs w:val="24"/>
          <w:lang w:val="en-GB"/>
        </w:rPr>
        <w:t xml:space="preserve">  He </w:t>
      </w:r>
      <w:r w:rsidR="001802CC">
        <w:rPr>
          <w:rFonts w:ascii="Arial" w:hAnsi="Arial" w:cs="Arial"/>
          <w:sz w:val="24"/>
          <w:szCs w:val="24"/>
          <w:lang w:val="en-GB"/>
        </w:rPr>
        <w:t>conceded</w:t>
      </w:r>
      <w:r w:rsidR="00D62A11">
        <w:rPr>
          <w:rFonts w:ascii="Arial" w:hAnsi="Arial" w:cs="Arial"/>
          <w:sz w:val="24"/>
          <w:szCs w:val="24"/>
          <w:lang w:val="en-GB"/>
        </w:rPr>
        <w:t xml:space="preserve"> that Disputant No 2</w:t>
      </w:r>
      <w:r w:rsidR="00396D2F">
        <w:rPr>
          <w:rFonts w:ascii="Arial" w:hAnsi="Arial" w:cs="Arial"/>
          <w:sz w:val="24"/>
          <w:szCs w:val="24"/>
          <w:lang w:val="en-GB"/>
        </w:rPr>
        <w:t>,</w:t>
      </w:r>
      <w:r w:rsidR="00D62A11">
        <w:rPr>
          <w:rFonts w:ascii="Arial" w:hAnsi="Arial" w:cs="Arial"/>
          <w:sz w:val="24"/>
          <w:szCs w:val="24"/>
          <w:lang w:val="en-GB"/>
        </w:rPr>
        <w:t xml:space="preserve"> </w:t>
      </w:r>
      <w:r w:rsidR="00396D2F">
        <w:rPr>
          <w:rFonts w:ascii="Arial" w:hAnsi="Arial" w:cs="Arial"/>
          <w:sz w:val="24"/>
          <w:szCs w:val="24"/>
          <w:lang w:val="en-GB"/>
        </w:rPr>
        <w:t xml:space="preserve">just </w:t>
      </w:r>
      <w:r w:rsidR="00F337A9">
        <w:rPr>
          <w:rFonts w:ascii="Arial" w:hAnsi="Arial" w:cs="Arial"/>
          <w:sz w:val="24"/>
          <w:szCs w:val="24"/>
          <w:lang w:val="en-GB"/>
        </w:rPr>
        <w:t>like him</w:t>
      </w:r>
      <w:r w:rsidR="00396D2F">
        <w:rPr>
          <w:rFonts w:ascii="Arial" w:hAnsi="Arial" w:cs="Arial"/>
          <w:sz w:val="24"/>
          <w:szCs w:val="24"/>
          <w:lang w:val="en-GB"/>
        </w:rPr>
        <w:t>,</w:t>
      </w:r>
      <w:r w:rsidR="00F337A9">
        <w:rPr>
          <w:rFonts w:ascii="Arial" w:hAnsi="Arial" w:cs="Arial"/>
          <w:sz w:val="24"/>
          <w:szCs w:val="24"/>
          <w:lang w:val="en-GB"/>
        </w:rPr>
        <w:t xml:space="preserve"> </w:t>
      </w:r>
      <w:r w:rsidR="00D62A11">
        <w:rPr>
          <w:rFonts w:ascii="Arial" w:hAnsi="Arial" w:cs="Arial"/>
          <w:sz w:val="24"/>
          <w:szCs w:val="24"/>
          <w:lang w:val="en-GB"/>
        </w:rPr>
        <w:t xml:space="preserve">is not </w:t>
      </w:r>
      <w:r w:rsidR="00396D2F">
        <w:rPr>
          <w:rFonts w:ascii="Arial" w:hAnsi="Arial" w:cs="Arial"/>
          <w:sz w:val="24"/>
          <w:szCs w:val="24"/>
          <w:lang w:val="en-GB"/>
        </w:rPr>
        <w:t xml:space="preserve">directly </w:t>
      </w:r>
      <w:r w:rsidR="00D62A11">
        <w:rPr>
          <w:rFonts w:ascii="Arial" w:hAnsi="Arial" w:cs="Arial"/>
          <w:sz w:val="24"/>
          <w:szCs w:val="24"/>
          <w:lang w:val="en-GB"/>
        </w:rPr>
        <w:t xml:space="preserve">concerned with the alleged unilateral change from acting/responsibility allowance to adhoc allowance.  </w:t>
      </w:r>
      <w:r w:rsidR="00396D2F">
        <w:rPr>
          <w:rFonts w:ascii="Arial" w:hAnsi="Arial" w:cs="Arial"/>
          <w:sz w:val="24"/>
          <w:szCs w:val="24"/>
          <w:lang w:val="en-GB"/>
        </w:rPr>
        <w:t xml:space="preserve">However, he suggested that this was a consolidated </w:t>
      </w:r>
      <w:r w:rsidR="001802CC">
        <w:rPr>
          <w:rFonts w:ascii="Arial" w:hAnsi="Arial" w:cs="Arial"/>
          <w:sz w:val="24"/>
          <w:szCs w:val="24"/>
          <w:lang w:val="en-GB"/>
        </w:rPr>
        <w:t xml:space="preserve">dispute along </w:t>
      </w:r>
      <w:r w:rsidR="00396D2F">
        <w:rPr>
          <w:rFonts w:ascii="Arial" w:hAnsi="Arial" w:cs="Arial"/>
          <w:sz w:val="24"/>
          <w:szCs w:val="24"/>
          <w:lang w:val="en-GB"/>
        </w:rPr>
        <w:t xml:space="preserve">with all the other disputants since the other disputants were at some point in time earning an acting/responsibility allowance.  </w:t>
      </w:r>
      <w:r w:rsidR="00D62A11">
        <w:rPr>
          <w:rFonts w:ascii="Arial" w:hAnsi="Arial" w:cs="Arial"/>
          <w:sz w:val="24"/>
          <w:szCs w:val="24"/>
          <w:lang w:val="en-GB"/>
        </w:rPr>
        <w:t xml:space="preserve">He was not aware </w:t>
      </w:r>
      <w:r w:rsidR="00261435">
        <w:rPr>
          <w:rFonts w:ascii="Arial" w:hAnsi="Arial" w:cs="Arial"/>
          <w:sz w:val="24"/>
          <w:szCs w:val="24"/>
          <w:lang w:val="en-GB"/>
        </w:rPr>
        <w:t>if</w:t>
      </w:r>
      <w:r w:rsidR="00D62A11">
        <w:rPr>
          <w:rFonts w:ascii="Arial" w:hAnsi="Arial" w:cs="Arial"/>
          <w:sz w:val="24"/>
          <w:szCs w:val="24"/>
          <w:lang w:val="en-GB"/>
        </w:rPr>
        <w:t xml:space="preserve"> there was an alleged error in the system of Respondent which led to the allowance </w:t>
      </w:r>
      <w:r w:rsidR="00D62CB5">
        <w:rPr>
          <w:rFonts w:ascii="Arial" w:hAnsi="Arial" w:cs="Arial"/>
          <w:sz w:val="24"/>
          <w:szCs w:val="24"/>
          <w:lang w:val="en-GB"/>
        </w:rPr>
        <w:t>bearin</w:t>
      </w:r>
      <w:r w:rsidR="00D62A11">
        <w:rPr>
          <w:rFonts w:ascii="Arial" w:hAnsi="Arial" w:cs="Arial"/>
          <w:sz w:val="24"/>
          <w:szCs w:val="24"/>
          <w:lang w:val="en-GB"/>
        </w:rPr>
        <w:t xml:space="preserve">g the </w:t>
      </w:r>
      <w:r w:rsidR="001802CC">
        <w:rPr>
          <w:rFonts w:ascii="Arial" w:hAnsi="Arial" w:cs="Arial"/>
          <w:sz w:val="24"/>
          <w:szCs w:val="24"/>
          <w:lang w:val="en-GB"/>
        </w:rPr>
        <w:t>name</w:t>
      </w:r>
      <w:r w:rsidR="00D62A11">
        <w:rPr>
          <w:rFonts w:ascii="Arial" w:hAnsi="Arial" w:cs="Arial"/>
          <w:sz w:val="24"/>
          <w:szCs w:val="24"/>
          <w:lang w:val="en-GB"/>
        </w:rPr>
        <w:t xml:space="preserve"> </w:t>
      </w:r>
      <w:r w:rsidR="001802CC">
        <w:rPr>
          <w:rFonts w:ascii="Arial" w:hAnsi="Arial" w:cs="Arial"/>
          <w:sz w:val="24"/>
          <w:szCs w:val="24"/>
          <w:lang w:val="en-GB"/>
        </w:rPr>
        <w:t>‘</w:t>
      </w:r>
      <w:r w:rsidR="00D62A11">
        <w:rPr>
          <w:rFonts w:ascii="Arial" w:hAnsi="Arial" w:cs="Arial"/>
          <w:sz w:val="24"/>
          <w:szCs w:val="24"/>
          <w:lang w:val="en-GB"/>
        </w:rPr>
        <w:t>acting/responsibility allowance</w:t>
      </w:r>
      <w:r w:rsidR="001802CC">
        <w:rPr>
          <w:rFonts w:ascii="Arial" w:hAnsi="Arial" w:cs="Arial"/>
          <w:sz w:val="24"/>
          <w:szCs w:val="24"/>
          <w:lang w:val="en-GB"/>
        </w:rPr>
        <w:t>’</w:t>
      </w:r>
      <w:r w:rsidR="00396D2F">
        <w:rPr>
          <w:rFonts w:ascii="Arial" w:hAnsi="Arial" w:cs="Arial"/>
          <w:sz w:val="24"/>
          <w:szCs w:val="24"/>
          <w:lang w:val="en-GB"/>
        </w:rPr>
        <w:t xml:space="preserve"> for the other relevant disputants</w:t>
      </w:r>
      <w:r w:rsidR="00D62A11">
        <w:rPr>
          <w:rFonts w:ascii="Arial" w:hAnsi="Arial" w:cs="Arial"/>
          <w:sz w:val="24"/>
          <w:szCs w:val="24"/>
          <w:lang w:val="en-GB"/>
        </w:rPr>
        <w:t>.   He did not know if the alleged error was corrected by the Respondent in 2013.  He did not agree that the allowance which was being paid to him and the other disputants was al</w:t>
      </w:r>
      <w:r w:rsidR="001802CC">
        <w:rPr>
          <w:rFonts w:ascii="Arial" w:hAnsi="Arial" w:cs="Arial"/>
          <w:sz w:val="24"/>
          <w:szCs w:val="24"/>
          <w:lang w:val="en-GB"/>
        </w:rPr>
        <w:t>l along</w:t>
      </w:r>
      <w:r w:rsidR="00D62A11">
        <w:rPr>
          <w:rFonts w:ascii="Arial" w:hAnsi="Arial" w:cs="Arial"/>
          <w:sz w:val="24"/>
          <w:szCs w:val="24"/>
          <w:lang w:val="en-GB"/>
        </w:rPr>
        <w:t xml:space="preserve"> an ad hoc allowance.</w:t>
      </w:r>
      <w:r>
        <w:rPr>
          <w:rFonts w:ascii="Arial" w:hAnsi="Arial" w:cs="Arial"/>
          <w:sz w:val="24"/>
          <w:szCs w:val="24"/>
          <w:lang w:val="en-GB"/>
        </w:rPr>
        <w:t xml:space="preserve">   </w:t>
      </w:r>
    </w:p>
    <w:p w14:paraId="1D9C0936" w14:textId="5AE8327F" w:rsidR="004B5248" w:rsidRDefault="009D4B8A" w:rsidP="00253AF6">
      <w:pPr>
        <w:jc w:val="both"/>
        <w:rPr>
          <w:rFonts w:ascii="Arial" w:hAnsi="Arial" w:cs="Arial"/>
          <w:sz w:val="24"/>
          <w:szCs w:val="24"/>
        </w:rPr>
      </w:pPr>
      <w:r>
        <w:rPr>
          <w:rFonts w:ascii="Arial" w:hAnsi="Arial" w:cs="Arial"/>
          <w:sz w:val="24"/>
          <w:szCs w:val="24"/>
        </w:rPr>
        <w:t>Disputant No 7 was then cross examined in relation to two officers who</w:t>
      </w:r>
      <w:r w:rsidR="00BE1C89">
        <w:rPr>
          <w:rFonts w:ascii="Arial" w:hAnsi="Arial" w:cs="Arial"/>
          <w:sz w:val="24"/>
          <w:szCs w:val="24"/>
        </w:rPr>
        <w:t>m</w:t>
      </w:r>
      <w:r>
        <w:rPr>
          <w:rFonts w:ascii="Arial" w:hAnsi="Arial" w:cs="Arial"/>
          <w:sz w:val="24"/>
          <w:szCs w:val="24"/>
        </w:rPr>
        <w:t xml:space="preserve"> he had mentioned in his Statement of Case and he agreed that in </w:t>
      </w:r>
      <w:r w:rsidR="004B5248">
        <w:rPr>
          <w:rFonts w:ascii="Arial" w:hAnsi="Arial" w:cs="Arial"/>
          <w:sz w:val="24"/>
          <w:szCs w:val="24"/>
        </w:rPr>
        <w:t xml:space="preserve">the first </w:t>
      </w:r>
      <w:r>
        <w:rPr>
          <w:rFonts w:ascii="Arial" w:hAnsi="Arial" w:cs="Arial"/>
          <w:sz w:val="24"/>
          <w:szCs w:val="24"/>
        </w:rPr>
        <w:t>case, the relevant post w</w:t>
      </w:r>
      <w:r w:rsidR="004B5248">
        <w:rPr>
          <w:rFonts w:ascii="Arial" w:hAnsi="Arial" w:cs="Arial"/>
          <w:sz w:val="24"/>
          <w:szCs w:val="24"/>
        </w:rPr>
        <w:t>as</w:t>
      </w:r>
      <w:r>
        <w:rPr>
          <w:rFonts w:ascii="Arial" w:hAnsi="Arial" w:cs="Arial"/>
          <w:sz w:val="24"/>
          <w:szCs w:val="24"/>
        </w:rPr>
        <w:t xml:space="preserve"> </w:t>
      </w:r>
      <w:r w:rsidR="004B5248">
        <w:rPr>
          <w:rFonts w:ascii="Arial" w:hAnsi="Arial" w:cs="Arial"/>
          <w:sz w:val="24"/>
          <w:szCs w:val="24"/>
        </w:rPr>
        <w:t xml:space="preserve">an </w:t>
      </w:r>
      <w:r>
        <w:rPr>
          <w:rFonts w:ascii="Arial" w:hAnsi="Arial" w:cs="Arial"/>
          <w:sz w:val="24"/>
          <w:szCs w:val="24"/>
        </w:rPr>
        <w:t>established post at the Respondent</w:t>
      </w:r>
      <w:r w:rsidR="004B5248">
        <w:rPr>
          <w:rFonts w:ascii="Arial" w:hAnsi="Arial" w:cs="Arial"/>
          <w:sz w:val="24"/>
          <w:szCs w:val="24"/>
        </w:rPr>
        <w:t xml:space="preserve"> whilst in the second case</w:t>
      </w:r>
      <w:r w:rsidR="00396D2F">
        <w:rPr>
          <w:rFonts w:ascii="Arial" w:hAnsi="Arial" w:cs="Arial"/>
          <w:sz w:val="24"/>
          <w:szCs w:val="24"/>
        </w:rPr>
        <w:t>,</w:t>
      </w:r>
      <w:r w:rsidR="004B5248">
        <w:rPr>
          <w:rFonts w:ascii="Arial" w:hAnsi="Arial" w:cs="Arial"/>
          <w:sz w:val="24"/>
          <w:szCs w:val="24"/>
        </w:rPr>
        <w:t xml:space="preserve"> he was not aware of the duties the said officer was performing</w:t>
      </w:r>
      <w:r w:rsidR="00396D2F">
        <w:rPr>
          <w:rFonts w:ascii="Arial" w:hAnsi="Arial" w:cs="Arial"/>
          <w:sz w:val="24"/>
          <w:szCs w:val="24"/>
        </w:rPr>
        <w:t xml:space="preserve"> in the maintenance division</w:t>
      </w:r>
      <w:r>
        <w:rPr>
          <w:rFonts w:ascii="Arial" w:hAnsi="Arial" w:cs="Arial"/>
          <w:sz w:val="24"/>
          <w:szCs w:val="24"/>
        </w:rPr>
        <w:t xml:space="preserve">. </w:t>
      </w:r>
    </w:p>
    <w:p w14:paraId="061A1E1C" w14:textId="4E66B1B3" w:rsidR="00251C54" w:rsidRDefault="004B5248" w:rsidP="00253AF6">
      <w:pPr>
        <w:jc w:val="both"/>
        <w:rPr>
          <w:rFonts w:ascii="Arial" w:hAnsi="Arial" w:cs="Arial"/>
          <w:sz w:val="24"/>
          <w:szCs w:val="24"/>
        </w:rPr>
      </w:pPr>
      <w:r>
        <w:rPr>
          <w:rFonts w:ascii="Arial" w:hAnsi="Arial" w:cs="Arial"/>
          <w:sz w:val="24"/>
          <w:szCs w:val="24"/>
        </w:rPr>
        <w:t xml:space="preserve">In re-examination, </w:t>
      </w:r>
      <w:r w:rsidR="007552F4">
        <w:rPr>
          <w:rFonts w:ascii="Arial" w:hAnsi="Arial" w:cs="Arial"/>
          <w:sz w:val="24"/>
          <w:szCs w:val="24"/>
        </w:rPr>
        <w:t xml:space="preserve">Disputant No 7 stated that at the relevant time he used to represent all the employees in negotiations concerning the </w:t>
      </w:r>
      <w:r w:rsidR="00AF4CF3">
        <w:rPr>
          <w:rFonts w:ascii="Arial" w:hAnsi="Arial" w:cs="Arial"/>
          <w:sz w:val="24"/>
          <w:szCs w:val="24"/>
        </w:rPr>
        <w:t>organi</w:t>
      </w:r>
      <w:r w:rsidR="001802CC">
        <w:rPr>
          <w:rFonts w:ascii="Arial" w:hAnsi="Arial" w:cs="Arial"/>
          <w:sz w:val="24"/>
          <w:szCs w:val="24"/>
        </w:rPr>
        <w:t>s</w:t>
      </w:r>
      <w:r w:rsidR="00AF4CF3">
        <w:rPr>
          <w:rFonts w:ascii="Arial" w:hAnsi="Arial" w:cs="Arial"/>
          <w:sz w:val="24"/>
          <w:szCs w:val="24"/>
        </w:rPr>
        <w:t xml:space="preserve">ation </w:t>
      </w:r>
      <w:r w:rsidR="007552F4">
        <w:rPr>
          <w:rFonts w:ascii="Arial" w:hAnsi="Arial" w:cs="Arial"/>
          <w:sz w:val="24"/>
          <w:szCs w:val="24"/>
        </w:rPr>
        <w:t xml:space="preserve">structure at the Respondent.  He referred to a document (extract produced and marked Doc </w:t>
      </w:r>
      <w:r w:rsidR="00F5648E">
        <w:rPr>
          <w:rFonts w:ascii="Arial" w:hAnsi="Arial" w:cs="Arial"/>
          <w:sz w:val="24"/>
          <w:szCs w:val="24"/>
        </w:rPr>
        <w:t>A</w:t>
      </w:r>
      <w:r w:rsidR="007552F4">
        <w:rPr>
          <w:rFonts w:ascii="Arial" w:hAnsi="Arial" w:cs="Arial"/>
          <w:sz w:val="24"/>
          <w:szCs w:val="24"/>
        </w:rPr>
        <w:t xml:space="preserve">) which would suggest, according to him, that the </w:t>
      </w:r>
      <w:r w:rsidR="001802CC">
        <w:rPr>
          <w:rFonts w:ascii="Arial" w:hAnsi="Arial" w:cs="Arial"/>
          <w:sz w:val="24"/>
          <w:szCs w:val="24"/>
        </w:rPr>
        <w:t xml:space="preserve">relevant </w:t>
      </w:r>
      <w:r w:rsidR="007552F4">
        <w:rPr>
          <w:rFonts w:ascii="Arial" w:hAnsi="Arial" w:cs="Arial"/>
          <w:sz w:val="24"/>
          <w:szCs w:val="24"/>
        </w:rPr>
        <w:t xml:space="preserve">trade union was proposing the post of Head of Pre-vocational Education whereas the board approved </w:t>
      </w:r>
      <w:r w:rsidR="009905AF">
        <w:rPr>
          <w:rFonts w:ascii="Arial" w:hAnsi="Arial" w:cs="Arial"/>
          <w:sz w:val="24"/>
          <w:szCs w:val="24"/>
        </w:rPr>
        <w:t>the term ‘</w:t>
      </w:r>
      <w:r w:rsidR="007552F4">
        <w:rPr>
          <w:rFonts w:ascii="Arial" w:hAnsi="Arial" w:cs="Arial"/>
          <w:sz w:val="24"/>
          <w:szCs w:val="24"/>
        </w:rPr>
        <w:t>Officer in Charge</w:t>
      </w:r>
      <w:r w:rsidR="009905AF">
        <w:rPr>
          <w:rFonts w:ascii="Arial" w:hAnsi="Arial" w:cs="Arial"/>
          <w:sz w:val="24"/>
          <w:szCs w:val="24"/>
        </w:rPr>
        <w:t>’</w:t>
      </w:r>
      <w:r w:rsidR="007552F4">
        <w:rPr>
          <w:rFonts w:ascii="Arial" w:hAnsi="Arial" w:cs="Arial"/>
          <w:sz w:val="24"/>
          <w:szCs w:val="24"/>
        </w:rPr>
        <w:t xml:space="preserve"> </w:t>
      </w:r>
      <w:r w:rsidR="00AF4CF3">
        <w:rPr>
          <w:rFonts w:ascii="Arial" w:hAnsi="Arial" w:cs="Arial"/>
          <w:sz w:val="24"/>
          <w:szCs w:val="24"/>
        </w:rPr>
        <w:t xml:space="preserve">which position would be </w:t>
      </w:r>
      <w:r w:rsidR="007552F4">
        <w:rPr>
          <w:rFonts w:ascii="Arial" w:hAnsi="Arial" w:cs="Arial"/>
          <w:sz w:val="24"/>
          <w:szCs w:val="24"/>
        </w:rPr>
        <w:t xml:space="preserve">filled </w:t>
      </w:r>
      <w:r w:rsidR="00AF4CF3">
        <w:rPr>
          <w:rFonts w:ascii="Arial" w:hAnsi="Arial" w:cs="Arial"/>
          <w:sz w:val="24"/>
          <w:szCs w:val="24"/>
        </w:rPr>
        <w:t xml:space="preserve">from </w:t>
      </w:r>
      <w:r w:rsidR="007552F4">
        <w:rPr>
          <w:rFonts w:ascii="Arial" w:hAnsi="Arial" w:cs="Arial"/>
          <w:sz w:val="24"/>
          <w:szCs w:val="24"/>
        </w:rPr>
        <w:t>among officers hold</w:t>
      </w:r>
      <w:r w:rsidR="00AF4CF3">
        <w:rPr>
          <w:rFonts w:ascii="Arial" w:hAnsi="Arial" w:cs="Arial"/>
          <w:sz w:val="24"/>
          <w:szCs w:val="24"/>
        </w:rPr>
        <w:t>ing</w:t>
      </w:r>
      <w:r w:rsidR="007552F4">
        <w:rPr>
          <w:rFonts w:ascii="Arial" w:hAnsi="Arial" w:cs="Arial"/>
          <w:sz w:val="24"/>
          <w:szCs w:val="24"/>
        </w:rPr>
        <w:t xml:space="preserve"> a substantive post of Training Officer </w:t>
      </w:r>
      <w:r w:rsidR="00AF4CF3">
        <w:rPr>
          <w:rFonts w:ascii="Arial" w:hAnsi="Arial" w:cs="Arial"/>
          <w:sz w:val="24"/>
          <w:szCs w:val="24"/>
        </w:rPr>
        <w:t>with</w:t>
      </w:r>
      <w:r w:rsidR="007552F4">
        <w:rPr>
          <w:rFonts w:ascii="Arial" w:hAnsi="Arial" w:cs="Arial"/>
          <w:sz w:val="24"/>
          <w:szCs w:val="24"/>
        </w:rPr>
        <w:t xml:space="preserve"> </w:t>
      </w:r>
      <w:r w:rsidR="00B919EC">
        <w:rPr>
          <w:rFonts w:ascii="Arial" w:hAnsi="Arial" w:cs="Arial"/>
          <w:sz w:val="24"/>
          <w:szCs w:val="24"/>
        </w:rPr>
        <w:t>five</w:t>
      </w:r>
      <w:r w:rsidR="007552F4">
        <w:rPr>
          <w:rFonts w:ascii="Arial" w:hAnsi="Arial" w:cs="Arial"/>
          <w:sz w:val="24"/>
          <w:szCs w:val="24"/>
        </w:rPr>
        <w:t xml:space="preserve"> years of experience</w:t>
      </w:r>
      <w:r w:rsidR="00AF4CF3">
        <w:rPr>
          <w:rFonts w:ascii="Arial" w:hAnsi="Arial" w:cs="Arial"/>
          <w:sz w:val="24"/>
          <w:szCs w:val="24"/>
        </w:rPr>
        <w:t xml:space="preserve"> in that </w:t>
      </w:r>
      <w:r w:rsidR="001802CC">
        <w:rPr>
          <w:rFonts w:ascii="Arial" w:hAnsi="Arial" w:cs="Arial"/>
          <w:sz w:val="24"/>
          <w:szCs w:val="24"/>
        </w:rPr>
        <w:t>grade.</w:t>
      </w:r>
      <w:r w:rsidR="009D4B8A">
        <w:rPr>
          <w:rFonts w:ascii="Arial" w:hAnsi="Arial" w:cs="Arial"/>
          <w:sz w:val="24"/>
          <w:szCs w:val="24"/>
        </w:rPr>
        <w:t xml:space="preserve"> </w:t>
      </w:r>
      <w:r w:rsidR="00B11FA7">
        <w:rPr>
          <w:rFonts w:ascii="Arial" w:hAnsi="Arial" w:cs="Arial"/>
          <w:sz w:val="24"/>
          <w:szCs w:val="24"/>
        </w:rPr>
        <w:t xml:space="preserve"> He then referred to an extract of minutes of a meeting which the management of Respondent would have had with Co-Respondent No 3.  Disputant No 7 averred that they have been carrying out the duties of Officer</w:t>
      </w:r>
      <w:r w:rsidR="00AF4CF3">
        <w:rPr>
          <w:rFonts w:ascii="Arial" w:hAnsi="Arial" w:cs="Arial"/>
          <w:sz w:val="24"/>
          <w:szCs w:val="24"/>
        </w:rPr>
        <w:t xml:space="preserve"> </w:t>
      </w:r>
      <w:r w:rsidR="00B11FA7">
        <w:rPr>
          <w:rFonts w:ascii="Arial" w:hAnsi="Arial" w:cs="Arial"/>
          <w:sz w:val="24"/>
          <w:szCs w:val="24"/>
        </w:rPr>
        <w:t>in</w:t>
      </w:r>
      <w:r w:rsidR="00AF4CF3">
        <w:rPr>
          <w:rFonts w:ascii="Arial" w:hAnsi="Arial" w:cs="Arial"/>
          <w:sz w:val="24"/>
          <w:szCs w:val="24"/>
        </w:rPr>
        <w:t xml:space="preserve"> </w:t>
      </w:r>
      <w:r w:rsidR="00B11FA7">
        <w:rPr>
          <w:rFonts w:ascii="Arial" w:hAnsi="Arial" w:cs="Arial"/>
          <w:sz w:val="24"/>
          <w:szCs w:val="24"/>
        </w:rPr>
        <w:t xml:space="preserve">Charge as per the duties laid down in the </w:t>
      </w:r>
      <w:r w:rsidR="00C03775">
        <w:rPr>
          <w:rFonts w:ascii="Arial" w:hAnsi="Arial" w:cs="Arial"/>
          <w:sz w:val="24"/>
          <w:szCs w:val="24"/>
        </w:rPr>
        <w:t xml:space="preserve">relevant </w:t>
      </w:r>
      <w:r w:rsidR="00B11FA7">
        <w:rPr>
          <w:rFonts w:ascii="Arial" w:hAnsi="Arial" w:cs="Arial"/>
          <w:sz w:val="24"/>
          <w:szCs w:val="24"/>
        </w:rPr>
        <w:t>advertisement</w:t>
      </w:r>
      <w:r w:rsidR="00F5648E">
        <w:rPr>
          <w:rFonts w:ascii="Arial" w:hAnsi="Arial" w:cs="Arial"/>
          <w:sz w:val="24"/>
          <w:szCs w:val="24"/>
        </w:rPr>
        <w:t xml:space="preserve"> </w:t>
      </w:r>
      <w:r w:rsidR="00AF4CF3">
        <w:rPr>
          <w:rFonts w:ascii="Arial" w:hAnsi="Arial" w:cs="Arial"/>
          <w:sz w:val="24"/>
          <w:szCs w:val="24"/>
        </w:rPr>
        <w:t xml:space="preserve">at that time </w:t>
      </w:r>
      <w:r w:rsidR="00F5648E">
        <w:rPr>
          <w:rFonts w:ascii="Arial" w:hAnsi="Arial" w:cs="Arial"/>
          <w:sz w:val="24"/>
          <w:szCs w:val="24"/>
        </w:rPr>
        <w:t>and have been remunerated accordingly</w:t>
      </w:r>
      <w:r w:rsidR="00B11FA7">
        <w:rPr>
          <w:rFonts w:ascii="Arial" w:hAnsi="Arial" w:cs="Arial"/>
          <w:sz w:val="24"/>
          <w:szCs w:val="24"/>
        </w:rPr>
        <w:t xml:space="preserve">.  </w:t>
      </w:r>
      <w:r w:rsidR="00BE7A84">
        <w:rPr>
          <w:rFonts w:ascii="Arial" w:hAnsi="Arial" w:cs="Arial"/>
          <w:sz w:val="24"/>
          <w:szCs w:val="24"/>
        </w:rPr>
        <w:t xml:space="preserve">He stated that recently in an advertisement dated </w:t>
      </w:r>
      <w:r w:rsidR="00551460">
        <w:rPr>
          <w:rFonts w:ascii="Arial" w:hAnsi="Arial" w:cs="Arial"/>
          <w:sz w:val="24"/>
          <w:szCs w:val="24"/>
        </w:rPr>
        <w:t>2</w:t>
      </w:r>
      <w:r w:rsidR="00BE7A84">
        <w:rPr>
          <w:rFonts w:ascii="Arial" w:hAnsi="Arial" w:cs="Arial"/>
          <w:sz w:val="24"/>
          <w:szCs w:val="24"/>
        </w:rPr>
        <w:t xml:space="preserve"> February 2018 (Annex </w:t>
      </w:r>
      <w:r w:rsidR="00551460">
        <w:rPr>
          <w:rFonts w:ascii="Arial" w:hAnsi="Arial" w:cs="Arial"/>
          <w:sz w:val="24"/>
          <w:szCs w:val="24"/>
        </w:rPr>
        <w:t>13</w:t>
      </w:r>
      <w:r w:rsidR="00BE7A84">
        <w:rPr>
          <w:rFonts w:ascii="Arial" w:hAnsi="Arial" w:cs="Arial"/>
          <w:sz w:val="24"/>
          <w:szCs w:val="24"/>
        </w:rPr>
        <w:t xml:space="preserve"> to </w:t>
      </w:r>
      <w:r w:rsidR="00551460">
        <w:rPr>
          <w:rFonts w:ascii="Arial" w:hAnsi="Arial" w:cs="Arial"/>
          <w:sz w:val="24"/>
          <w:szCs w:val="24"/>
        </w:rPr>
        <w:t xml:space="preserve">his </w:t>
      </w:r>
      <w:r w:rsidR="0041139E">
        <w:rPr>
          <w:rFonts w:ascii="Arial" w:hAnsi="Arial" w:cs="Arial"/>
          <w:sz w:val="24"/>
          <w:szCs w:val="24"/>
        </w:rPr>
        <w:t>Statement of Case</w:t>
      </w:r>
      <w:r w:rsidR="00BE7A84">
        <w:rPr>
          <w:rFonts w:ascii="Arial" w:hAnsi="Arial" w:cs="Arial"/>
          <w:sz w:val="24"/>
          <w:szCs w:val="24"/>
        </w:rPr>
        <w:t xml:space="preserve">), the term ‘post’ has been removed and </w:t>
      </w:r>
      <w:r w:rsidR="00AC3687">
        <w:rPr>
          <w:rFonts w:ascii="Arial" w:hAnsi="Arial" w:cs="Arial"/>
          <w:sz w:val="24"/>
          <w:szCs w:val="24"/>
        </w:rPr>
        <w:t xml:space="preserve">instead </w:t>
      </w:r>
      <w:r w:rsidR="00BE7A84">
        <w:rPr>
          <w:rFonts w:ascii="Arial" w:hAnsi="Arial" w:cs="Arial"/>
          <w:sz w:val="24"/>
          <w:szCs w:val="24"/>
        </w:rPr>
        <w:t xml:space="preserve">mention </w:t>
      </w:r>
      <w:r w:rsidR="00AC3687">
        <w:rPr>
          <w:rFonts w:ascii="Arial" w:hAnsi="Arial" w:cs="Arial"/>
          <w:sz w:val="24"/>
          <w:szCs w:val="24"/>
        </w:rPr>
        <w:t>has been</w:t>
      </w:r>
      <w:r w:rsidR="00BE7A84">
        <w:rPr>
          <w:rFonts w:ascii="Arial" w:hAnsi="Arial" w:cs="Arial"/>
          <w:sz w:val="24"/>
          <w:szCs w:val="24"/>
        </w:rPr>
        <w:t xml:space="preserve"> made of assignment of duties as Officer</w:t>
      </w:r>
      <w:r w:rsidR="0041139E">
        <w:rPr>
          <w:rFonts w:ascii="Arial" w:hAnsi="Arial" w:cs="Arial"/>
          <w:sz w:val="24"/>
          <w:szCs w:val="24"/>
        </w:rPr>
        <w:t xml:space="preserve"> i</w:t>
      </w:r>
      <w:r w:rsidR="00BE7A84">
        <w:rPr>
          <w:rFonts w:ascii="Arial" w:hAnsi="Arial" w:cs="Arial"/>
          <w:sz w:val="24"/>
          <w:szCs w:val="24"/>
        </w:rPr>
        <w:t>n</w:t>
      </w:r>
      <w:r w:rsidR="0041139E">
        <w:rPr>
          <w:rFonts w:ascii="Arial" w:hAnsi="Arial" w:cs="Arial"/>
          <w:sz w:val="24"/>
          <w:szCs w:val="24"/>
        </w:rPr>
        <w:t xml:space="preserve"> </w:t>
      </w:r>
      <w:r w:rsidR="00BE7A84">
        <w:rPr>
          <w:rFonts w:ascii="Arial" w:hAnsi="Arial" w:cs="Arial"/>
          <w:sz w:val="24"/>
          <w:szCs w:val="24"/>
        </w:rPr>
        <w:t xml:space="preserve">Charge </w:t>
      </w:r>
      <w:r w:rsidR="0041139E">
        <w:rPr>
          <w:rFonts w:ascii="Arial" w:hAnsi="Arial" w:cs="Arial"/>
          <w:sz w:val="24"/>
          <w:szCs w:val="24"/>
        </w:rPr>
        <w:t>-</w:t>
      </w:r>
      <w:r w:rsidR="00AC3687">
        <w:rPr>
          <w:rFonts w:ascii="Arial" w:hAnsi="Arial" w:cs="Arial"/>
          <w:sz w:val="24"/>
          <w:szCs w:val="24"/>
        </w:rPr>
        <w:t xml:space="preserve"> </w:t>
      </w:r>
      <w:r w:rsidR="00BE7A84">
        <w:rPr>
          <w:rFonts w:ascii="Arial" w:hAnsi="Arial" w:cs="Arial"/>
          <w:sz w:val="24"/>
          <w:szCs w:val="24"/>
        </w:rPr>
        <w:t xml:space="preserve">PVE Training Centre.   </w:t>
      </w:r>
      <w:r w:rsidR="00B11FA7">
        <w:rPr>
          <w:rFonts w:ascii="Arial" w:hAnsi="Arial" w:cs="Arial"/>
          <w:sz w:val="24"/>
          <w:szCs w:val="24"/>
        </w:rPr>
        <w:t xml:space="preserve">    </w:t>
      </w:r>
    </w:p>
    <w:p w14:paraId="3301C235" w14:textId="14D1D5F8" w:rsidR="00251C54" w:rsidRDefault="006B3565" w:rsidP="00253AF6">
      <w:pPr>
        <w:jc w:val="both"/>
        <w:rPr>
          <w:rFonts w:ascii="Arial" w:hAnsi="Arial" w:cs="Arial"/>
          <w:sz w:val="24"/>
          <w:szCs w:val="24"/>
        </w:rPr>
      </w:pPr>
      <w:r>
        <w:rPr>
          <w:rFonts w:ascii="Arial" w:hAnsi="Arial" w:cs="Arial"/>
          <w:sz w:val="24"/>
          <w:szCs w:val="24"/>
        </w:rPr>
        <w:t xml:space="preserve">Mr Maudarbocus, the Acting Deputy Director of the Respondent deponed at another sitting.  He </w:t>
      </w:r>
      <w:r w:rsidR="00F129B0">
        <w:rPr>
          <w:rFonts w:ascii="Arial" w:hAnsi="Arial" w:cs="Arial"/>
          <w:sz w:val="24"/>
          <w:szCs w:val="24"/>
        </w:rPr>
        <w:t xml:space="preserve">stated that Disputants Nos 3, 1, 4 and 7 </w:t>
      </w:r>
      <w:r w:rsidR="001802CC">
        <w:rPr>
          <w:rFonts w:ascii="Arial" w:hAnsi="Arial" w:cs="Arial"/>
          <w:sz w:val="24"/>
          <w:szCs w:val="24"/>
        </w:rPr>
        <w:t>initially</w:t>
      </w:r>
      <w:r w:rsidR="00F129B0">
        <w:rPr>
          <w:rFonts w:ascii="Arial" w:hAnsi="Arial" w:cs="Arial"/>
          <w:sz w:val="24"/>
          <w:szCs w:val="24"/>
        </w:rPr>
        <w:t xml:space="preserve"> joined the “Ministry of Education” and he produced copies of documents in relation to each one of them (Docs B to E respectively).  The other disputants were employed directly by the IVTB and he produced copies of documents in relation to Disputants 6, 5 and 2 (Docs F, G and H respectively).  </w:t>
      </w:r>
      <w:r w:rsidR="00D75D28">
        <w:rPr>
          <w:rFonts w:ascii="Arial" w:hAnsi="Arial" w:cs="Arial"/>
          <w:sz w:val="24"/>
          <w:szCs w:val="24"/>
        </w:rPr>
        <w:t xml:space="preserve">Mr Maudarbocus related lengthily how pre-vocational education started as a project of the IVTB in 1990 and then was transferred to another Ministry, that is, the Ministry of Education whereby a policy decision was taken that pre-vocational education </w:t>
      </w:r>
      <w:r w:rsidR="00D75D28">
        <w:rPr>
          <w:rFonts w:ascii="Arial" w:hAnsi="Arial" w:cs="Arial"/>
          <w:sz w:val="24"/>
          <w:szCs w:val="24"/>
        </w:rPr>
        <w:lastRenderedPageBreak/>
        <w:t xml:space="preserve">would be under the </w:t>
      </w:r>
      <w:r w:rsidR="001802CC">
        <w:rPr>
          <w:rFonts w:ascii="Arial" w:hAnsi="Arial" w:cs="Arial"/>
          <w:sz w:val="24"/>
          <w:szCs w:val="24"/>
        </w:rPr>
        <w:t>‘</w:t>
      </w:r>
      <w:r w:rsidR="00D75D28">
        <w:rPr>
          <w:rFonts w:ascii="Arial" w:hAnsi="Arial" w:cs="Arial"/>
          <w:sz w:val="24"/>
          <w:szCs w:val="24"/>
        </w:rPr>
        <w:t>Management Trust Fund</w:t>
      </w:r>
      <w:r w:rsidR="001802CC">
        <w:rPr>
          <w:rFonts w:ascii="Arial" w:hAnsi="Arial" w:cs="Arial"/>
          <w:sz w:val="24"/>
          <w:szCs w:val="24"/>
        </w:rPr>
        <w:t>’</w:t>
      </w:r>
      <w:r w:rsidR="00D75D28">
        <w:rPr>
          <w:rFonts w:ascii="Arial" w:hAnsi="Arial" w:cs="Arial"/>
          <w:sz w:val="24"/>
          <w:szCs w:val="24"/>
        </w:rPr>
        <w:t xml:space="preserve">.  The IVTB then fell under </w:t>
      </w:r>
      <w:r w:rsidR="00C912A1">
        <w:rPr>
          <w:rFonts w:ascii="Arial" w:hAnsi="Arial" w:cs="Arial"/>
          <w:sz w:val="24"/>
          <w:szCs w:val="24"/>
        </w:rPr>
        <w:t xml:space="preserve">the Ministry of Training which was </w:t>
      </w:r>
      <w:r w:rsidR="00D75D28">
        <w:rPr>
          <w:rFonts w:ascii="Arial" w:hAnsi="Arial" w:cs="Arial"/>
          <w:sz w:val="24"/>
          <w:szCs w:val="24"/>
        </w:rPr>
        <w:t>a different Ministry.  He explained why there was then a need to come up with a bridging course which students would follow before they could enroll in a specific course at the IVTB.</w:t>
      </w:r>
      <w:r w:rsidR="00C912A1">
        <w:rPr>
          <w:rFonts w:ascii="Arial" w:hAnsi="Arial" w:cs="Arial"/>
          <w:sz w:val="24"/>
          <w:szCs w:val="24"/>
        </w:rPr>
        <w:t xml:space="preserve">  The Ministry of Education</w:t>
      </w:r>
      <w:r w:rsidR="00D75D28">
        <w:rPr>
          <w:rFonts w:ascii="Arial" w:hAnsi="Arial" w:cs="Arial"/>
          <w:sz w:val="24"/>
          <w:szCs w:val="24"/>
        </w:rPr>
        <w:t xml:space="preserve"> </w:t>
      </w:r>
      <w:r w:rsidR="00C912A1">
        <w:rPr>
          <w:rFonts w:ascii="Arial" w:hAnsi="Arial" w:cs="Arial"/>
          <w:sz w:val="24"/>
          <w:szCs w:val="24"/>
        </w:rPr>
        <w:t xml:space="preserve">approached the (then) Ministry of Training to design this course which was later called the National Trade Certificate </w:t>
      </w:r>
      <w:r w:rsidR="00851A33">
        <w:rPr>
          <w:rFonts w:ascii="Arial" w:hAnsi="Arial" w:cs="Arial"/>
          <w:sz w:val="24"/>
          <w:szCs w:val="24"/>
        </w:rPr>
        <w:t xml:space="preserve">(NTC) </w:t>
      </w:r>
      <w:r w:rsidR="00C912A1">
        <w:rPr>
          <w:rFonts w:ascii="Arial" w:hAnsi="Arial" w:cs="Arial"/>
          <w:sz w:val="24"/>
          <w:szCs w:val="24"/>
        </w:rPr>
        <w:t xml:space="preserve">Course.  The IVTB was allocated a separate budget to run this project.  Mr Maudarbocus suggested that this was a temporary measure which was agreed at that time so that Government could </w:t>
      </w:r>
      <w:r w:rsidR="009905AF">
        <w:rPr>
          <w:rFonts w:ascii="Arial" w:hAnsi="Arial" w:cs="Arial"/>
          <w:sz w:val="24"/>
          <w:szCs w:val="24"/>
        </w:rPr>
        <w:t>decide on</w:t>
      </w:r>
      <w:r w:rsidR="00C912A1">
        <w:rPr>
          <w:rFonts w:ascii="Arial" w:hAnsi="Arial" w:cs="Arial"/>
          <w:sz w:val="24"/>
          <w:szCs w:val="24"/>
        </w:rPr>
        <w:t xml:space="preserve"> a </w:t>
      </w:r>
      <w:r w:rsidR="009905AF">
        <w:rPr>
          <w:rFonts w:ascii="Arial" w:hAnsi="Arial" w:cs="Arial"/>
          <w:sz w:val="24"/>
          <w:szCs w:val="24"/>
        </w:rPr>
        <w:t xml:space="preserve">proper </w:t>
      </w:r>
      <w:r w:rsidR="00C912A1">
        <w:rPr>
          <w:rFonts w:ascii="Arial" w:hAnsi="Arial" w:cs="Arial"/>
          <w:sz w:val="24"/>
          <w:szCs w:val="24"/>
        </w:rPr>
        <w:t xml:space="preserve">policy </w:t>
      </w:r>
      <w:r w:rsidR="009905AF">
        <w:rPr>
          <w:rFonts w:ascii="Arial" w:hAnsi="Arial" w:cs="Arial"/>
          <w:sz w:val="24"/>
          <w:szCs w:val="24"/>
        </w:rPr>
        <w:t>for</w:t>
      </w:r>
      <w:r w:rsidR="00C912A1">
        <w:rPr>
          <w:rFonts w:ascii="Arial" w:hAnsi="Arial" w:cs="Arial"/>
          <w:sz w:val="24"/>
          <w:szCs w:val="24"/>
        </w:rPr>
        <w:t xml:space="preserve"> pre-vocational education.     </w:t>
      </w:r>
      <w:r w:rsidR="00D75D28">
        <w:rPr>
          <w:rFonts w:ascii="Arial" w:hAnsi="Arial" w:cs="Arial"/>
          <w:sz w:val="24"/>
          <w:szCs w:val="24"/>
        </w:rPr>
        <w:t xml:space="preserve">    </w:t>
      </w:r>
      <w:r w:rsidR="00F129B0">
        <w:rPr>
          <w:rFonts w:ascii="Arial" w:hAnsi="Arial" w:cs="Arial"/>
          <w:sz w:val="24"/>
          <w:szCs w:val="24"/>
        </w:rPr>
        <w:t xml:space="preserve">    </w:t>
      </w:r>
    </w:p>
    <w:p w14:paraId="65844145" w14:textId="6FCCB43A" w:rsidR="005669A3" w:rsidRDefault="00C912A1" w:rsidP="00C912A1">
      <w:pPr>
        <w:jc w:val="both"/>
        <w:rPr>
          <w:rFonts w:ascii="Arial" w:hAnsi="Arial" w:cs="Arial"/>
          <w:sz w:val="24"/>
          <w:szCs w:val="24"/>
        </w:rPr>
      </w:pPr>
      <w:r>
        <w:rPr>
          <w:rFonts w:ascii="Arial" w:hAnsi="Arial" w:cs="Arial"/>
          <w:sz w:val="24"/>
          <w:szCs w:val="24"/>
        </w:rPr>
        <w:t>The first batch for this course started in 2004 and the courses were run in existing training centr</w:t>
      </w:r>
      <w:r w:rsidR="00C03775">
        <w:rPr>
          <w:rFonts w:ascii="Arial" w:hAnsi="Arial" w:cs="Arial"/>
          <w:sz w:val="24"/>
          <w:szCs w:val="24"/>
        </w:rPr>
        <w:t>e</w:t>
      </w:r>
      <w:r>
        <w:rPr>
          <w:rFonts w:ascii="Arial" w:hAnsi="Arial" w:cs="Arial"/>
          <w:sz w:val="24"/>
          <w:szCs w:val="24"/>
        </w:rPr>
        <w:t>s where there w</w:t>
      </w:r>
      <w:r w:rsidR="00D400AB">
        <w:rPr>
          <w:rFonts w:ascii="Arial" w:hAnsi="Arial" w:cs="Arial"/>
          <w:sz w:val="24"/>
          <w:szCs w:val="24"/>
        </w:rPr>
        <w:t>as</w:t>
      </w:r>
      <w:r>
        <w:rPr>
          <w:rFonts w:ascii="Arial" w:hAnsi="Arial" w:cs="Arial"/>
          <w:sz w:val="24"/>
          <w:szCs w:val="24"/>
        </w:rPr>
        <w:t xml:space="preserve"> enough space to accommodate the students </w:t>
      </w:r>
      <w:r w:rsidR="001802CC">
        <w:rPr>
          <w:rFonts w:ascii="Arial" w:hAnsi="Arial" w:cs="Arial"/>
          <w:sz w:val="24"/>
          <w:szCs w:val="24"/>
        </w:rPr>
        <w:t>but</w:t>
      </w:r>
      <w:r>
        <w:rPr>
          <w:rFonts w:ascii="Arial" w:hAnsi="Arial" w:cs="Arial"/>
          <w:sz w:val="24"/>
          <w:szCs w:val="24"/>
        </w:rPr>
        <w:t xml:space="preserve"> </w:t>
      </w:r>
      <w:r w:rsidR="00C932AB">
        <w:rPr>
          <w:rFonts w:ascii="Arial" w:hAnsi="Arial" w:cs="Arial"/>
          <w:sz w:val="24"/>
          <w:szCs w:val="24"/>
        </w:rPr>
        <w:t xml:space="preserve">also </w:t>
      </w:r>
      <w:r>
        <w:rPr>
          <w:rFonts w:ascii="Arial" w:hAnsi="Arial" w:cs="Arial"/>
          <w:sz w:val="24"/>
          <w:szCs w:val="24"/>
        </w:rPr>
        <w:t xml:space="preserve">in </w:t>
      </w:r>
      <w:r w:rsidR="00C932AB">
        <w:rPr>
          <w:rFonts w:ascii="Arial" w:hAnsi="Arial" w:cs="Arial"/>
          <w:sz w:val="24"/>
          <w:szCs w:val="24"/>
        </w:rPr>
        <w:t xml:space="preserve">centres </w:t>
      </w:r>
      <w:r>
        <w:rPr>
          <w:rFonts w:ascii="Arial" w:hAnsi="Arial" w:cs="Arial"/>
          <w:sz w:val="24"/>
          <w:szCs w:val="24"/>
        </w:rPr>
        <w:t>set up to run only the pre-vocational courses.  Mr Maudarbocus stated that there was a need to have people to head the centr</w:t>
      </w:r>
      <w:r w:rsidR="00C932AB">
        <w:rPr>
          <w:rFonts w:ascii="Arial" w:hAnsi="Arial" w:cs="Arial"/>
          <w:sz w:val="24"/>
          <w:szCs w:val="24"/>
        </w:rPr>
        <w:t>e</w:t>
      </w:r>
      <w:r>
        <w:rPr>
          <w:rFonts w:ascii="Arial" w:hAnsi="Arial" w:cs="Arial"/>
          <w:sz w:val="24"/>
          <w:szCs w:val="24"/>
        </w:rPr>
        <w:t>s</w:t>
      </w:r>
      <w:r w:rsidR="00C932AB">
        <w:rPr>
          <w:rFonts w:ascii="Arial" w:hAnsi="Arial" w:cs="Arial"/>
          <w:sz w:val="24"/>
          <w:szCs w:val="24"/>
        </w:rPr>
        <w:t xml:space="preserve"> set up to run only pre-vocational c</w:t>
      </w:r>
      <w:r w:rsidR="001802CC">
        <w:rPr>
          <w:rFonts w:ascii="Arial" w:hAnsi="Arial" w:cs="Arial"/>
          <w:sz w:val="24"/>
          <w:szCs w:val="24"/>
        </w:rPr>
        <w:t>ourses</w:t>
      </w:r>
      <w:r>
        <w:rPr>
          <w:rFonts w:ascii="Arial" w:hAnsi="Arial" w:cs="Arial"/>
          <w:sz w:val="24"/>
          <w:szCs w:val="24"/>
        </w:rPr>
        <w:t>.  He averred that since they were requested to run the project on a temporary basis, no post was created on the establishment of the IVTB as Head of those training centr</w:t>
      </w:r>
      <w:r w:rsidR="00F85889">
        <w:rPr>
          <w:rFonts w:ascii="Arial" w:hAnsi="Arial" w:cs="Arial"/>
          <w:sz w:val="24"/>
          <w:szCs w:val="24"/>
        </w:rPr>
        <w:t>e</w:t>
      </w:r>
      <w:r>
        <w:rPr>
          <w:rFonts w:ascii="Arial" w:hAnsi="Arial" w:cs="Arial"/>
          <w:sz w:val="24"/>
          <w:szCs w:val="24"/>
        </w:rPr>
        <w:t>s.  Training Officers were instead assigned duties to head those training centr</w:t>
      </w:r>
      <w:r w:rsidR="00F85889">
        <w:rPr>
          <w:rFonts w:ascii="Arial" w:hAnsi="Arial" w:cs="Arial"/>
          <w:sz w:val="24"/>
          <w:szCs w:val="24"/>
        </w:rPr>
        <w:t>e</w:t>
      </w:r>
      <w:r>
        <w:rPr>
          <w:rFonts w:ascii="Arial" w:hAnsi="Arial" w:cs="Arial"/>
          <w:sz w:val="24"/>
          <w:szCs w:val="24"/>
        </w:rPr>
        <w:t>s since there was no established position of Head of those training centr</w:t>
      </w:r>
      <w:r w:rsidR="00F85889">
        <w:rPr>
          <w:rFonts w:ascii="Arial" w:hAnsi="Arial" w:cs="Arial"/>
          <w:sz w:val="24"/>
          <w:szCs w:val="24"/>
        </w:rPr>
        <w:t>e</w:t>
      </w:r>
      <w:r>
        <w:rPr>
          <w:rFonts w:ascii="Arial" w:hAnsi="Arial" w:cs="Arial"/>
          <w:sz w:val="24"/>
          <w:szCs w:val="24"/>
        </w:rPr>
        <w:t xml:space="preserve">s.  It was merely a designated position which they </w:t>
      </w:r>
      <w:r w:rsidR="0035154A">
        <w:rPr>
          <w:rFonts w:ascii="Arial" w:hAnsi="Arial" w:cs="Arial"/>
          <w:sz w:val="24"/>
          <w:szCs w:val="24"/>
        </w:rPr>
        <w:t xml:space="preserve">termed as </w:t>
      </w:r>
      <w:r>
        <w:rPr>
          <w:rFonts w:ascii="Arial" w:hAnsi="Arial" w:cs="Arial"/>
          <w:sz w:val="24"/>
          <w:szCs w:val="24"/>
        </w:rPr>
        <w:t>Officer</w:t>
      </w:r>
      <w:r w:rsidR="00992622">
        <w:rPr>
          <w:rFonts w:ascii="Arial" w:hAnsi="Arial" w:cs="Arial"/>
          <w:sz w:val="24"/>
          <w:szCs w:val="24"/>
        </w:rPr>
        <w:t xml:space="preserve"> </w:t>
      </w:r>
      <w:r>
        <w:rPr>
          <w:rFonts w:ascii="Arial" w:hAnsi="Arial" w:cs="Arial"/>
          <w:sz w:val="24"/>
          <w:szCs w:val="24"/>
        </w:rPr>
        <w:t>in</w:t>
      </w:r>
      <w:r w:rsidR="00992622">
        <w:rPr>
          <w:rFonts w:ascii="Arial" w:hAnsi="Arial" w:cs="Arial"/>
          <w:sz w:val="24"/>
          <w:szCs w:val="24"/>
        </w:rPr>
        <w:t xml:space="preserve"> </w:t>
      </w:r>
      <w:r>
        <w:rPr>
          <w:rFonts w:ascii="Arial" w:hAnsi="Arial" w:cs="Arial"/>
          <w:sz w:val="24"/>
          <w:szCs w:val="24"/>
        </w:rPr>
        <w:t>Charge to head the training centr</w:t>
      </w:r>
      <w:r w:rsidR="00F85889">
        <w:rPr>
          <w:rFonts w:ascii="Arial" w:hAnsi="Arial" w:cs="Arial"/>
          <w:sz w:val="24"/>
          <w:szCs w:val="24"/>
        </w:rPr>
        <w:t>e</w:t>
      </w:r>
      <w:r>
        <w:rPr>
          <w:rFonts w:ascii="Arial" w:hAnsi="Arial" w:cs="Arial"/>
          <w:sz w:val="24"/>
          <w:szCs w:val="24"/>
        </w:rPr>
        <w:t xml:space="preserve">s dedicated to pre-vocational education.  </w:t>
      </w:r>
    </w:p>
    <w:p w14:paraId="1DC8E1FD" w14:textId="51125047" w:rsidR="00316E08" w:rsidRDefault="005669A3" w:rsidP="00C912A1">
      <w:pPr>
        <w:jc w:val="both"/>
        <w:rPr>
          <w:rFonts w:ascii="Arial" w:hAnsi="Arial" w:cs="Arial"/>
          <w:sz w:val="24"/>
          <w:szCs w:val="24"/>
        </w:rPr>
      </w:pPr>
      <w:r>
        <w:rPr>
          <w:rFonts w:ascii="Arial" w:hAnsi="Arial" w:cs="Arial"/>
          <w:sz w:val="24"/>
          <w:szCs w:val="24"/>
        </w:rPr>
        <w:t xml:space="preserve">Mr Maudarbocus stated that </w:t>
      </w:r>
      <w:r w:rsidR="001B5209">
        <w:rPr>
          <w:rFonts w:ascii="Arial" w:hAnsi="Arial" w:cs="Arial"/>
          <w:sz w:val="24"/>
          <w:szCs w:val="24"/>
        </w:rPr>
        <w:t xml:space="preserve">Annex 2(a) to the Statement of Case of the </w:t>
      </w:r>
      <w:r w:rsidR="00380BD9">
        <w:rPr>
          <w:rFonts w:ascii="Arial" w:hAnsi="Arial" w:cs="Arial"/>
          <w:sz w:val="24"/>
          <w:szCs w:val="24"/>
        </w:rPr>
        <w:t>D</w:t>
      </w:r>
      <w:r w:rsidR="001B5209">
        <w:rPr>
          <w:rFonts w:ascii="Arial" w:hAnsi="Arial" w:cs="Arial"/>
          <w:sz w:val="24"/>
          <w:szCs w:val="24"/>
        </w:rPr>
        <w:t>isputant</w:t>
      </w:r>
      <w:r w:rsidR="00380BD9">
        <w:rPr>
          <w:rFonts w:ascii="Arial" w:hAnsi="Arial" w:cs="Arial"/>
          <w:sz w:val="24"/>
          <w:szCs w:val="24"/>
        </w:rPr>
        <w:t xml:space="preserve"> No 7</w:t>
      </w:r>
      <w:r w:rsidR="001B5209">
        <w:rPr>
          <w:rFonts w:ascii="Arial" w:hAnsi="Arial" w:cs="Arial"/>
          <w:sz w:val="24"/>
          <w:szCs w:val="24"/>
        </w:rPr>
        <w:t xml:space="preserve"> did not concern any of the disputants.  </w:t>
      </w:r>
      <w:r w:rsidR="00C913A9">
        <w:rPr>
          <w:rFonts w:ascii="Arial" w:hAnsi="Arial" w:cs="Arial"/>
          <w:sz w:val="24"/>
          <w:szCs w:val="24"/>
        </w:rPr>
        <w:t xml:space="preserve">Annex 2(b) concerned only Disputant No </w:t>
      </w:r>
      <w:r w:rsidR="00686B0B">
        <w:rPr>
          <w:rFonts w:ascii="Arial" w:hAnsi="Arial" w:cs="Arial"/>
          <w:sz w:val="24"/>
          <w:szCs w:val="24"/>
        </w:rPr>
        <w:t>3</w:t>
      </w:r>
      <w:r w:rsidR="00C913A9">
        <w:rPr>
          <w:rFonts w:ascii="Arial" w:hAnsi="Arial" w:cs="Arial"/>
          <w:sz w:val="24"/>
          <w:szCs w:val="24"/>
        </w:rPr>
        <w:t>.</w:t>
      </w:r>
      <w:r w:rsidR="00686B0B">
        <w:rPr>
          <w:rFonts w:ascii="Arial" w:hAnsi="Arial" w:cs="Arial"/>
          <w:sz w:val="24"/>
          <w:szCs w:val="24"/>
        </w:rPr>
        <w:t xml:space="preserve">  The other disputants </w:t>
      </w:r>
      <w:r w:rsidR="00005FBE">
        <w:rPr>
          <w:rFonts w:ascii="Arial" w:hAnsi="Arial" w:cs="Arial"/>
          <w:sz w:val="24"/>
          <w:szCs w:val="24"/>
        </w:rPr>
        <w:t>we</w:t>
      </w:r>
      <w:r w:rsidR="00686B0B">
        <w:rPr>
          <w:rFonts w:ascii="Arial" w:hAnsi="Arial" w:cs="Arial"/>
          <w:sz w:val="24"/>
          <w:szCs w:val="24"/>
        </w:rPr>
        <w:t>re concerned with advertisements which range from 2008 onwards. Mr Maudarbocus produced copies of letters issued to each of the disputants for assignment of duties as Officer in Charge</w:t>
      </w:r>
      <w:r w:rsidR="00005FBE">
        <w:rPr>
          <w:rFonts w:ascii="Arial" w:hAnsi="Arial" w:cs="Arial"/>
          <w:sz w:val="24"/>
          <w:szCs w:val="24"/>
        </w:rPr>
        <w:t xml:space="preserve">, Officer in Charge-NTC Foundation and Officer in Charge (PVE Centres) </w:t>
      </w:r>
      <w:r w:rsidR="00686B0B">
        <w:rPr>
          <w:rFonts w:ascii="Arial" w:hAnsi="Arial" w:cs="Arial"/>
          <w:sz w:val="24"/>
          <w:szCs w:val="24"/>
        </w:rPr>
        <w:t xml:space="preserve">(Docs I to O).  </w:t>
      </w:r>
      <w:r w:rsidR="00792041">
        <w:rPr>
          <w:rFonts w:ascii="Arial" w:hAnsi="Arial" w:cs="Arial"/>
          <w:sz w:val="24"/>
          <w:szCs w:val="24"/>
        </w:rPr>
        <w:t xml:space="preserve">He stated that there was nothing mentioned about appointment as Officer in Charge and that the Training Officers were granted three increments worth allowance over and above the salary of their substantive post.  </w:t>
      </w:r>
      <w:r w:rsidR="000E0D59">
        <w:rPr>
          <w:rFonts w:ascii="Arial" w:hAnsi="Arial" w:cs="Arial"/>
          <w:sz w:val="24"/>
          <w:szCs w:val="24"/>
        </w:rPr>
        <w:t>Mr Maudarbocus stated that in 2005 the IVTB implemented an IT system for their</w:t>
      </w:r>
      <w:r w:rsidR="00792041">
        <w:rPr>
          <w:rFonts w:ascii="Arial" w:hAnsi="Arial" w:cs="Arial"/>
          <w:sz w:val="24"/>
          <w:szCs w:val="24"/>
        </w:rPr>
        <w:t xml:space="preserve"> </w:t>
      </w:r>
      <w:r w:rsidR="00005FBE">
        <w:rPr>
          <w:rFonts w:ascii="Arial" w:hAnsi="Arial" w:cs="Arial"/>
          <w:sz w:val="24"/>
          <w:szCs w:val="24"/>
        </w:rPr>
        <w:t>P</w:t>
      </w:r>
      <w:r w:rsidR="000E0D59">
        <w:rPr>
          <w:rFonts w:ascii="Arial" w:hAnsi="Arial" w:cs="Arial"/>
          <w:sz w:val="24"/>
          <w:szCs w:val="24"/>
        </w:rPr>
        <w:t xml:space="preserve">ayroll, HR and Finance system.  At that time, when the system was designed, there was only one type of allowance that the system could cater for.  This was responsibility allowance.  Thus, he explained that when any allowance was paid during that period, </w:t>
      </w:r>
      <w:r w:rsidR="005B3043">
        <w:rPr>
          <w:rFonts w:ascii="Arial" w:hAnsi="Arial" w:cs="Arial"/>
          <w:sz w:val="24"/>
          <w:szCs w:val="24"/>
        </w:rPr>
        <w:t xml:space="preserve">that is, from 2005 till the end of 2012, </w:t>
      </w:r>
      <w:r w:rsidR="000E0D59">
        <w:rPr>
          <w:rFonts w:ascii="Arial" w:hAnsi="Arial" w:cs="Arial"/>
          <w:sz w:val="24"/>
          <w:szCs w:val="24"/>
        </w:rPr>
        <w:t xml:space="preserve">the allowance was </w:t>
      </w:r>
      <w:r w:rsidR="009F4074">
        <w:rPr>
          <w:rFonts w:ascii="Arial" w:hAnsi="Arial" w:cs="Arial"/>
          <w:sz w:val="24"/>
          <w:szCs w:val="24"/>
        </w:rPr>
        <w:t xml:space="preserve">accounted as responsibility allowance.  </w:t>
      </w:r>
      <w:r w:rsidR="00316E08">
        <w:rPr>
          <w:rFonts w:ascii="Arial" w:hAnsi="Arial" w:cs="Arial"/>
          <w:sz w:val="24"/>
          <w:szCs w:val="24"/>
        </w:rPr>
        <w:t>At the end of 2012, the Pay Research Bureau (PRB) Report 2013</w:t>
      </w:r>
      <w:r w:rsidR="00686B0B">
        <w:rPr>
          <w:rFonts w:ascii="Arial" w:hAnsi="Arial" w:cs="Arial"/>
          <w:sz w:val="24"/>
          <w:szCs w:val="24"/>
        </w:rPr>
        <w:t xml:space="preserve"> </w:t>
      </w:r>
      <w:r w:rsidR="00316E08">
        <w:rPr>
          <w:rFonts w:ascii="Arial" w:hAnsi="Arial" w:cs="Arial"/>
          <w:sz w:val="24"/>
          <w:szCs w:val="24"/>
        </w:rPr>
        <w:t xml:space="preserve">came out and implementation </w:t>
      </w:r>
      <w:r w:rsidR="0035154A">
        <w:rPr>
          <w:rFonts w:ascii="Arial" w:hAnsi="Arial" w:cs="Arial"/>
          <w:sz w:val="24"/>
          <w:szCs w:val="24"/>
        </w:rPr>
        <w:t xml:space="preserve">of the report </w:t>
      </w:r>
      <w:r w:rsidR="00316E08">
        <w:rPr>
          <w:rFonts w:ascii="Arial" w:hAnsi="Arial" w:cs="Arial"/>
          <w:sz w:val="24"/>
          <w:szCs w:val="24"/>
        </w:rPr>
        <w:t xml:space="preserve">was </w:t>
      </w:r>
      <w:r w:rsidR="0035154A">
        <w:rPr>
          <w:rFonts w:ascii="Arial" w:hAnsi="Arial" w:cs="Arial"/>
          <w:sz w:val="24"/>
          <w:szCs w:val="24"/>
        </w:rPr>
        <w:t xml:space="preserve">as </w:t>
      </w:r>
      <w:r w:rsidR="00316E08">
        <w:rPr>
          <w:rFonts w:ascii="Arial" w:hAnsi="Arial" w:cs="Arial"/>
          <w:sz w:val="24"/>
          <w:szCs w:val="24"/>
        </w:rPr>
        <w:t xml:space="preserve">from January 2013.  When they were implementing the PRB Report 2013, they </w:t>
      </w:r>
      <w:r w:rsidR="002322A1">
        <w:rPr>
          <w:rFonts w:ascii="Arial" w:hAnsi="Arial" w:cs="Arial"/>
          <w:sz w:val="24"/>
          <w:szCs w:val="24"/>
        </w:rPr>
        <w:t xml:space="preserve">then </w:t>
      </w:r>
      <w:r w:rsidR="00316E08">
        <w:rPr>
          <w:rFonts w:ascii="Arial" w:hAnsi="Arial" w:cs="Arial"/>
          <w:sz w:val="24"/>
          <w:szCs w:val="24"/>
        </w:rPr>
        <w:t xml:space="preserve">noticed this discrepancy.  The system did not cater for different types of allowances and changes were </w:t>
      </w:r>
      <w:r w:rsidR="0035154A">
        <w:rPr>
          <w:rFonts w:ascii="Arial" w:hAnsi="Arial" w:cs="Arial"/>
          <w:sz w:val="24"/>
          <w:szCs w:val="24"/>
        </w:rPr>
        <w:t xml:space="preserve">brought </w:t>
      </w:r>
      <w:r w:rsidR="00316E08">
        <w:rPr>
          <w:rFonts w:ascii="Arial" w:hAnsi="Arial" w:cs="Arial"/>
          <w:sz w:val="24"/>
          <w:szCs w:val="24"/>
        </w:rPr>
        <w:t xml:space="preserve">to the system to cater for ad hoc allowance.  Mr Maudarbocus </w:t>
      </w:r>
      <w:r w:rsidR="001802CC">
        <w:rPr>
          <w:rFonts w:ascii="Arial" w:hAnsi="Arial" w:cs="Arial"/>
          <w:sz w:val="24"/>
          <w:szCs w:val="24"/>
        </w:rPr>
        <w:t xml:space="preserve">however </w:t>
      </w:r>
      <w:r w:rsidR="00005FBE">
        <w:rPr>
          <w:rFonts w:ascii="Arial" w:hAnsi="Arial" w:cs="Arial"/>
          <w:sz w:val="24"/>
          <w:szCs w:val="24"/>
        </w:rPr>
        <w:t>suggested</w:t>
      </w:r>
      <w:r w:rsidR="00316E08">
        <w:rPr>
          <w:rFonts w:ascii="Arial" w:hAnsi="Arial" w:cs="Arial"/>
          <w:sz w:val="24"/>
          <w:szCs w:val="24"/>
        </w:rPr>
        <w:t xml:space="preserve"> that right from 2004, it was pointed out to the disputants that ‘Officer in Charge’ was not an established position but a designated position so that the allowance paid to them was an ad hoc allowance.  </w:t>
      </w:r>
    </w:p>
    <w:p w14:paraId="3E926C4B" w14:textId="6CD97F2D" w:rsidR="00251C54" w:rsidRDefault="00005FBE" w:rsidP="00C912A1">
      <w:pPr>
        <w:jc w:val="both"/>
        <w:rPr>
          <w:rFonts w:ascii="Arial" w:hAnsi="Arial" w:cs="Arial"/>
          <w:sz w:val="24"/>
          <w:szCs w:val="24"/>
        </w:rPr>
      </w:pPr>
      <w:r>
        <w:rPr>
          <w:rFonts w:ascii="Arial" w:hAnsi="Arial" w:cs="Arial"/>
          <w:sz w:val="24"/>
          <w:szCs w:val="24"/>
        </w:rPr>
        <w:lastRenderedPageBreak/>
        <w:t xml:space="preserve">Mr Maudarbocus stated that </w:t>
      </w:r>
      <w:r w:rsidR="00316E08">
        <w:rPr>
          <w:rFonts w:ascii="Arial" w:hAnsi="Arial" w:cs="Arial"/>
          <w:sz w:val="24"/>
          <w:szCs w:val="24"/>
        </w:rPr>
        <w:t xml:space="preserve">the disputants </w:t>
      </w:r>
      <w:r>
        <w:rPr>
          <w:rFonts w:ascii="Arial" w:hAnsi="Arial" w:cs="Arial"/>
          <w:sz w:val="24"/>
          <w:szCs w:val="24"/>
        </w:rPr>
        <w:t>hav</w:t>
      </w:r>
      <w:r w:rsidR="00316E08">
        <w:rPr>
          <w:rFonts w:ascii="Arial" w:hAnsi="Arial" w:cs="Arial"/>
          <w:sz w:val="24"/>
          <w:szCs w:val="24"/>
        </w:rPr>
        <w:t xml:space="preserve">e </w:t>
      </w:r>
      <w:r>
        <w:rPr>
          <w:rFonts w:ascii="Arial" w:hAnsi="Arial" w:cs="Arial"/>
          <w:sz w:val="24"/>
          <w:szCs w:val="24"/>
        </w:rPr>
        <w:t>remained on</w:t>
      </w:r>
      <w:r w:rsidR="00316E08">
        <w:rPr>
          <w:rFonts w:ascii="Arial" w:hAnsi="Arial" w:cs="Arial"/>
          <w:sz w:val="24"/>
          <w:szCs w:val="24"/>
        </w:rPr>
        <w:t xml:space="preserve"> assign</w:t>
      </w:r>
      <w:r>
        <w:rPr>
          <w:rFonts w:ascii="Arial" w:hAnsi="Arial" w:cs="Arial"/>
          <w:sz w:val="24"/>
          <w:szCs w:val="24"/>
        </w:rPr>
        <w:t xml:space="preserve">ment of </w:t>
      </w:r>
      <w:r w:rsidR="00316E08">
        <w:rPr>
          <w:rFonts w:ascii="Arial" w:hAnsi="Arial" w:cs="Arial"/>
          <w:sz w:val="24"/>
          <w:szCs w:val="24"/>
        </w:rPr>
        <w:t>duties as Officer</w:t>
      </w:r>
      <w:r w:rsidR="00380BD9">
        <w:rPr>
          <w:rFonts w:ascii="Arial" w:hAnsi="Arial" w:cs="Arial"/>
          <w:sz w:val="24"/>
          <w:szCs w:val="24"/>
        </w:rPr>
        <w:t>s</w:t>
      </w:r>
      <w:r w:rsidR="00316E08">
        <w:rPr>
          <w:rFonts w:ascii="Arial" w:hAnsi="Arial" w:cs="Arial"/>
          <w:sz w:val="24"/>
          <w:szCs w:val="24"/>
        </w:rPr>
        <w:t xml:space="preserve"> in Charge.  </w:t>
      </w:r>
      <w:r w:rsidR="00851A33">
        <w:rPr>
          <w:rFonts w:ascii="Arial" w:hAnsi="Arial" w:cs="Arial"/>
          <w:sz w:val="24"/>
          <w:szCs w:val="24"/>
        </w:rPr>
        <w:t xml:space="preserve">Mr Maudarbocus explained that with the change in government in 2005, there was an announcement that there was going to be a reform in the education and training system.  The IVTB came under the aegis of the ‘Ministry of Education’ and the reform was going to </w:t>
      </w:r>
      <w:r w:rsidR="001802CC">
        <w:rPr>
          <w:rFonts w:ascii="Arial" w:hAnsi="Arial" w:cs="Arial"/>
          <w:sz w:val="24"/>
          <w:szCs w:val="24"/>
        </w:rPr>
        <w:t>affect</w:t>
      </w:r>
      <w:r w:rsidR="00BD0093">
        <w:rPr>
          <w:rFonts w:ascii="Arial" w:hAnsi="Arial" w:cs="Arial"/>
          <w:sz w:val="24"/>
          <w:szCs w:val="24"/>
        </w:rPr>
        <w:t xml:space="preserve"> also </w:t>
      </w:r>
      <w:r w:rsidR="00851A33">
        <w:rPr>
          <w:rFonts w:ascii="Arial" w:hAnsi="Arial" w:cs="Arial"/>
          <w:sz w:val="24"/>
          <w:szCs w:val="24"/>
        </w:rPr>
        <w:t>pre-vocational education.</w:t>
      </w:r>
      <w:r w:rsidR="00316E08">
        <w:rPr>
          <w:rFonts w:ascii="Arial" w:hAnsi="Arial" w:cs="Arial"/>
          <w:sz w:val="24"/>
          <w:szCs w:val="24"/>
        </w:rPr>
        <w:t xml:space="preserve">  </w:t>
      </w:r>
      <w:r w:rsidR="00851A33">
        <w:rPr>
          <w:rFonts w:ascii="Arial" w:hAnsi="Arial" w:cs="Arial"/>
          <w:sz w:val="24"/>
          <w:szCs w:val="24"/>
        </w:rPr>
        <w:t xml:space="preserve">The Respondent thus waited </w:t>
      </w:r>
      <w:r w:rsidR="00CC05C7">
        <w:rPr>
          <w:rFonts w:ascii="Arial" w:hAnsi="Arial" w:cs="Arial"/>
          <w:sz w:val="24"/>
          <w:szCs w:val="24"/>
        </w:rPr>
        <w:t>and meanwhile</w:t>
      </w:r>
      <w:r w:rsidR="00851A33">
        <w:rPr>
          <w:rFonts w:ascii="Arial" w:hAnsi="Arial" w:cs="Arial"/>
          <w:sz w:val="24"/>
          <w:szCs w:val="24"/>
        </w:rPr>
        <w:t xml:space="preserve"> year after year the NTC Foundation course was being run.  There was a new Education Plan 2008</w:t>
      </w:r>
      <w:r w:rsidR="00F440A5">
        <w:rPr>
          <w:rFonts w:ascii="Arial" w:hAnsi="Arial" w:cs="Arial"/>
          <w:sz w:val="24"/>
          <w:szCs w:val="24"/>
        </w:rPr>
        <w:t>-2020</w:t>
      </w:r>
      <w:r w:rsidR="00CC05C7">
        <w:rPr>
          <w:rFonts w:ascii="Arial" w:hAnsi="Arial" w:cs="Arial"/>
          <w:sz w:val="24"/>
          <w:szCs w:val="24"/>
        </w:rPr>
        <w:t xml:space="preserve"> </w:t>
      </w:r>
      <w:r w:rsidR="00851A33">
        <w:rPr>
          <w:rFonts w:ascii="Arial" w:hAnsi="Arial" w:cs="Arial"/>
          <w:sz w:val="24"/>
          <w:szCs w:val="24"/>
        </w:rPr>
        <w:t xml:space="preserve">and in 2011 the pre-vocational program was changed to a four years program.  </w:t>
      </w:r>
      <w:r w:rsidR="00F440A5">
        <w:rPr>
          <w:rFonts w:ascii="Arial" w:hAnsi="Arial" w:cs="Arial"/>
          <w:sz w:val="24"/>
          <w:szCs w:val="24"/>
        </w:rPr>
        <w:t>Mr Maudarbocus stated that the</w:t>
      </w:r>
      <w:r w:rsidR="00C35BAC">
        <w:rPr>
          <w:rFonts w:ascii="Arial" w:hAnsi="Arial" w:cs="Arial"/>
          <w:sz w:val="24"/>
          <w:szCs w:val="24"/>
        </w:rPr>
        <w:t>y</w:t>
      </w:r>
      <w:r w:rsidR="00F440A5">
        <w:rPr>
          <w:rFonts w:ascii="Arial" w:hAnsi="Arial" w:cs="Arial"/>
          <w:sz w:val="24"/>
          <w:szCs w:val="24"/>
        </w:rPr>
        <w:t xml:space="preserve"> the</w:t>
      </w:r>
      <w:r w:rsidR="00C35BAC">
        <w:rPr>
          <w:rFonts w:ascii="Arial" w:hAnsi="Arial" w:cs="Arial"/>
          <w:sz w:val="24"/>
          <w:szCs w:val="24"/>
        </w:rPr>
        <w:t>n</w:t>
      </w:r>
      <w:r w:rsidR="00F440A5">
        <w:rPr>
          <w:rFonts w:ascii="Arial" w:hAnsi="Arial" w:cs="Arial"/>
          <w:sz w:val="24"/>
          <w:szCs w:val="24"/>
        </w:rPr>
        <w:t xml:space="preserve"> knew that the project was going to stay. The IVTB then became the MITD </w:t>
      </w:r>
      <w:r w:rsidR="00613FEC">
        <w:rPr>
          <w:rFonts w:ascii="Arial" w:hAnsi="Arial" w:cs="Arial"/>
          <w:sz w:val="24"/>
          <w:szCs w:val="24"/>
        </w:rPr>
        <w:t xml:space="preserve">(Respondent) </w:t>
      </w:r>
      <w:r w:rsidR="00F440A5">
        <w:rPr>
          <w:rFonts w:ascii="Arial" w:hAnsi="Arial" w:cs="Arial"/>
          <w:sz w:val="24"/>
          <w:szCs w:val="24"/>
        </w:rPr>
        <w:t>and there were representations from unions that there was a need to have an established position at the head of pre-vocational centr</w:t>
      </w:r>
      <w:r w:rsidR="001802CC">
        <w:rPr>
          <w:rFonts w:ascii="Arial" w:hAnsi="Arial" w:cs="Arial"/>
          <w:sz w:val="24"/>
          <w:szCs w:val="24"/>
        </w:rPr>
        <w:t>e</w:t>
      </w:r>
      <w:r w:rsidR="00F440A5">
        <w:rPr>
          <w:rFonts w:ascii="Arial" w:hAnsi="Arial" w:cs="Arial"/>
          <w:sz w:val="24"/>
          <w:szCs w:val="24"/>
        </w:rPr>
        <w:t xml:space="preserve">s.  They started working on the </w:t>
      </w:r>
      <w:r w:rsidR="00C04743">
        <w:rPr>
          <w:rFonts w:ascii="Arial" w:hAnsi="Arial" w:cs="Arial"/>
          <w:sz w:val="24"/>
          <w:szCs w:val="24"/>
        </w:rPr>
        <w:t>organi</w:t>
      </w:r>
      <w:r w:rsidR="001802CC">
        <w:rPr>
          <w:rFonts w:ascii="Arial" w:hAnsi="Arial" w:cs="Arial"/>
          <w:sz w:val="24"/>
          <w:szCs w:val="24"/>
        </w:rPr>
        <w:t>s</w:t>
      </w:r>
      <w:r w:rsidR="00C04743">
        <w:rPr>
          <w:rFonts w:ascii="Arial" w:hAnsi="Arial" w:cs="Arial"/>
          <w:sz w:val="24"/>
          <w:szCs w:val="24"/>
        </w:rPr>
        <w:t>ational structure in 2010.  Mr Maudarbocus suggested that the discussion with the union</w:t>
      </w:r>
      <w:r w:rsidR="0023588E">
        <w:rPr>
          <w:rFonts w:ascii="Arial" w:hAnsi="Arial" w:cs="Arial"/>
          <w:sz w:val="24"/>
          <w:szCs w:val="24"/>
        </w:rPr>
        <w:t>/s</w:t>
      </w:r>
      <w:r w:rsidR="00C04743">
        <w:rPr>
          <w:rFonts w:ascii="Arial" w:hAnsi="Arial" w:cs="Arial"/>
          <w:sz w:val="24"/>
          <w:szCs w:val="24"/>
        </w:rPr>
        <w:t xml:space="preserve"> took a lot of time and that the proposal to have a Head of </w:t>
      </w:r>
      <w:r w:rsidR="0023588E">
        <w:rPr>
          <w:rFonts w:ascii="Arial" w:hAnsi="Arial" w:cs="Arial"/>
          <w:sz w:val="24"/>
          <w:szCs w:val="24"/>
        </w:rPr>
        <w:t>P</w:t>
      </w:r>
      <w:r w:rsidR="00C04743">
        <w:rPr>
          <w:rFonts w:ascii="Arial" w:hAnsi="Arial" w:cs="Arial"/>
          <w:sz w:val="24"/>
          <w:szCs w:val="24"/>
        </w:rPr>
        <w:t>re-</w:t>
      </w:r>
      <w:r w:rsidR="0023588E">
        <w:rPr>
          <w:rFonts w:ascii="Arial" w:hAnsi="Arial" w:cs="Arial"/>
          <w:sz w:val="24"/>
          <w:szCs w:val="24"/>
        </w:rPr>
        <w:t>V</w:t>
      </w:r>
      <w:r w:rsidR="00C04743">
        <w:rPr>
          <w:rFonts w:ascii="Arial" w:hAnsi="Arial" w:cs="Arial"/>
          <w:sz w:val="24"/>
          <w:szCs w:val="24"/>
        </w:rPr>
        <w:t xml:space="preserve">ocational </w:t>
      </w:r>
      <w:r w:rsidR="0023588E">
        <w:rPr>
          <w:rFonts w:ascii="Arial" w:hAnsi="Arial" w:cs="Arial"/>
          <w:sz w:val="24"/>
          <w:szCs w:val="24"/>
        </w:rPr>
        <w:t>C</w:t>
      </w:r>
      <w:r w:rsidR="00C04743">
        <w:rPr>
          <w:rFonts w:ascii="Arial" w:hAnsi="Arial" w:cs="Arial"/>
          <w:sz w:val="24"/>
          <w:szCs w:val="24"/>
        </w:rPr>
        <w:t>ent</w:t>
      </w:r>
      <w:r w:rsidR="0023588E">
        <w:rPr>
          <w:rFonts w:ascii="Arial" w:hAnsi="Arial" w:cs="Arial"/>
          <w:sz w:val="24"/>
          <w:szCs w:val="24"/>
        </w:rPr>
        <w:t>re</w:t>
      </w:r>
      <w:r w:rsidR="00C04743">
        <w:rPr>
          <w:rFonts w:ascii="Arial" w:hAnsi="Arial" w:cs="Arial"/>
          <w:sz w:val="24"/>
          <w:szCs w:val="24"/>
        </w:rPr>
        <w:t xml:space="preserve"> on the establishment came in 2013.  A consultant for the Respondent proposed to have such an established post and the Board allegedly accepted same but the unions were not agreeable with the organisation structure </w:t>
      </w:r>
      <w:r w:rsidR="00CC05C7">
        <w:rPr>
          <w:rFonts w:ascii="Arial" w:hAnsi="Arial" w:cs="Arial"/>
          <w:sz w:val="24"/>
          <w:szCs w:val="24"/>
        </w:rPr>
        <w:t xml:space="preserve">as proposed </w:t>
      </w:r>
      <w:r w:rsidR="00C04743">
        <w:rPr>
          <w:rFonts w:ascii="Arial" w:hAnsi="Arial" w:cs="Arial"/>
          <w:sz w:val="24"/>
          <w:szCs w:val="24"/>
        </w:rPr>
        <w:t>so that they had to work again on a new organisational structure.</w:t>
      </w:r>
      <w:r w:rsidR="005232DD">
        <w:rPr>
          <w:rFonts w:ascii="Arial" w:hAnsi="Arial" w:cs="Arial"/>
          <w:sz w:val="24"/>
          <w:szCs w:val="24"/>
        </w:rPr>
        <w:t xml:space="preserve">  Meanwhile, in 2016 there was a new government and there was the introduction of the </w:t>
      </w:r>
      <w:r w:rsidR="00613FEC">
        <w:rPr>
          <w:rFonts w:ascii="Arial" w:hAnsi="Arial" w:cs="Arial"/>
          <w:sz w:val="24"/>
          <w:szCs w:val="24"/>
        </w:rPr>
        <w:t>nine-</w:t>
      </w:r>
      <w:r w:rsidR="005232DD">
        <w:rPr>
          <w:rFonts w:ascii="Arial" w:hAnsi="Arial" w:cs="Arial"/>
          <w:sz w:val="24"/>
          <w:szCs w:val="24"/>
        </w:rPr>
        <w:t>year continuous basic education</w:t>
      </w:r>
      <w:r w:rsidR="00EF09EA">
        <w:rPr>
          <w:rFonts w:ascii="Arial" w:hAnsi="Arial" w:cs="Arial"/>
          <w:sz w:val="24"/>
          <w:szCs w:val="24"/>
        </w:rPr>
        <w:t xml:space="preserve">.  There would </w:t>
      </w:r>
      <w:r w:rsidR="00CC05C7">
        <w:rPr>
          <w:rFonts w:ascii="Arial" w:hAnsi="Arial" w:cs="Arial"/>
          <w:sz w:val="24"/>
          <w:szCs w:val="24"/>
        </w:rPr>
        <w:t xml:space="preserve">thus </w:t>
      </w:r>
      <w:r w:rsidR="00EF09EA">
        <w:rPr>
          <w:rFonts w:ascii="Arial" w:hAnsi="Arial" w:cs="Arial"/>
          <w:sz w:val="24"/>
          <w:szCs w:val="24"/>
        </w:rPr>
        <w:t xml:space="preserve">be no need for pre-vocational education, according to Mr Maudarbocus, and pre-vocational education would be phased out. The last batch for pre-vocational education will be for 2020.  The Board of Respondent </w:t>
      </w:r>
      <w:r w:rsidR="00CC05C7">
        <w:rPr>
          <w:rFonts w:ascii="Arial" w:hAnsi="Arial" w:cs="Arial"/>
          <w:sz w:val="24"/>
          <w:szCs w:val="24"/>
        </w:rPr>
        <w:t>then</w:t>
      </w:r>
      <w:r w:rsidR="00EF09EA">
        <w:rPr>
          <w:rFonts w:ascii="Arial" w:hAnsi="Arial" w:cs="Arial"/>
          <w:sz w:val="24"/>
          <w:szCs w:val="24"/>
        </w:rPr>
        <w:t xml:space="preserve"> </w:t>
      </w:r>
      <w:r w:rsidR="00C80146">
        <w:rPr>
          <w:rFonts w:ascii="Arial" w:hAnsi="Arial" w:cs="Arial"/>
          <w:sz w:val="24"/>
          <w:szCs w:val="24"/>
        </w:rPr>
        <w:t>decided t</w:t>
      </w:r>
      <w:r w:rsidR="00EF09EA">
        <w:rPr>
          <w:rFonts w:ascii="Arial" w:hAnsi="Arial" w:cs="Arial"/>
          <w:sz w:val="24"/>
          <w:szCs w:val="24"/>
        </w:rPr>
        <w:t>hat there was no need to have the post of Head pre-vocational given that the project was going to be phased out.</w:t>
      </w:r>
      <w:r w:rsidR="005232DD">
        <w:rPr>
          <w:rFonts w:ascii="Arial" w:hAnsi="Arial" w:cs="Arial"/>
          <w:sz w:val="24"/>
          <w:szCs w:val="24"/>
        </w:rPr>
        <w:t xml:space="preserve"> </w:t>
      </w:r>
      <w:r w:rsidR="00C04743">
        <w:rPr>
          <w:rFonts w:ascii="Arial" w:hAnsi="Arial" w:cs="Arial"/>
          <w:sz w:val="24"/>
          <w:szCs w:val="24"/>
        </w:rPr>
        <w:t xml:space="preserve"> </w:t>
      </w:r>
      <w:r w:rsidR="006B73A9">
        <w:rPr>
          <w:rFonts w:ascii="Arial" w:hAnsi="Arial" w:cs="Arial"/>
          <w:sz w:val="24"/>
          <w:szCs w:val="24"/>
        </w:rPr>
        <w:t xml:space="preserve">He stated that there is no need to have a Head </w:t>
      </w:r>
      <w:r w:rsidR="0023588E">
        <w:rPr>
          <w:rFonts w:ascii="Arial" w:hAnsi="Arial" w:cs="Arial"/>
          <w:sz w:val="24"/>
          <w:szCs w:val="24"/>
        </w:rPr>
        <w:t>P</w:t>
      </w:r>
      <w:r w:rsidR="006B73A9">
        <w:rPr>
          <w:rFonts w:ascii="Arial" w:hAnsi="Arial" w:cs="Arial"/>
          <w:sz w:val="24"/>
          <w:szCs w:val="24"/>
        </w:rPr>
        <w:t>re-vocational in a cent</w:t>
      </w:r>
      <w:r w:rsidR="0023588E">
        <w:rPr>
          <w:rFonts w:ascii="Arial" w:hAnsi="Arial" w:cs="Arial"/>
          <w:sz w:val="24"/>
          <w:szCs w:val="24"/>
        </w:rPr>
        <w:t>re</w:t>
      </w:r>
      <w:r w:rsidR="006B73A9">
        <w:rPr>
          <w:rFonts w:ascii="Arial" w:hAnsi="Arial" w:cs="Arial"/>
          <w:sz w:val="24"/>
          <w:szCs w:val="24"/>
        </w:rPr>
        <w:t xml:space="preserve"> which is going to phase out in one year.  </w:t>
      </w:r>
      <w:r w:rsidR="00C04743">
        <w:rPr>
          <w:rFonts w:ascii="Arial" w:hAnsi="Arial" w:cs="Arial"/>
          <w:sz w:val="24"/>
          <w:szCs w:val="24"/>
        </w:rPr>
        <w:t xml:space="preserve">      </w:t>
      </w:r>
      <w:r w:rsidR="00F440A5">
        <w:rPr>
          <w:rFonts w:ascii="Arial" w:hAnsi="Arial" w:cs="Arial"/>
          <w:sz w:val="24"/>
          <w:szCs w:val="24"/>
        </w:rPr>
        <w:t xml:space="preserve">    </w:t>
      </w:r>
      <w:r w:rsidR="00851A33">
        <w:rPr>
          <w:rFonts w:ascii="Arial" w:hAnsi="Arial" w:cs="Arial"/>
          <w:sz w:val="24"/>
          <w:szCs w:val="24"/>
        </w:rPr>
        <w:t xml:space="preserve"> </w:t>
      </w:r>
      <w:r w:rsidR="00316E08">
        <w:rPr>
          <w:rFonts w:ascii="Arial" w:hAnsi="Arial" w:cs="Arial"/>
          <w:sz w:val="24"/>
          <w:szCs w:val="24"/>
        </w:rPr>
        <w:t xml:space="preserve"> </w:t>
      </w:r>
      <w:r w:rsidR="00686B0B">
        <w:rPr>
          <w:rFonts w:ascii="Arial" w:hAnsi="Arial" w:cs="Arial"/>
          <w:sz w:val="24"/>
          <w:szCs w:val="24"/>
        </w:rPr>
        <w:t xml:space="preserve">  </w:t>
      </w:r>
      <w:r w:rsidR="00C913A9">
        <w:rPr>
          <w:rFonts w:ascii="Arial" w:hAnsi="Arial" w:cs="Arial"/>
          <w:sz w:val="24"/>
          <w:szCs w:val="24"/>
        </w:rPr>
        <w:t xml:space="preserve">    </w:t>
      </w:r>
      <w:r w:rsidR="00C912A1">
        <w:rPr>
          <w:rFonts w:ascii="Arial" w:hAnsi="Arial" w:cs="Arial"/>
          <w:sz w:val="24"/>
          <w:szCs w:val="24"/>
        </w:rPr>
        <w:t xml:space="preserve">    </w:t>
      </w:r>
    </w:p>
    <w:p w14:paraId="12515ABB" w14:textId="6EB99662" w:rsidR="00251C54" w:rsidRDefault="00FE5E09" w:rsidP="00253AF6">
      <w:pPr>
        <w:jc w:val="both"/>
        <w:rPr>
          <w:rFonts w:ascii="Arial" w:hAnsi="Arial" w:cs="Arial"/>
          <w:sz w:val="24"/>
          <w:szCs w:val="24"/>
        </w:rPr>
      </w:pPr>
      <w:r>
        <w:rPr>
          <w:rFonts w:ascii="Arial" w:hAnsi="Arial" w:cs="Arial"/>
          <w:sz w:val="24"/>
          <w:szCs w:val="24"/>
        </w:rPr>
        <w:t xml:space="preserve">Mr Maudarbocus </w:t>
      </w:r>
      <w:r w:rsidR="00137FE1">
        <w:rPr>
          <w:rFonts w:ascii="Arial" w:hAnsi="Arial" w:cs="Arial"/>
          <w:sz w:val="24"/>
          <w:szCs w:val="24"/>
        </w:rPr>
        <w:t>stated</w:t>
      </w:r>
      <w:r>
        <w:rPr>
          <w:rFonts w:ascii="Arial" w:hAnsi="Arial" w:cs="Arial"/>
          <w:sz w:val="24"/>
          <w:szCs w:val="24"/>
        </w:rPr>
        <w:t xml:space="preserve"> </w:t>
      </w:r>
      <w:r w:rsidR="009C3210">
        <w:rPr>
          <w:rFonts w:ascii="Arial" w:hAnsi="Arial" w:cs="Arial"/>
          <w:sz w:val="24"/>
          <w:szCs w:val="24"/>
        </w:rPr>
        <w:t xml:space="preserve">that as regards </w:t>
      </w:r>
      <w:r w:rsidR="00F92853">
        <w:rPr>
          <w:rFonts w:ascii="Arial" w:hAnsi="Arial" w:cs="Arial"/>
          <w:sz w:val="24"/>
          <w:szCs w:val="24"/>
        </w:rPr>
        <w:t>the</w:t>
      </w:r>
      <w:r w:rsidR="009C3210">
        <w:rPr>
          <w:rFonts w:ascii="Arial" w:hAnsi="Arial" w:cs="Arial"/>
          <w:sz w:val="24"/>
          <w:szCs w:val="24"/>
        </w:rPr>
        <w:t xml:space="preserve"> Training Officer mentioned by the </w:t>
      </w:r>
      <w:r w:rsidR="0023588E">
        <w:rPr>
          <w:rFonts w:ascii="Arial" w:hAnsi="Arial" w:cs="Arial"/>
          <w:sz w:val="24"/>
          <w:szCs w:val="24"/>
        </w:rPr>
        <w:t>d</w:t>
      </w:r>
      <w:r w:rsidR="009C3210">
        <w:rPr>
          <w:rFonts w:ascii="Arial" w:hAnsi="Arial" w:cs="Arial"/>
          <w:sz w:val="24"/>
          <w:szCs w:val="24"/>
        </w:rPr>
        <w:t>isputant</w:t>
      </w:r>
      <w:r w:rsidR="0023588E">
        <w:rPr>
          <w:rFonts w:ascii="Arial" w:hAnsi="Arial" w:cs="Arial"/>
          <w:sz w:val="24"/>
          <w:szCs w:val="24"/>
        </w:rPr>
        <w:t>s</w:t>
      </w:r>
      <w:r w:rsidR="009C3210">
        <w:rPr>
          <w:rFonts w:ascii="Arial" w:hAnsi="Arial" w:cs="Arial"/>
          <w:sz w:val="24"/>
          <w:szCs w:val="24"/>
        </w:rPr>
        <w:t>, the latter was assigned higher responsibility in relation to an established post of Co-ordinator.  According to him, the criteri</w:t>
      </w:r>
      <w:r w:rsidR="00005FBE">
        <w:rPr>
          <w:rFonts w:ascii="Arial" w:hAnsi="Arial" w:cs="Arial"/>
          <w:sz w:val="24"/>
          <w:szCs w:val="24"/>
        </w:rPr>
        <w:t>on</w:t>
      </w:r>
      <w:r w:rsidR="009C3210">
        <w:rPr>
          <w:rFonts w:ascii="Arial" w:hAnsi="Arial" w:cs="Arial"/>
          <w:sz w:val="24"/>
          <w:szCs w:val="24"/>
        </w:rPr>
        <w:t xml:space="preserve"> was senior </w:t>
      </w:r>
      <w:r w:rsidR="00F7274B">
        <w:rPr>
          <w:rFonts w:ascii="Arial" w:hAnsi="Arial" w:cs="Arial"/>
          <w:sz w:val="24"/>
          <w:szCs w:val="24"/>
        </w:rPr>
        <w:t xml:space="preserve">most </w:t>
      </w:r>
      <w:r w:rsidR="009C3210">
        <w:rPr>
          <w:rFonts w:ascii="Arial" w:hAnsi="Arial" w:cs="Arial"/>
          <w:sz w:val="24"/>
          <w:szCs w:val="24"/>
        </w:rPr>
        <w:t xml:space="preserve">Training Officer in that cluster and the latter was given a responsibility allowance. </w:t>
      </w:r>
      <w:r w:rsidR="00F7274B">
        <w:rPr>
          <w:rFonts w:ascii="Arial" w:hAnsi="Arial" w:cs="Arial"/>
          <w:sz w:val="24"/>
          <w:szCs w:val="24"/>
        </w:rPr>
        <w:t xml:space="preserve"> </w:t>
      </w:r>
      <w:r w:rsidR="009C3210">
        <w:rPr>
          <w:rFonts w:ascii="Arial" w:hAnsi="Arial" w:cs="Arial"/>
          <w:sz w:val="24"/>
          <w:szCs w:val="24"/>
        </w:rPr>
        <w:t xml:space="preserve">And in relation to </w:t>
      </w:r>
      <w:r w:rsidR="00005FBE">
        <w:rPr>
          <w:rFonts w:ascii="Arial" w:hAnsi="Arial" w:cs="Arial"/>
          <w:sz w:val="24"/>
          <w:szCs w:val="24"/>
        </w:rPr>
        <w:t>the</w:t>
      </w:r>
      <w:r w:rsidR="009C3210">
        <w:rPr>
          <w:rFonts w:ascii="Arial" w:hAnsi="Arial" w:cs="Arial"/>
          <w:sz w:val="24"/>
          <w:szCs w:val="24"/>
        </w:rPr>
        <w:t xml:space="preserve"> second officer</w:t>
      </w:r>
      <w:r w:rsidR="00941235">
        <w:rPr>
          <w:rFonts w:ascii="Arial" w:hAnsi="Arial" w:cs="Arial"/>
          <w:sz w:val="24"/>
          <w:szCs w:val="24"/>
        </w:rPr>
        <w:t xml:space="preserve"> whose name was mentioned</w:t>
      </w:r>
      <w:r w:rsidR="009C3210">
        <w:rPr>
          <w:rFonts w:ascii="Arial" w:hAnsi="Arial" w:cs="Arial"/>
          <w:sz w:val="24"/>
          <w:szCs w:val="24"/>
        </w:rPr>
        <w:t>, Mr Maudarbocus stated that the Training Officer was called at the Head Office to give assistance against a</w:t>
      </w:r>
      <w:r w:rsidR="00BF4DDB">
        <w:rPr>
          <w:rFonts w:ascii="Arial" w:hAnsi="Arial" w:cs="Arial"/>
          <w:sz w:val="24"/>
          <w:szCs w:val="24"/>
        </w:rPr>
        <w:t>n established</w:t>
      </w:r>
      <w:r w:rsidR="009C3210">
        <w:rPr>
          <w:rFonts w:ascii="Arial" w:hAnsi="Arial" w:cs="Arial"/>
          <w:sz w:val="24"/>
          <w:szCs w:val="24"/>
        </w:rPr>
        <w:t xml:space="preserve"> post of Assistant Manager which was vacant.  </w:t>
      </w:r>
      <w:r w:rsidR="00BF4DDB">
        <w:rPr>
          <w:rFonts w:ascii="Arial" w:hAnsi="Arial" w:cs="Arial"/>
          <w:sz w:val="24"/>
          <w:szCs w:val="24"/>
        </w:rPr>
        <w:t xml:space="preserve">He added that since the allowance is an ad hoc allowance, </w:t>
      </w:r>
      <w:r w:rsidR="00F7274B">
        <w:rPr>
          <w:rFonts w:ascii="Arial" w:hAnsi="Arial" w:cs="Arial"/>
          <w:sz w:val="24"/>
          <w:szCs w:val="24"/>
        </w:rPr>
        <w:t>it cannot be accounted for the purposes of lump sum and pension</w:t>
      </w:r>
      <w:r w:rsidR="00BF4DDB">
        <w:rPr>
          <w:rFonts w:ascii="Arial" w:hAnsi="Arial" w:cs="Arial"/>
          <w:sz w:val="24"/>
          <w:szCs w:val="24"/>
        </w:rPr>
        <w:t xml:space="preserve">. </w:t>
      </w:r>
      <w:r w:rsidR="009C3210">
        <w:rPr>
          <w:rFonts w:ascii="Arial" w:hAnsi="Arial" w:cs="Arial"/>
          <w:sz w:val="24"/>
          <w:szCs w:val="24"/>
        </w:rPr>
        <w:t xml:space="preserve">    </w:t>
      </w:r>
    </w:p>
    <w:p w14:paraId="56127779" w14:textId="37898D5C" w:rsidR="00FE5E09" w:rsidRDefault="00BF4DDB" w:rsidP="00253AF6">
      <w:pPr>
        <w:jc w:val="both"/>
        <w:rPr>
          <w:rFonts w:ascii="Arial" w:hAnsi="Arial" w:cs="Arial"/>
          <w:sz w:val="24"/>
          <w:szCs w:val="24"/>
        </w:rPr>
      </w:pPr>
      <w:r>
        <w:rPr>
          <w:rFonts w:ascii="Arial" w:hAnsi="Arial" w:cs="Arial"/>
          <w:sz w:val="24"/>
          <w:szCs w:val="24"/>
        </w:rPr>
        <w:t xml:space="preserve">In cross-examination, Mr </w:t>
      </w:r>
      <w:r w:rsidR="00F13477">
        <w:rPr>
          <w:rFonts w:ascii="Arial" w:hAnsi="Arial" w:cs="Arial"/>
          <w:sz w:val="24"/>
          <w:szCs w:val="24"/>
        </w:rPr>
        <w:t xml:space="preserve">Maudarbocus </w:t>
      </w:r>
      <w:r w:rsidR="003A7B39">
        <w:rPr>
          <w:rFonts w:ascii="Arial" w:hAnsi="Arial" w:cs="Arial"/>
          <w:sz w:val="24"/>
          <w:szCs w:val="24"/>
        </w:rPr>
        <w:t xml:space="preserve">agreed that there had been </w:t>
      </w:r>
      <w:r w:rsidR="00984EBC">
        <w:rPr>
          <w:rFonts w:ascii="Arial" w:hAnsi="Arial" w:cs="Arial"/>
          <w:sz w:val="24"/>
          <w:szCs w:val="24"/>
        </w:rPr>
        <w:t>many</w:t>
      </w:r>
      <w:r w:rsidR="003A7B39">
        <w:rPr>
          <w:rFonts w:ascii="Arial" w:hAnsi="Arial" w:cs="Arial"/>
          <w:sz w:val="24"/>
          <w:szCs w:val="24"/>
        </w:rPr>
        <w:t xml:space="preserve"> changes over the years in relation to the policies to be adopted in the field of education.  </w:t>
      </w:r>
      <w:r w:rsidR="00B73D20">
        <w:rPr>
          <w:rFonts w:ascii="Arial" w:hAnsi="Arial" w:cs="Arial"/>
          <w:sz w:val="24"/>
          <w:szCs w:val="24"/>
        </w:rPr>
        <w:t xml:space="preserve">He stated that the </w:t>
      </w:r>
      <w:r w:rsidR="003C1C3A">
        <w:rPr>
          <w:rFonts w:ascii="Arial" w:hAnsi="Arial" w:cs="Arial"/>
          <w:sz w:val="24"/>
          <w:szCs w:val="24"/>
        </w:rPr>
        <w:t>pre-vocational project was implemented in 2004</w:t>
      </w:r>
      <w:r w:rsidR="00984EBC">
        <w:rPr>
          <w:rFonts w:ascii="Arial" w:hAnsi="Arial" w:cs="Arial"/>
          <w:sz w:val="24"/>
          <w:szCs w:val="24"/>
        </w:rPr>
        <w:t xml:space="preserve"> </w:t>
      </w:r>
      <w:r w:rsidR="003C1C3A">
        <w:rPr>
          <w:rFonts w:ascii="Arial" w:hAnsi="Arial" w:cs="Arial"/>
          <w:sz w:val="24"/>
          <w:szCs w:val="24"/>
        </w:rPr>
        <w:t xml:space="preserve">and that same remained on a </w:t>
      </w:r>
      <w:r w:rsidR="00005FBE">
        <w:rPr>
          <w:rFonts w:ascii="Arial" w:hAnsi="Arial" w:cs="Arial"/>
          <w:sz w:val="24"/>
          <w:szCs w:val="24"/>
        </w:rPr>
        <w:t>‘</w:t>
      </w:r>
      <w:r w:rsidR="003C1C3A">
        <w:rPr>
          <w:rFonts w:ascii="Arial" w:hAnsi="Arial" w:cs="Arial"/>
          <w:sz w:val="24"/>
          <w:szCs w:val="24"/>
        </w:rPr>
        <w:t>temporary basis</w:t>
      </w:r>
      <w:r w:rsidR="00005FBE">
        <w:rPr>
          <w:rFonts w:ascii="Arial" w:hAnsi="Arial" w:cs="Arial"/>
          <w:sz w:val="24"/>
          <w:szCs w:val="24"/>
        </w:rPr>
        <w:t>’</w:t>
      </w:r>
      <w:r w:rsidR="003C1C3A">
        <w:rPr>
          <w:rFonts w:ascii="Arial" w:hAnsi="Arial" w:cs="Arial"/>
          <w:sz w:val="24"/>
          <w:szCs w:val="24"/>
        </w:rPr>
        <w:t xml:space="preserve"> for four years until 2008.  He stated that in 1996 following the dismissal of the then Director, there was an Officer in Charge wh</w:t>
      </w:r>
      <w:r w:rsidR="00D400AB">
        <w:rPr>
          <w:rFonts w:ascii="Arial" w:hAnsi="Arial" w:cs="Arial"/>
          <w:sz w:val="24"/>
          <w:szCs w:val="24"/>
        </w:rPr>
        <w:t xml:space="preserve">o </w:t>
      </w:r>
      <w:r w:rsidR="003C1C3A">
        <w:rPr>
          <w:rFonts w:ascii="Arial" w:hAnsi="Arial" w:cs="Arial"/>
          <w:sz w:val="24"/>
          <w:szCs w:val="24"/>
        </w:rPr>
        <w:t xml:space="preserve">was heading the IVTB. He however stated that the post of Officer in Charge was not on the establishment.  He stated that </w:t>
      </w:r>
      <w:r w:rsidR="00984EBC">
        <w:rPr>
          <w:rFonts w:ascii="Arial" w:hAnsi="Arial" w:cs="Arial"/>
          <w:sz w:val="24"/>
          <w:szCs w:val="24"/>
        </w:rPr>
        <w:t xml:space="preserve">there was a </w:t>
      </w:r>
      <w:r w:rsidR="007C4D82">
        <w:rPr>
          <w:rFonts w:ascii="Arial" w:hAnsi="Arial" w:cs="Arial"/>
          <w:sz w:val="24"/>
          <w:szCs w:val="24"/>
        </w:rPr>
        <w:t xml:space="preserve">need </w:t>
      </w:r>
      <w:r w:rsidR="00984EBC">
        <w:rPr>
          <w:rFonts w:ascii="Arial" w:hAnsi="Arial" w:cs="Arial"/>
          <w:sz w:val="24"/>
          <w:szCs w:val="24"/>
        </w:rPr>
        <w:t xml:space="preserve">for a Head to run those </w:t>
      </w:r>
      <w:r w:rsidR="00026E65">
        <w:rPr>
          <w:rFonts w:ascii="Arial" w:hAnsi="Arial" w:cs="Arial"/>
          <w:sz w:val="24"/>
          <w:szCs w:val="24"/>
        </w:rPr>
        <w:t>centr</w:t>
      </w:r>
      <w:r w:rsidR="0023588E">
        <w:rPr>
          <w:rFonts w:ascii="Arial" w:hAnsi="Arial" w:cs="Arial"/>
          <w:sz w:val="24"/>
          <w:szCs w:val="24"/>
        </w:rPr>
        <w:t>e</w:t>
      </w:r>
      <w:r w:rsidR="00026E65">
        <w:rPr>
          <w:rFonts w:ascii="Arial" w:hAnsi="Arial" w:cs="Arial"/>
          <w:sz w:val="24"/>
          <w:szCs w:val="24"/>
        </w:rPr>
        <w:t>s</w:t>
      </w:r>
      <w:r w:rsidR="007C4D82">
        <w:rPr>
          <w:rFonts w:ascii="Arial" w:hAnsi="Arial" w:cs="Arial"/>
          <w:sz w:val="24"/>
          <w:szCs w:val="24"/>
        </w:rPr>
        <w:t>.</w:t>
      </w:r>
      <w:r w:rsidR="005D01C0">
        <w:rPr>
          <w:rFonts w:ascii="Arial" w:hAnsi="Arial" w:cs="Arial"/>
          <w:sz w:val="24"/>
          <w:szCs w:val="24"/>
        </w:rPr>
        <w:t xml:space="preserve">  He did not agree that there is a list of duties attached to Training Officers and a </w:t>
      </w:r>
      <w:r w:rsidR="00026E65">
        <w:rPr>
          <w:rFonts w:ascii="Arial" w:hAnsi="Arial" w:cs="Arial"/>
          <w:sz w:val="24"/>
          <w:szCs w:val="24"/>
        </w:rPr>
        <w:t xml:space="preserve">different </w:t>
      </w:r>
      <w:r w:rsidR="005D01C0">
        <w:rPr>
          <w:rFonts w:ascii="Arial" w:hAnsi="Arial" w:cs="Arial"/>
          <w:sz w:val="24"/>
          <w:szCs w:val="24"/>
        </w:rPr>
        <w:t>list of duties attached to Officers</w:t>
      </w:r>
      <w:r w:rsidR="00005FBE">
        <w:rPr>
          <w:rFonts w:ascii="Arial" w:hAnsi="Arial" w:cs="Arial"/>
          <w:sz w:val="24"/>
          <w:szCs w:val="24"/>
        </w:rPr>
        <w:t xml:space="preserve"> </w:t>
      </w:r>
      <w:r w:rsidR="005D01C0">
        <w:rPr>
          <w:rFonts w:ascii="Arial" w:hAnsi="Arial" w:cs="Arial"/>
          <w:sz w:val="24"/>
          <w:szCs w:val="24"/>
        </w:rPr>
        <w:lastRenderedPageBreak/>
        <w:t>in</w:t>
      </w:r>
      <w:r w:rsidR="00005FBE">
        <w:rPr>
          <w:rFonts w:ascii="Arial" w:hAnsi="Arial" w:cs="Arial"/>
          <w:sz w:val="24"/>
          <w:szCs w:val="24"/>
        </w:rPr>
        <w:t xml:space="preserve"> </w:t>
      </w:r>
      <w:r w:rsidR="005D01C0">
        <w:rPr>
          <w:rFonts w:ascii="Arial" w:hAnsi="Arial" w:cs="Arial"/>
          <w:sz w:val="24"/>
          <w:szCs w:val="24"/>
        </w:rPr>
        <w:t xml:space="preserve">Charge.  </w:t>
      </w:r>
      <w:r w:rsidR="00424AFA">
        <w:rPr>
          <w:rFonts w:ascii="Arial" w:hAnsi="Arial" w:cs="Arial"/>
          <w:sz w:val="24"/>
          <w:szCs w:val="24"/>
        </w:rPr>
        <w:t xml:space="preserve">He was referred to Annexes </w:t>
      </w:r>
      <w:r w:rsidR="009329B2">
        <w:rPr>
          <w:rFonts w:ascii="Arial" w:hAnsi="Arial" w:cs="Arial"/>
          <w:sz w:val="24"/>
          <w:szCs w:val="24"/>
        </w:rPr>
        <w:t xml:space="preserve">3(b) and 4(a) to the Statement of Case of Disputant No 7 and he stated that the duties of a Training Officer as per Annex 3(b) have been amended.  He </w:t>
      </w:r>
      <w:r w:rsidR="00613FEC">
        <w:rPr>
          <w:rFonts w:ascii="Arial" w:hAnsi="Arial" w:cs="Arial"/>
          <w:sz w:val="24"/>
          <w:szCs w:val="24"/>
        </w:rPr>
        <w:t xml:space="preserve">then </w:t>
      </w:r>
      <w:r w:rsidR="009329B2">
        <w:rPr>
          <w:rFonts w:ascii="Arial" w:hAnsi="Arial" w:cs="Arial"/>
          <w:sz w:val="24"/>
          <w:szCs w:val="24"/>
        </w:rPr>
        <w:t xml:space="preserve">agreed </w:t>
      </w:r>
      <w:r w:rsidR="00453447">
        <w:rPr>
          <w:rFonts w:ascii="Arial" w:hAnsi="Arial" w:cs="Arial"/>
          <w:sz w:val="24"/>
          <w:szCs w:val="24"/>
        </w:rPr>
        <w:t xml:space="preserve">that </w:t>
      </w:r>
      <w:r w:rsidR="009329B2">
        <w:rPr>
          <w:rFonts w:ascii="Arial" w:hAnsi="Arial" w:cs="Arial"/>
          <w:sz w:val="24"/>
          <w:szCs w:val="24"/>
        </w:rPr>
        <w:t>as per the documents</w:t>
      </w:r>
      <w:r w:rsidR="00453447">
        <w:rPr>
          <w:rFonts w:ascii="Arial" w:hAnsi="Arial" w:cs="Arial"/>
          <w:sz w:val="24"/>
          <w:szCs w:val="24"/>
        </w:rPr>
        <w:t>,</w:t>
      </w:r>
      <w:r w:rsidR="009329B2">
        <w:rPr>
          <w:rFonts w:ascii="Arial" w:hAnsi="Arial" w:cs="Arial"/>
          <w:sz w:val="24"/>
          <w:szCs w:val="24"/>
        </w:rPr>
        <w:t xml:space="preserve"> the duties of</w:t>
      </w:r>
      <w:r w:rsidR="00424AFA">
        <w:rPr>
          <w:rFonts w:ascii="Arial" w:hAnsi="Arial" w:cs="Arial"/>
          <w:sz w:val="24"/>
          <w:szCs w:val="24"/>
        </w:rPr>
        <w:t xml:space="preserve"> </w:t>
      </w:r>
      <w:r w:rsidR="009329B2">
        <w:rPr>
          <w:rFonts w:ascii="Arial" w:hAnsi="Arial" w:cs="Arial"/>
          <w:sz w:val="24"/>
          <w:szCs w:val="24"/>
        </w:rPr>
        <w:t>a Training Officer are different from the duties of an Officer</w:t>
      </w:r>
      <w:r w:rsidR="000B170B">
        <w:rPr>
          <w:rFonts w:ascii="Arial" w:hAnsi="Arial" w:cs="Arial"/>
          <w:sz w:val="24"/>
          <w:szCs w:val="24"/>
        </w:rPr>
        <w:t xml:space="preserve"> </w:t>
      </w:r>
      <w:r w:rsidR="009329B2">
        <w:rPr>
          <w:rFonts w:ascii="Arial" w:hAnsi="Arial" w:cs="Arial"/>
          <w:sz w:val="24"/>
          <w:szCs w:val="24"/>
        </w:rPr>
        <w:t>in</w:t>
      </w:r>
      <w:r w:rsidR="000B170B">
        <w:rPr>
          <w:rFonts w:ascii="Arial" w:hAnsi="Arial" w:cs="Arial"/>
          <w:sz w:val="24"/>
          <w:szCs w:val="24"/>
        </w:rPr>
        <w:t xml:space="preserve"> </w:t>
      </w:r>
      <w:r w:rsidR="009329B2">
        <w:rPr>
          <w:rFonts w:ascii="Arial" w:hAnsi="Arial" w:cs="Arial"/>
          <w:sz w:val="24"/>
          <w:szCs w:val="24"/>
        </w:rPr>
        <w:t>Charge</w:t>
      </w:r>
      <w:r w:rsidR="00C21494">
        <w:rPr>
          <w:rFonts w:ascii="Arial" w:hAnsi="Arial" w:cs="Arial"/>
          <w:sz w:val="24"/>
          <w:szCs w:val="24"/>
        </w:rPr>
        <w:t xml:space="preserve"> -</w:t>
      </w:r>
      <w:r w:rsidR="009329B2">
        <w:rPr>
          <w:rFonts w:ascii="Arial" w:hAnsi="Arial" w:cs="Arial"/>
          <w:sz w:val="24"/>
          <w:szCs w:val="24"/>
        </w:rPr>
        <w:t xml:space="preserve"> NTC Foundation Course.    </w:t>
      </w:r>
      <w:r w:rsidR="005D01C0">
        <w:rPr>
          <w:rFonts w:ascii="Arial" w:hAnsi="Arial" w:cs="Arial"/>
          <w:sz w:val="24"/>
          <w:szCs w:val="24"/>
        </w:rPr>
        <w:t xml:space="preserve">  </w:t>
      </w:r>
      <w:r w:rsidR="007C4D82">
        <w:rPr>
          <w:rFonts w:ascii="Arial" w:hAnsi="Arial" w:cs="Arial"/>
          <w:sz w:val="24"/>
          <w:szCs w:val="24"/>
        </w:rPr>
        <w:t xml:space="preserve">   </w:t>
      </w:r>
      <w:r w:rsidR="003C1C3A">
        <w:rPr>
          <w:rFonts w:ascii="Arial" w:hAnsi="Arial" w:cs="Arial"/>
          <w:sz w:val="24"/>
          <w:szCs w:val="24"/>
        </w:rPr>
        <w:t xml:space="preserve">   </w:t>
      </w:r>
      <w:r w:rsidR="00B73D20">
        <w:rPr>
          <w:rFonts w:ascii="Arial" w:hAnsi="Arial" w:cs="Arial"/>
          <w:sz w:val="24"/>
          <w:szCs w:val="24"/>
        </w:rPr>
        <w:t xml:space="preserve"> </w:t>
      </w:r>
    </w:p>
    <w:p w14:paraId="1D7E37FF" w14:textId="3300D272" w:rsidR="00251C54" w:rsidRDefault="00E048FB" w:rsidP="00253AF6">
      <w:pPr>
        <w:jc w:val="both"/>
        <w:rPr>
          <w:rFonts w:ascii="Arial" w:hAnsi="Arial" w:cs="Arial"/>
          <w:sz w:val="24"/>
          <w:szCs w:val="24"/>
        </w:rPr>
      </w:pPr>
      <w:r>
        <w:rPr>
          <w:rFonts w:ascii="Arial" w:hAnsi="Arial" w:cs="Arial"/>
          <w:sz w:val="24"/>
          <w:szCs w:val="24"/>
        </w:rPr>
        <w:t>Mr Maudarbocus agreed that the advertisements for the post of Officer in Charge in 2004 and 2006 (Annexes 2(a), 2(b) to the Statement</w:t>
      </w:r>
      <w:r w:rsidR="00613FEC">
        <w:rPr>
          <w:rFonts w:ascii="Arial" w:hAnsi="Arial" w:cs="Arial"/>
          <w:sz w:val="24"/>
          <w:szCs w:val="24"/>
        </w:rPr>
        <w:t>s</w:t>
      </w:r>
      <w:r>
        <w:rPr>
          <w:rFonts w:ascii="Arial" w:hAnsi="Arial" w:cs="Arial"/>
          <w:sz w:val="24"/>
          <w:szCs w:val="24"/>
        </w:rPr>
        <w:t xml:space="preserve"> of Case of Disputants) did not mention that this was going to be in a temporary capacity.  </w:t>
      </w:r>
      <w:r w:rsidR="00E733A9">
        <w:rPr>
          <w:rFonts w:ascii="Arial" w:hAnsi="Arial" w:cs="Arial"/>
          <w:sz w:val="24"/>
          <w:szCs w:val="24"/>
        </w:rPr>
        <w:t xml:space="preserve">He suggested that this was “sous-entendu” given that the post was not on the establishment of Respondent.  </w:t>
      </w:r>
      <w:r w:rsidR="00A70F11">
        <w:rPr>
          <w:rFonts w:ascii="Arial" w:hAnsi="Arial" w:cs="Arial"/>
          <w:sz w:val="24"/>
          <w:szCs w:val="24"/>
        </w:rPr>
        <w:t xml:space="preserve">Mr Maudarbocus stated that </w:t>
      </w:r>
      <w:r w:rsidR="0045074C">
        <w:rPr>
          <w:rFonts w:ascii="Arial" w:hAnsi="Arial" w:cs="Arial"/>
          <w:sz w:val="24"/>
          <w:szCs w:val="24"/>
        </w:rPr>
        <w:t xml:space="preserve">the document as per Annex 3(a) to the Statement of Case of Disputant No 7 was </w:t>
      </w:r>
      <w:r w:rsidR="00044384">
        <w:rPr>
          <w:rFonts w:ascii="Arial" w:hAnsi="Arial" w:cs="Arial"/>
          <w:sz w:val="24"/>
          <w:szCs w:val="24"/>
        </w:rPr>
        <w:t xml:space="preserve">in fact </w:t>
      </w:r>
      <w:r w:rsidR="0045074C">
        <w:rPr>
          <w:rFonts w:ascii="Arial" w:hAnsi="Arial" w:cs="Arial"/>
          <w:sz w:val="24"/>
          <w:szCs w:val="24"/>
        </w:rPr>
        <w:t xml:space="preserve">the same annex to the letter of offer of assignment of duties issued to each disputant.  </w:t>
      </w:r>
      <w:r w:rsidR="004C4516">
        <w:rPr>
          <w:rFonts w:ascii="Arial" w:hAnsi="Arial" w:cs="Arial"/>
          <w:sz w:val="24"/>
          <w:szCs w:val="24"/>
        </w:rPr>
        <w:t xml:space="preserve">He stated that with the nine-year schooling there will be a phasing out of pre-vocational education even though he </w:t>
      </w:r>
      <w:r w:rsidR="0023588E">
        <w:rPr>
          <w:rFonts w:ascii="Arial" w:hAnsi="Arial" w:cs="Arial"/>
          <w:sz w:val="24"/>
          <w:szCs w:val="24"/>
        </w:rPr>
        <w:t>agreed</w:t>
      </w:r>
      <w:r w:rsidR="004C4516">
        <w:rPr>
          <w:rFonts w:ascii="Arial" w:hAnsi="Arial" w:cs="Arial"/>
          <w:sz w:val="24"/>
          <w:szCs w:val="24"/>
        </w:rPr>
        <w:t xml:space="preserve"> that nobody can tell if there will be a new </w:t>
      </w:r>
      <w:r w:rsidR="00FC37D0">
        <w:rPr>
          <w:rFonts w:ascii="Arial" w:hAnsi="Arial" w:cs="Arial"/>
          <w:sz w:val="24"/>
          <w:szCs w:val="24"/>
        </w:rPr>
        <w:t>poli</w:t>
      </w:r>
      <w:r w:rsidR="004C4516">
        <w:rPr>
          <w:rFonts w:ascii="Arial" w:hAnsi="Arial" w:cs="Arial"/>
          <w:sz w:val="24"/>
          <w:szCs w:val="24"/>
        </w:rPr>
        <w:t>cy</w:t>
      </w:r>
      <w:r w:rsidR="0023588E">
        <w:rPr>
          <w:rFonts w:ascii="Arial" w:hAnsi="Arial" w:cs="Arial"/>
          <w:sz w:val="24"/>
          <w:szCs w:val="24"/>
        </w:rPr>
        <w:t xml:space="preserve"> in the future</w:t>
      </w:r>
      <w:r w:rsidR="004C4516">
        <w:rPr>
          <w:rFonts w:ascii="Arial" w:hAnsi="Arial" w:cs="Arial"/>
          <w:sz w:val="24"/>
          <w:szCs w:val="24"/>
        </w:rPr>
        <w:t xml:space="preserve">.  </w:t>
      </w:r>
      <w:r w:rsidR="00FC37D0">
        <w:rPr>
          <w:rFonts w:ascii="Arial" w:hAnsi="Arial" w:cs="Arial"/>
          <w:sz w:val="24"/>
          <w:szCs w:val="24"/>
        </w:rPr>
        <w:t>He a</w:t>
      </w:r>
      <w:r w:rsidR="0023588E">
        <w:rPr>
          <w:rFonts w:ascii="Arial" w:hAnsi="Arial" w:cs="Arial"/>
          <w:sz w:val="24"/>
          <w:szCs w:val="24"/>
        </w:rPr>
        <w:t>dd</w:t>
      </w:r>
      <w:r w:rsidR="00FC37D0">
        <w:rPr>
          <w:rFonts w:ascii="Arial" w:hAnsi="Arial" w:cs="Arial"/>
          <w:sz w:val="24"/>
          <w:szCs w:val="24"/>
        </w:rPr>
        <w:t>ed that i</w:t>
      </w:r>
      <w:r w:rsidR="007A6518">
        <w:rPr>
          <w:rFonts w:ascii="Arial" w:hAnsi="Arial" w:cs="Arial"/>
          <w:sz w:val="24"/>
          <w:szCs w:val="24"/>
        </w:rPr>
        <w:t xml:space="preserve">f tomorrow the decision changes, the Respondent will review his decision. </w:t>
      </w:r>
      <w:r w:rsidR="00FC37D0">
        <w:rPr>
          <w:rFonts w:ascii="Arial" w:hAnsi="Arial" w:cs="Arial"/>
          <w:sz w:val="24"/>
          <w:szCs w:val="24"/>
        </w:rPr>
        <w:t xml:space="preserve"> </w:t>
      </w:r>
    </w:p>
    <w:p w14:paraId="0E36FFB7" w14:textId="18BC71DF" w:rsidR="00E048FB" w:rsidRDefault="00254B1E" w:rsidP="00253AF6">
      <w:pPr>
        <w:jc w:val="both"/>
        <w:rPr>
          <w:rFonts w:ascii="Arial" w:hAnsi="Arial" w:cs="Arial"/>
          <w:sz w:val="24"/>
          <w:szCs w:val="24"/>
        </w:rPr>
      </w:pPr>
      <w:r>
        <w:rPr>
          <w:rFonts w:ascii="Arial" w:hAnsi="Arial" w:cs="Arial"/>
          <w:sz w:val="24"/>
          <w:szCs w:val="24"/>
        </w:rPr>
        <w:t xml:space="preserve">Mr Maudarbocus agreed that the advertisements </w:t>
      </w:r>
      <w:r w:rsidR="00037712">
        <w:rPr>
          <w:rFonts w:ascii="Arial" w:hAnsi="Arial" w:cs="Arial"/>
          <w:sz w:val="24"/>
          <w:szCs w:val="24"/>
        </w:rPr>
        <w:t>of</w:t>
      </w:r>
      <w:r>
        <w:rPr>
          <w:rFonts w:ascii="Arial" w:hAnsi="Arial" w:cs="Arial"/>
          <w:sz w:val="24"/>
          <w:szCs w:val="24"/>
        </w:rPr>
        <w:t xml:space="preserve"> 2004 and 2006 </w:t>
      </w:r>
      <w:r w:rsidR="00037712">
        <w:rPr>
          <w:rFonts w:ascii="Arial" w:hAnsi="Arial" w:cs="Arial"/>
          <w:sz w:val="24"/>
          <w:szCs w:val="24"/>
        </w:rPr>
        <w:t xml:space="preserve">(for Officer in Charge (For New Training Centres conducting NTC Foundation Course) </w:t>
      </w:r>
      <w:r>
        <w:rPr>
          <w:rFonts w:ascii="Arial" w:hAnsi="Arial" w:cs="Arial"/>
          <w:sz w:val="24"/>
          <w:szCs w:val="24"/>
        </w:rPr>
        <w:t xml:space="preserve">refer to a competitive package to be offered to the selected candidate.  </w:t>
      </w:r>
      <w:r w:rsidR="000F7C3F">
        <w:rPr>
          <w:rFonts w:ascii="Arial" w:hAnsi="Arial" w:cs="Arial"/>
          <w:sz w:val="24"/>
          <w:szCs w:val="24"/>
        </w:rPr>
        <w:t xml:space="preserve">He agreed that in the payslips of the </w:t>
      </w:r>
      <w:r w:rsidR="00037712">
        <w:rPr>
          <w:rFonts w:ascii="Arial" w:hAnsi="Arial" w:cs="Arial"/>
          <w:sz w:val="24"/>
          <w:szCs w:val="24"/>
        </w:rPr>
        <w:t xml:space="preserve">(relevant) </w:t>
      </w:r>
      <w:r w:rsidR="000F7C3F">
        <w:rPr>
          <w:rFonts w:ascii="Arial" w:hAnsi="Arial" w:cs="Arial"/>
          <w:sz w:val="24"/>
          <w:szCs w:val="24"/>
        </w:rPr>
        <w:t xml:space="preserve">disputants, the allowance was paid initially as a responsibility and acting allowance.  He referred once more to the alleged error in the system which lasted for some years.  </w:t>
      </w:r>
      <w:r w:rsidR="007D55A4">
        <w:rPr>
          <w:rFonts w:ascii="Arial" w:hAnsi="Arial" w:cs="Arial"/>
          <w:sz w:val="24"/>
          <w:szCs w:val="24"/>
        </w:rPr>
        <w:t xml:space="preserve">Mr Maudarbocus </w:t>
      </w:r>
      <w:r w:rsidR="0023588E">
        <w:rPr>
          <w:rFonts w:ascii="Arial" w:hAnsi="Arial" w:cs="Arial"/>
          <w:sz w:val="24"/>
          <w:szCs w:val="24"/>
        </w:rPr>
        <w:t xml:space="preserve">then </w:t>
      </w:r>
      <w:r w:rsidR="007D55A4">
        <w:rPr>
          <w:rFonts w:ascii="Arial" w:hAnsi="Arial" w:cs="Arial"/>
          <w:sz w:val="24"/>
          <w:szCs w:val="24"/>
        </w:rPr>
        <w:t xml:space="preserve">stated that for several years </w:t>
      </w:r>
      <w:r w:rsidR="00037712">
        <w:rPr>
          <w:rFonts w:ascii="Arial" w:hAnsi="Arial" w:cs="Arial"/>
          <w:sz w:val="24"/>
          <w:szCs w:val="24"/>
        </w:rPr>
        <w:t xml:space="preserve">a sum of </w:t>
      </w:r>
      <w:r w:rsidR="007D55A4">
        <w:rPr>
          <w:rFonts w:ascii="Arial" w:hAnsi="Arial" w:cs="Arial"/>
          <w:sz w:val="24"/>
          <w:szCs w:val="24"/>
        </w:rPr>
        <w:t>money</w:t>
      </w:r>
      <w:r w:rsidR="00037712">
        <w:rPr>
          <w:rFonts w:ascii="Arial" w:hAnsi="Arial" w:cs="Arial"/>
          <w:sz w:val="24"/>
          <w:szCs w:val="24"/>
        </w:rPr>
        <w:t xml:space="preserve"> </w:t>
      </w:r>
      <w:r w:rsidR="007D55A4">
        <w:rPr>
          <w:rFonts w:ascii="Arial" w:hAnsi="Arial" w:cs="Arial"/>
          <w:sz w:val="24"/>
          <w:szCs w:val="24"/>
        </w:rPr>
        <w:t xml:space="preserve">was being </w:t>
      </w:r>
      <w:r w:rsidR="00037712">
        <w:rPr>
          <w:rFonts w:ascii="Arial" w:hAnsi="Arial" w:cs="Arial"/>
          <w:sz w:val="24"/>
          <w:szCs w:val="24"/>
        </w:rPr>
        <w:t>deducted from the salary of</w:t>
      </w:r>
      <w:r w:rsidR="007D55A4">
        <w:rPr>
          <w:rFonts w:ascii="Arial" w:hAnsi="Arial" w:cs="Arial"/>
          <w:sz w:val="24"/>
          <w:szCs w:val="24"/>
        </w:rPr>
        <w:t xml:space="preserve"> </w:t>
      </w:r>
      <w:r w:rsidR="008C1203">
        <w:rPr>
          <w:rFonts w:ascii="Arial" w:hAnsi="Arial" w:cs="Arial"/>
          <w:sz w:val="24"/>
          <w:szCs w:val="24"/>
        </w:rPr>
        <w:t xml:space="preserve">each of </w:t>
      </w:r>
      <w:r w:rsidR="007D55A4">
        <w:rPr>
          <w:rFonts w:ascii="Arial" w:hAnsi="Arial" w:cs="Arial"/>
          <w:sz w:val="24"/>
          <w:szCs w:val="24"/>
        </w:rPr>
        <w:t xml:space="preserve">the </w:t>
      </w:r>
      <w:r w:rsidR="00037712">
        <w:rPr>
          <w:rFonts w:ascii="Arial" w:hAnsi="Arial" w:cs="Arial"/>
          <w:sz w:val="24"/>
          <w:szCs w:val="24"/>
        </w:rPr>
        <w:t xml:space="preserve">relevant </w:t>
      </w:r>
      <w:r w:rsidR="007D55A4">
        <w:rPr>
          <w:rFonts w:ascii="Arial" w:hAnsi="Arial" w:cs="Arial"/>
          <w:sz w:val="24"/>
          <w:szCs w:val="24"/>
        </w:rPr>
        <w:t>officers</w:t>
      </w:r>
      <w:r w:rsidR="000F7C3F">
        <w:rPr>
          <w:rFonts w:ascii="Arial" w:hAnsi="Arial" w:cs="Arial"/>
          <w:sz w:val="24"/>
          <w:szCs w:val="24"/>
        </w:rPr>
        <w:t xml:space="preserve"> </w:t>
      </w:r>
      <w:r w:rsidR="00037712">
        <w:rPr>
          <w:rFonts w:ascii="Arial" w:hAnsi="Arial" w:cs="Arial"/>
          <w:sz w:val="24"/>
          <w:szCs w:val="24"/>
        </w:rPr>
        <w:t xml:space="preserve">based on the allowance </w:t>
      </w:r>
      <w:r w:rsidR="007D55A4">
        <w:rPr>
          <w:rFonts w:ascii="Arial" w:hAnsi="Arial" w:cs="Arial"/>
          <w:sz w:val="24"/>
          <w:szCs w:val="24"/>
        </w:rPr>
        <w:t>and paid to SICOM</w:t>
      </w:r>
      <w:r w:rsidR="00037712">
        <w:rPr>
          <w:rFonts w:ascii="Arial" w:hAnsi="Arial" w:cs="Arial"/>
          <w:sz w:val="24"/>
          <w:szCs w:val="24"/>
        </w:rPr>
        <w:t xml:space="preserve"> when this should not have been done.</w:t>
      </w:r>
      <w:r w:rsidR="00977ED1">
        <w:rPr>
          <w:rFonts w:ascii="Arial" w:hAnsi="Arial" w:cs="Arial"/>
          <w:sz w:val="24"/>
          <w:szCs w:val="24"/>
        </w:rPr>
        <w:t xml:space="preserve"> He stated that Respondent </w:t>
      </w:r>
      <w:r w:rsidR="00037712">
        <w:rPr>
          <w:rFonts w:ascii="Arial" w:hAnsi="Arial" w:cs="Arial"/>
          <w:sz w:val="24"/>
          <w:szCs w:val="24"/>
        </w:rPr>
        <w:t>has</w:t>
      </w:r>
      <w:r w:rsidR="00977ED1">
        <w:rPr>
          <w:rFonts w:ascii="Arial" w:hAnsi="Arial" w:cs="Arial"/>
          <w:sz w:val="24"/>
          <w:szCs w:val="24"/>
        </w:rPr>
        <w:t xml:space="preserve"> not ma</w:t>
      </w:r>
      <w:r w:rsidR="00037712">
        <w:rPr>
          <w:rFonts w:ascii="Arial" w:hAnsi="Arial" w:cs="Arial"/>
          <w:sz w:val="24"/>
          <w:szCs w:val="24"/>
        </w:rPr>
        <w:t>d</w:t>
      </w:r>
      <w:r w:rsidR="00977ED1">
        <w:rPr>
          <w:rFonts w:ascii="Arial" w:hAnsi="Arial" w:cs="Arial"/>
          <w:sz w:val="24"/>
          <w:szCs w:val="24"/>
        </w:rPr>
        <w:t xml:space="preserve">e </w:t>
      </w:r>
      <w:r w:rsidR="00453447">
        <w:rPr>
          <w:rFonts w:ascii="Arial" w:hAnsi="Arial" w:cs="Arial"/>
          <w:sz w:val="24"/>
          <w:szCs w:val="24"/>
        </w:rPr>
        <w:t>any</w:t>
      </w:r>
      <w:r w:rsidR="00977ED1">
        <w:rPr>
          <w:rFonts w:ascii="Arial" w:hAnsi="Arial" w:cs="Arial"/>
          <w:sz w:val="24"/>
          <w:szCs w:val="24"/>
        </w:rPr>
        <w:t xml:space="preserve"> refund </w:t>
      </w:r>
      <w:r w:rsidR="00037712">
        <w:rPr>
          <w:rFonts w:ascii="Arial" w:hAnsi="Arial" w:cs="Arial"/>
          <w:sz w:val="24"/>
          <w:szCs w:val="24"/>
        </w:rPr>
        <w:t xml:space="preserve">yet </w:t>
      </w:r>
      <w:r w:rsidR="00977ED1">
        <w:rPr>
          <w:rFonts w:ascii="Arial" w:hAnsi="Arial" w:cs="Arial"/>
          <w:sz w:val="24"/>
          <w:szCs w:val="24"/>
        </w:rPr>
        <w:t xml:space="preserve">because </w:t>
      </w:r>
      <w:r w:rsidR="001809E4">
        <w:rPr>
          <w:rFonts w:ascii="Arial" w:hAnsi="Arial" w:cs="Arial"/>
          <w:sz w:val="24"/>
          <w:szCs w:val="24"/>
        </w:rPr>
        <w:t>of the present matter,</w:t>
      </w:r>
      <w:r w:rsidR="00977ED1">
        <w:rPr>
          <w:rFonts w:ascii="Arial" w:hAnsi="Arial" w:cs="Arial"/>
          <w:sz w:val="24"/>
          <w:szCs w:val="24"/>
        </w:rPr>
        <w:t xml:space="preserve"> and that Respondent is ready to refund whatever </w:t>
      </w:r>
      <w:r w:rsidR="001809E4">
        <w:rPr>
          <w:rFonts w:ascii="Arial" w:hAnsi="Arial" w:cs="Arial"/>
          <w:sz w:val="24"/>
          <w:szCs w:val="24"/>
        </w:rPr>
        <w:t xml:space="preserve">surplus deductions </w:t>
      </w:r>
      <w:r w:rsidR="00977ED1">
        <w:rPr>
          <w:rFonts w:ascii="Arial" w:hAnsi="Arial" w:cs="Arial"/>
          <w:sz w:val="24"/>
          <w:szCs w:val="24"/>
        </w:rPr>
        <w:t>ha</w:t>
      </w:r>
      <w:r w:rsidR="001809E4">
        <w:rPr>
          <w:rFonts w:ascii="Arial" w:hAnsi="Arial" w:cs="Arial"/>
          <w:sz w:val="24"/>
          <w:szCs w:val="24"/>
        </w:rPr>
        <w:t>ve</w:t>
      </w:r>
      <w:r w:rsidR="00977ED1">
        <w:rPr>
          <w:rFonts w:ascii="Arial" w:hAnsi="Arial" w:cs="Arial"/>
          <w:sz w:val="24"/>
          <w:szCs w:val="24"/>
        </w:rPr>
        <w:t xml:space="preserve"> been </w:t>
      </w:r>
      <w:r w:rsidR="001809E4">
        <w:rPr>
          <w:rFonts w:ascii="Arial" w:hAnsi="Arial" w:cs="Arial"/>
          <w:sz w:val="24"/>
          <w:szCs w:val="24"/>
        </w:rPr>
        <w:t>applied on</w:t>
      </w:r>
      <w:r w:rsidR="00977ED1">
        <w:rPr>
          <w:rFonts w:ascii="Arial" w:hAnsi="Arial" w:cs="Arial"/>
          <w:sz w:val="24"/>
          <w:szCs w:val="24"/>
        </w:rPr>
        <w:t xml:space="preserve"> </w:t>
      </w:r>
      <w:r w:rsidR="001809E4">
        <w:rPr>
          <w:rFonts w:ascii="Arial" w:hAnsi="Arial" w:cs="Arial"/>
          <w:sz w:val="24"/>
          <w:szCs w:val="24"/>
        </w:rPr>
        <w:t xml:space="preserve">the salaries of </w:t>
      </w:r>
      <w:r w:rsidR="00977ED1">
        <w:rPr>
          <w:rFonts w:ascii="Arial" w:hAnsi="Arial" w:cs="Arial"/>
          <w:sz w:val="24"/>
          <w:szCs w:val="24"/>
        </w:rPr>
        <w:t>th</w:t>
      </w:r>
      <w:r w:rsidR="008C1203">
        <w:rPr>
          <w:rFonts w:ascii="Arial" w:hAnsi="Arial" w:cs="Arial"/>
          <w:sz w:val="24"/>
          <w:szCs w:val="24"/>
        </w:rPr>
        <w:t>o</w:t>
      </w:r>
      <w:r w:rsidR="001809E4">
        <w:rPr>
          <w:rFonts w:ascii="Arial" w:hAnsi="Arial" w:cs="Arial"/>
          <w:sz w:val="24"/>
          <w:szCs w:val="24"/>
        </w:rPr>
        <w:t>se</w:t>
      </w:r>
      <w:r w:rsidR="00977ED1">
        <w:rPr>
          <w:rFonts w:ascii="Arial" w:hAnsi="Arial" w:cs="Arial"/>
          <w:sz w:val="24"/>
          <w:szCs w:val="24"/>
        </w:rPr>
        <w:t xml:space="preserve"> employees.  Mr Maudarbocus stated that a designated position is a post which is not on the establishment of an </w:t>
      </w:r>
      <w:r w:rsidR="006D32A7">
        <w:rPr>
          <w:rFonts w:ascii="Arial" w:hAnsi="Arial" w:cs="Arial"/>
          <w:sz w:val="24"/>
          <w:szCs w:val="24"/>
        </w:rPr>
        <w:t>organi</w:t>
      </w:r>
      <w:r w:rsidR="008C1203">
        <w:rPr>
          <w:rFonts w:ascii="Arial" w:hAnsi="Arial" w:cs="Arial"/>
          <w:sz w:val="24"/>
          <w:szCs w:val="24"/>
        </w:rPr>
        <w:t>s</w:t>
      </w:r>
      <w:r w:rsidR="006D32A7">
        <w:rPr>
          <w:rFonts w:ascii="Arial" w:hAnsi="Arial" w:cs="Arial"/>
          <w:sz w:val="24"/>
          <w:szCs w:val="24"/>
        </w:rPr>
        <w:t xml:space="preserve">ation </w:t>
      </w:r>
      <w:r w:rsidR="00F47D19">
        <w:rPr>
          <w:rFonts w:ascii="Arial" w:hAnsi="Arial" w:cs="Arial"/>
          <w:sz w:val="24"/>
          <w:szCs w:val="24"/>
        </w:rPr>
        <w:t xml:space="preserve">but relates to </w:t>
      </w:r>
      <w:r w:rsidR="006D32A7">
        <w:rPr>
          <w:rFonts w:ascii="Arial" w:hAnsi="Arial" w:cs="Arial"/>
          <w:sz w:val="24"/>
          <w:szCs w:val="24"/>
        </w:rPr>
        <w:t xml:space="preserve">a specific need </w:t>
      </w:r>
      <w:r w:rsidR="00F47D19">
        <w:rPr>
          <w:rFonts w:ascii="Arial" w:hAnsi="Arial" w:cs="Arial"/>
          <w:sz w:val="24"/>
          <w:szCs w:val="24"/>
        </w:rPr>
        <w:t xml:space="preserve">which </w:t>
      </w:r>
      <w:r w:rsidR="006D32A7">
        <w:rPr>
          <w:rFonts w:ascii="Arial" w:hAnsi="Arial" w:cs="Arial"/>
          <w:sz w:val="24"/>
          <w:szCs w:val="24"/>
        </w:rPr>
        <w:t>arises whereby specific duties have to be done.  Since the Respondent was not aware of the policy to be adopted in relation to pre-vocational education, the Respondent did not put a Training Centre Manager or Assistant Manager to head the pre-vocational centr</w:t>
      </w:r>
      <w:r w:rsidR="008C1203">
        <w:rPr>
          <w:rFonts w:ascii="Arial" w:hAnsi="Arial" w:cs="Arial"/>
          <w:sz w:val="24"/>
          <w:szCs w:val="24"/>
        </w:rPr>
        <w:t>e</w:t>
      </w:r>
      <w:r w:rsidR="006D32A7">
        <w:rPr>
          <w:rFonts w:ascii="Arial" w:hAnsi="Arial" w:cs="Arial"/>
          <w:sz w:val="24"/>
          <w:szCs w:val="24"/>
        </w:rPr>
        <w:t>s.</w:t>
      </w:r>
      <w:r w:rsidR="007756E7">
        <w:rPr>
          <w:rFonts w:ascii="Arial" w:hAnsi="Arial" w:cs="Arial"/>
          <w:sz w:val="24"/>
          <w:szCs w:val="24"/>
        </w:rPr>
        <w:t xml:space="preserve">  He also added that this was not a project of</w:t>
      </w:r>
      <w:r w:rsidR="006D32A7">
        <w:rPr>
          <w:rFonts w:ascii="Arial" w:hAnsi="Arial" w:cs="Arial"/>
          <w:sz w:val="24"/>
          <w:szCs w:val="24"/>
        </w:rPr>
        <w:t xml:space="preserve"> </w:t>
      </w:r>
      <w:r w:rsidR="008C1203">
        <w:rPr>
          <w:rFonts w:ascii="Arial" w:hAnsi="Arial" w:cs="Arial"/>
          <w:sz w:val="24"/>
          <w:szCs w:val="24"/>
        </w:rPr>
        <w:t xml:space="preserve">the </w:t>
      </w:r>
      <w:r w:rsidR="007756E7">
        <w:rPr>
          <w:rFonts w:ascii="Arial" w:hAnsi="Arial" w:cs="Arial"/>
          <w:sz w:val="24"/>
          <w:szCs w:val="24"/>
        </w:rPr>
        <w:t xml:space="preserve">Respondent but that of </w:t>
      </w:r>
      <w:r w:rsidR="00613FEC">
        <w:rPr>
          <w:rFonts w:ascii="Arial" w:hAnsi="Arial" w:cs="Arial"/>
          <w:sz w:val="24"/>
          <w:szCs w:val="24"/>
        </w:rPr>
        <w:t>Co-Respondent No 1</w:t>
      </w:r>
      <w:r w:rsidR="007756E7">
        <w:rPr>
          <w:rFonts w:ascii="Arial" w:hAnsi="Arial" w:cs="Arial"/>
          <w:sz w:val="24"/>
          <w:szCs w:val="24"/>
        </w:rPr>
        <w:t xml:space="preserve"> and the budget for it was in the budget of that Ministry.</w:t>
      </w:r>
      <w:r w:rsidR="00C901BF">
        <w:rPr>
          <w:rFonts w:ascii="Arial" w:hAnsi="Arial" w:cs="Arial"/>
          <w:sz w:val="24"/>
          <w:szCs w:val="24"/>
        </w:rPr>
        <w:t xml:space="preserve">     </w:t>
      </w:r>
      <w:r w:rsidR="007756E7">
        <w:rPr>
          <w:rFonts w:ascii="Arial" w:hAnsi="Arial" w:cs="Arial"/>
          <w:sz w:val="24"/>
          <w:szCs w:val="24"/>
        </w:rPr>
        <w:t xml:space="preserve">   </w:t>
      </w:r>
      <w:r w:rsidR="006D32A7">
        <w:rPr>
          <w:rFonts w:ascii="Arial" w:hAnsi="Arial" w:cs="Arial"/>
          <w:sz w:val="24"/>
          <w:szCs w:val="24"/>
        </w:rPr>
        <w:t xml:space="preserve"> </w:t>
      </w:r>
      <w:r w:rsidR="00977ED1">
        <w:rPr>
          <w:rFonts w:ascii="Arial" w:hAnsi="Arial" w:cs="Arial"/>
          <w:sz w:val="24"/>
          <w:szCs w:val="24"/>
        </w:rPr>
        <w:t xml:space="preserve">    </w:t>
      </w:r>
      <w:r w:rsidR="007D55A4">
        <w:rPr>
          <w:rFonts w:ascii="Arial" w:hAnsi="Arial" w:cs="Arial"/>
          <w:sz w:val="24"/>
          <w:szCs w:val="24"/>
        </w:rPr>
        <w:t xml:space="preserve"> </w:t>
      </w:r>
      <w:r>
        <w:rPr>
          <w:rFonts w:ascii="Arial" w:hAnsi="Arial" w:cs="Arial"/>
          <w:sz w:val="24"/>
          <w:szCs w:val="24"/>
        </w:rPr>
        <w:t xml:space="preserve">  </w:t>
      </w:r>
    </w:p>
    <w:p w14:paraId="6EFCCD4B" w14:textId="6040F297" w:rsidR="00E048FB" w:rsidRDefault="001809E4" w:rsidP="00253AF6">
      <w:pPr>
        <w:jc w:val="both"/>
        <w:rPr>
          <w:rFonts w:ascii="Arial" w:hAnsi="Arial" w:cs="Arial"/>
          <w:sz w:val="24"/>
          <w:szCs w:val="24"/>
        </w:rPr>
      </w:pPr>
      <w:r>
        <w:rPr>
          <w:rFonts w:ascii="Arial" w:hAnsi="Arial" w:cs="Arial"/>
          <w:sz w:val="24"/>
          <w:szCs w:val="24"/>
        </w:rPr>
        <w:t>Mr Maudarbocus</w:t>
      </w:r>
      <w:r w:rsidR="001D72AF">
        <w:rPr>
          <w:rFonts w:ascii="Arial" w:hAnsi="Arial" w:cs="Arial"/>
          <w:sz w:val="24"/>
          <w:szCs w:val="24"/>
        </w:rPr>
        <w:t xml:space="preserve"> explained the procedures to create a post at the Respondent.  </w:t>
      </w:r>
      <w:r w:rsidR="00C0057F">
        <w:rPr>
          <w:rFonts w:ascii="Arial" w:hAnsi="Arial" w:cs="Arial"/>
          <w:sz w:val="24"/>
          <w:szCs w:val="24"/>
        </w:rPr>
        <w:t xml:space="preserve">He stated that Respondent could not refuse doing the pre-vocational </w:t>
      </w:r>
      <w:r>
        <w:rPr>
          <w:rFonts w:ascii="Arial" w:hAnsi="Arial" w:cs="Arial"/>
          <w:sz w:val="24"/>
          <w:szCs w:val="24"/>
        </w:rPr>
        <w:t xml:space="preserve">classes </w:t>
      </w:r>
      <w:r w:rsidR="00C0057F">
        <w:rPr>
          <w:rFonts w:ascii="Arial" w:hAnsi="Arial" w:cs="Arial"/>
          <w:sz w:val="24"/>
          <w:szCs w:val="24"/>
        </w:rPr>
        <w:t xml:space="preserve">because it was a policy of government and there were students involved.  He conceded that it would not have been possible without the Training Officers with five years’ experience but he suggested that the disputants </w:t>
      </w:r>
      <w:r>
        <w:rPr>
          <w:rFonts w:ascii="Arial" w:hAnsi="Arial" w:cs="Arial"/>
          <w:sz w:val="24"/>
          <w:szCs w:val="24"/>
        </w:rPr>
        <w:t xml:space="preserve">were not forced to </w:t>
      </w:r>
      <w:r w:rsidR="00C0057F">
        <w:rPr>
          <w:rFonts w:ascii="Arial" w:hAnsi="Arial" w:cs="Arial"/>
          <w:sz w:val="24"/>
          <w:szCs w:val="24"/>
        </w:rPr>
        <w:t>appl</w:t>
      </w:r>
      <w:r>
        <w:rPr>
          <w:rFonts w:ascii="Arial" w:hAnsi="Arial" w:cs="Arial"/>
          <w:sz w:val="24"/>
          <w:szCs w:val="24"/>
        </w:rPr>
        <w:t>y</w:t>
      </w:r>
      <w:r w:rsidR="00C0057F">
        <w:rPr>
          <w:rFonts w:ascii="Arial" w:hAnsi="Arial" w:cs="Arial"/>
          <w:sz w:val="24"/>
          <w:szCs w:val="24"/>
        </w:rPr>
        <w:t xml:space="preserve"> for the said position</w:t>
      </w:r>
      <w:r w:rsidR="008C1203">
        <w:rPr>
          <w:rFonts w:ascii="Arial" w:hAnsi="Arial" w:cs="Arial"/>
          <w:sz w:val="24"/>
          <w:szCs w:val="24"/>
        </w:rPr>
        <w:t>s</w:t>
      </w:r>
      <w:r w:rsidR="00C0057F">
        <w:rPr>
          <w:rFonts w:ascii="Arial" w:hAnsi="Arial" w:cs="Arial"/>
          <w:sz w:val="24"/>
          <w:szCs w:val="24"/>
        </w:rPr>
        <w:t>.</w:t>
      </w:r>
      <w:r w:rsidR="00D14FDE">
        <w:rPr>
          <w:rFonts w:ascii="Arial" w:hAnsi="Arial" w:cs="Arial"/>
          <w:sz w:val="24"/>
          <w:szCs w:val="24"/>
        </w:rPr>
        <w:t xml:space="preserve">  He did not agree that Officer</w:t>
      </w:r>
      <w:r>
        <w:rPr>
          <w:rFonts w:ascii="Arial" w:hAnsi="Arial" w:cs="Arial"/>
          <w:sz w:val="24"/>
          <w:szCs w:val="24"/>
        </w:rPr>
        <w:t xml:space="preserve"> </w:t>
      </w:r>
      <w:r w:rsidR="00D14FDE">
        <w:rPr>
          <w:rFonts w:ascii="Arial" w:hAnsi="Arial" w:cs="Arial"/>
          <w:sz w:val="24"/>
          <w:szCs w:val="24"/>
        </w:rPr>
        <w:t>in</w:t>
      </w:r>
      <w:r>
        <w:rPr>
          <w:rFonts w:ascii="Arial" w:hAnsi="Arial" w:cs="Arial"/>
          <w:sz w:val="24"/>
          <w:szCs w:val="24"/>
        </w:rPr>
        <w:t xml:space="preserve"> </w:t>
      </w:r>
      <w:r w:rsidR="00D14FDE">
        <w:rPr>
          <w:rFonts w:ascii="Arial" w:hAnsi="Arial" w:cs="Arial"/>
          <w:sz w:val="24"/>
          <w:szCs w:val="24"/>
        </w:rPr>
        <w:t xml:space="preserve">Charge was a higher post or </w:t>
      </w:r>
      <w:r w:rsidR="007334A6">
        <w:rPr>
          <w:rFonts w:ascii="Arial" w:hAnsi="Arial" w:cs="Arial"/>
          <w:sz w:val="24"/>
          <w:szCs w:val="24"/>
        </w:rPr>
        <w:t xml:space="preserve">a post </w:t>
      </w:r>
      <w:r w:rsidR="00D14FDE">
        <w:rPr>
          <w:rFonts w:ascii="Arial" w:hAnsi="Arial" w:cs="Arial"/>
          <w:sz w:val="24"/>
          <w:szCs w:val="24"/>
        </w:rPr>
        <w:t xml:space="preserve">with higher responsibilities but </w:t>
      </w:r>
      <w:r w:rsidR="00267845">
        <w:rPr>
          <w:rFonts w:ascii="Arial" w:hAnsi="Arial" w:cs="Arial"/>
          <w:sz w:val="24"/>
          <w:szCs w:val="24"/>
        </w:rPr>
        <w:t xml:space="preserve">added </w:t>
      </w:r>
      <w:r w:rsidR="00D14FDE">
        <w:rPr>
          <w:rFonts w:ascii="Arial" w:hAnsi="Arial" w:cs="Arial"/>
          <w:sz w:val="24"/>
          <w:szCs w:val="24"/>
        </w:rPr>
        <w:t xml:space="preserve">that additional duties were given to </w:t>
      </w:r>
      <w:r w:rsidR="008C1203">
        <w:rPr>
          <w:rFonts w:ascii="Arial" w:hAnsi="Arial" w:cs="Arial"/>
          <w:sz w:val="24"/>
          <w:szCs w:val="24"/>
        </w:rPr>
        <w:t xml:space="preserve">the </w:t>
      </w:r>
      <w:r w:rsidR="00D14FDE">
        <w:rPr>
          <w:rFonts w:ascii="Arial" w:hAnsi="Arial" w:cs="Arial"/>
          <w:sz w:val="24"/>
          <w:szCs w:val="24"/>
        </w:rPr>
        <w:t xml:space="preserve">Training Officers. </w:t>
      </w:r>
      <w:r w:rsidR="004C260D">
        <w:rPr>
          <w:rFonts w:ascii="Arial" w:hAnsi="Arial" w:cs="Arial"/>
          <w:sz w:val="24"/>
          <w:szCs w:val="24"/>
        </w:rPr>
        <w:t xml:space="preserve"> He agreed that Disputant No </w:t>
      </w:r>
      <w:r w:rsidR="00B84622">
        <w:rPr>
          <w:rFonts w:ascii="Arial" w:hAnsi="Arial" w:cs="Arial"/>
          <w:sz w:val="24"/>
          <w:szCs w:val="24"/>
        </w:rPr>
        <w:t xml:space="preserve">7 had in the meantime retired on ground of age.  </w:t>
      </w:r>
      <w:r w:rsidR="00D14FDE">
        <w:rPr>
          <w:rFonts w:ascii="Arial" w:hAnsi="Arial" w:cs="Arial"/>
          <w:sz w:val="24"/>
          <w:szCs w:val="24"/>
        </w:rPr>
        <w:t xml:space="preserve"> </w:t>
      </w:r>
      <w:r w:rsidR="00C0057F">
        <w:rPr>
          <w:rFonts w:ascii="Arial" w:hAnsi="Arial" w:cs="Arial"/>
          <w:sz w:val="24"/>
          <w:szCs w:val="24"/>
        </w:rPr>
        <w:t xml:space="preserve">      </w:t>
      </w:r>
      <w:r w:rsidR="001D72AF">
        <w:rPr>
          <w:rFonts w:ascii="Arial" w:hAnsi="Arial" w:cs="Arial"/>
          <w:sz w:val="24"/>
          <w:szCs w:val="24"/>
        </w:rPr>
        <w:t xml:space="preserve">  </w:t>
      </w:r>
      <w:r w:rsidR="00520DF1">
        <w:rPr>
          <w:rFonts w:ascii="Arial" w:hAnsi="Arial" w:cs="Arial"/>
          <w:sz w:val="24"/>
          <w:szCs w:val="24"/>
        </w:rPr>
        <w:t xml:space="preserve">  </w:t>
      </w:r>
    </w:p>
    <w:p w14:paraId="735CB0D3" w14:textId="132EF517" w:rsidR="000C5E65" w:rsidRDefault="007E2DE7" w:rsidP="00253AF6">
      <w:pPr>
        <w:jc w:val="both"/>
        <w:rPr>
          <w:rFonts w:ascii="Arial" w:hAnsi="Arial" w:cs="Arial"/>
          <w:sz w:val="24"/>
          <w:szCs w:val="24"/>
        </w:rPr>
      </w:pPr>
      <w:r>
        <w:rPr>
          <w:rFonts w:ascii="Arial" w:hAnsi="Arial" w:cs="Arial"/>
          <w:sz w:val="24"/>
          <w:szCs w:val="24"/>
        </w:rPr>
        <w:lastRenderedPageBreak/>
        <w:t>Mr Maudarbocus stated that in 1990</w:t>
      </w:r>
      <w:r w:rsidR="008F578A">
        <w:rPr>
          <w:rFonts w:ascii="Arial" w:hAnsi="Arial" w:cs="Arial"/>
          <w:sz w:val="24"/>
          <w:szCs w:val="24"/>
        </w:rPr>
        <w:t>,</w:t>
      </w:r>
      <w:r>
        <w:rPr>
          <w:rFonts w:ascii="Arial" w:hAnsi="Arial" w:cs="Arial"/>
          <w:sz w:val="24"/>
          <w:szCs w:val="24"/>
        </w:rPr>
        <w:t xml:space="preserve"> </w:t>
      </w:r>
      <w:r w:rsidR="00456F57">
        <w:rPr>
          <w:rFonts w:ascii="Arial" w:hAnsi="Arial" w:cs="Arial"/>
          <w:sz w:val="24"/>
          <w:szCs w:val="24"/>
        </w:rPr>
        <w:t>c</w:t>
      </w:r>
      <w:r>
        <w:rPr>
          <w:rFonts w:ascii="Arial" w:hAnsi="Arial" w:cs="Arial"/>
          <w:sz w:val="24"/>
          <w:szCs w:val="24"/>
        </w:rPr>
        <w:t>entres which were offering pre-vocational education were headed by a Supervisor and not an Officer</w:t>
      </w:r>
      <w:r w:rsidR="00992622">
        <w:rPr>
          <w:rFonts w:ascii="Arial" w:hAnsi="Arial" w:cs="Arial"/>
          <w:sz w:val="24"/>
          <w:szCs w:val="24"/>
        </w:rPr>
        <w:t xml:space="preserve"> </w:t>
      </w:r>
      <w:r>
        <w:rPr>
          <w:rFonts w:ascii="Arial" w:hAnsi="Arial" w:cs="Arial"/>
          <w:sz w:val="24"/>
          <w:szCs w:val="24"/>
        </w:rPr>
        <w:t>in</w:t>
      </w:r>
      <w:r w:rsidR="00992622">
        <w:rPr>
          <w:rFonts w:ascii="Arial" w:hAnsi="Arial" w:cs="Arial"/>
          <w:sz w:val="24"/>
          <w:szCs w:val="24"/>
        </w:rPr>
        <w:t xml:space="preserve"> </w:t>
      </w:r>
      <w:r>
        <w:rPr>
          <w:rFonts w:ascii="Arial" w:hAnsi="Arial" w:cs="Arial"/>
          <w:sz w:val="24"/>
          <w:szCs w:val="24"/>
        </w:rPr>
        <w:t xml:space="preserve">Charge.  </w:t>
      </w:r>
      <w:r w:rsidR="00B8219B">
        <w:rPr>
          <w:rFonts w:ascii="Arial" w:hAnsi="Arial" w:cs="Arial"/>
          <w:sz w:val="24"/>
          <w:szCs w:val="24"/>
        </w:rPr>
        <w:t xml:space="preserve">The post of Supervisor was an established position on the organisational structure of the then IVTB.  </w:t>
      </w:r>
      <w:r w:rsidR="000C1234">
        <w:rPr>
          <w:rFonts w:ascii="Arial" w:hAnsi="Arial" w:cs="Arial"/>
          <w:sz w:val="24"/>
          <w:szCs w:val="24"/>
        </w:rPr>
        <w:t>When questioned about Surinam Training Centre, Mr Maudarbocus conceded that an officer was Officer</w:t>
      </w:r>
      <w:r w:rsidR="00683252">
        <w:rPr>
          <w:rFonts w:ascii="Arial" w:hAnsi="Arial" w:cs="Arial"/>
          <w:sz w:val="24"/>
          <w:szCs w:val="24"/>
        </w:rPr>
        <w:t xml:space="preserve"> </w:t>
      </w:r>
      <w:r w:rsidR="000C1234">
        <w:rPr>
          <w:rFonts w:ascii="Arial" w:hAnsi="Arial" w:cs="Arial"/>
          <w:sz w:val="24"/>
          <w:szCs w:val="24"/>
        </w:rPr>
        <w:t>in</w:t>
      </w:r>
      <w:r w:rsidR="00683252">
        <w:rPr>
          <w:rFonts w:ascii="Arial" w:hAnsi="Arial" w:cs="Arial"/>
          <w:sz w:val="24"/>
          <w:szCs w:val="24"/>
        </w:rPr>
        <w:t xml:space="preserve"> </w:t>
      </w:r>
      <w:r w:rsidR="000C1234">
        <w:rPr>
          <w:rFonts w:ascii="Arial" w:hAnsi="Arial" w:cs="Arial"/>
          <w:sz w:val="24"/>
          <w:szCs w:val="24"/>
        </w:rPr>
        <w:t xml:space="preserve">Charge at the relevant time but he stressed that Surinam Training Centre was not a pre-vocational training centre but a vocational centre.  The head of that centre was an Assistant Manager and that post was vacant.  The </w:t>
      </w:r>
      <w:r w:rsidR="00862C33">
        <w:rPr>
          <w:rFonts w:ascii="Arial" w:hAnsi="Arial" w:cs="Arial"/>
          <w:sz w:val="24"/>
          <w:szCs w:val="24"/>
        </w:rPr>
        <w:t>offi</w:t>
      </w:r>
      <w:r w:rsidR="000C1234">
        <w:rPr>
          <w:rFonts w:ascii="Arial" w:hAnsi="Arial" w:cs="Arial"/>
          <w:sz w:val="24"/>
          <w:szCs w:val="24"/>
        </w:rPr>
        <w:t xml:space="preserve">cer </w:t>
      </w:r>
      <w:r w:rsidR="00862C33">
        <w:rPr>
          <w:rFonts w:ascii="Arial" w:hAnsi="Arial" w:cs="Arial"/>
          <w:sz w:val="24"/>
          <w:szCs w:val="24"/>
        </w:rPr>
        <w:t xml:space="preserve">who stepped in </w:t>
      </w:r>
      <w:r w:rsidR="000C1234">
        <w:rPr>
          <w:rFonts w:ascii="Arial" w:hAnsi="Arial" w:cs="Arial"/>
          <w:sz w:val="24"/>
          <w:szCs w:val="24"/>
        </w:rPr>
        <w:t>was then Officer</w:t>
      </w:r>
      <w:r w:rsidR="00683252">
        <w:rPr>
          <w:rFonts w:ascii="Arial" w:hAnsi="Arial" w:cs="Arial"/>
          <w:sz w:val="24"/>
          <w:szCs w:val="24"/>
        </w:rPr>
        <w:t xml:space="preserve"> </w:t>
      </w:r>
      <w:r w:rsidR="000C1234">
        <w:rPr>
          <w:rFonts w:ascii="Arial" w:hAnsi="Arial" w:cs="Arial"/>
          <w:sz w:val="24"/>
          <w:szCs w:val="24"/>
        </w:rPr>
        <w:t>in</w:t>
      </w:r>
      <w:r w:rsidR="00683252">
        <w:rPr>
          <w:rFonts w:ascii="Arial" w:hAnsi="Arial" w:cs="Arial"/>
          <w:sz w:val="24"/>
          <w:szCs w:val="24"/>
        </w:rPr>
        <w:t xml:space="preserve"> </w:t>
      </w:r>
      <w:r w:rsidR="000C1234">
        <w:rPr>
          <w:rFonts w:ascii="Arial" w:hAnsi="Arial" w:cs="Arial"/>
          <w:sz w:val="24"/>
          <w:szCs w:val="24"/>
        </w:rPr>
        <w:t>Charge against an established position.</w:t>
      </w:r>
      <w:r w:rsidR="00054439">
        <w:rPr>
          <w:rFonts w:ascii="Arial" w:hAnsi="Arial" w:cs="Arial"/>
          <w:sz w:val="24"/>
          <w:szCs w:val="24"/>
        </w:rPr>
        <w:t xml:space="preserve">  He was the</w:t>
      </w:r>
      <w:r w:rsidR="008647DD">
        <w:rPr>
          <w:rFonts w:ascii="Arial" w:hAnsi="Arial" w:cs="Arial"/>
          <w:sz w:val="24"/>
          <w:szCs w:val="24"/>
        </w:rPr>
        <w:t xml:space="preserve"> </w:t>
      </w:r>
      <w:r w:rsidR="00054439">
        <w:rPr>
          <w:rFonts w:ascii="Arial" w:hAnsi="Arial" w:cs="Arial"/>
          <w:sz w:val="24"/>
          <w:szCs w:val="24"/>
        </w:rPr>
        <w:t>most senior Training Officer at that centre</w:t>
      </w:r>
      <w:r w:rsidR="008C1203">
        <w:rPr>
          <w:rFonts w:ascii="Arial" w:hAnsi="Arial" w:cs="Arial"/>
          <w:sz w:val="24"/>
          <w:szCs w:val="24"/>
        </w:rPr>
        <w:t>,</w:t>
      </w:r>
      <w:r w:rsidR="00054439">
        <w:rPr>
          <w:rFonts w:ascii="Arial" w:hAnsi="Arial" w:cs="Arial"/>
          <w:sz w:val="24"/>
          <w:szCs w:val="24"/>
        </w:rPr>
        <w:t xml:space="preserve"> though not overall </w:t>
      </w:r>
      <w:r w:rsidR="00683252">
        <w:rPr>
          <w:rFonts w:ascii="Arial" w:hAnsi="Arial" w:cs="Arial"/>
          <w:sz w:val="24"/>
          <w:szCs w:val="24"/>
        </w:rPr>
        <w:t>among all centres</w:t>
      </w:r>
      <w:r w:rsidR="008C1203">
        <w:rPr>
          <w:rFonts w:ascii="Arial" w:hAnsi="Arial" w:cs="Arial"/>
          <w:sz w:val="24"/>
          <w:szCs w:val="24"/>
        </w:rPr>
        <w:t>,</w:t>
      </w:r>
      <w:r w:rsidR="00683252">
        <w:rPr>
          <w:rFonts w:ascii="Arial" w:hAnsi="Arial" w:cs="Arial"/>
          <w:sz w:val="24"/>
          <w:szCs w:val="24"/>
        </w:rPr>
        <w:t xml:space="preserve"> </w:t>
      </w:r>
      <w:r w:rsidR="00054439">
        <w:rPr>
          <w:rFonts w:ascii="Arial" w:hAnsi="Arial" w:cs="Arial"/>
          <w:sz w:val="24"/>
          <w:szCs w:val="24"/>
        </w:rPr>
        <w:t xml:space="preserve">and he was assigned responsibility against an established post.  Mr Maudarbocus stated that the </w:t>
      </w:r>
      <w:r w:rsidR="00EA7741">
        <w:rPr>
          <w:rFonts w:ascii="Arial" w:hAnsi="Arial" w:cs="Arial"/>
          <w:sz w:val="24"/>
          <w:szCs w:val="24"/>
        </w:rPr>
        <w:t>Training O</w:t>
      </w:r>
      <w:r w:rsidR="00054439">
        <w:rPr>
          <w:rFonts w:ascii="Arial" w:hAnsi="Arial" w:cs="Arial"/>
          <w:sz w:val="24"/>
          <w:szCs w:val="24"/>
        </w:rPr>
        <w:t xml:space="preserve">fficer </w:t>
      </w:r>
      <w:r w:rsidR="00EA7741">
        <w:rPr>
          <w:rFonts w:ascii="Arial" w:hAnsi="Arial" w:cs="Arial"/>
          <w:sz w:val="24"/>
          <w:szCs w:val="24"/>
        </w:rPr>
        <w:t>was given additional responsibilities</w:t>
      </w:r>
      <w:r w:rsidR="000C5E65">
        <w:rPr>
          <w:rFonts w:ascii="Arial" w:hAnsi="Arial" w:cs="Arial"/>
          <w:sz w:val="24"/>
          <w:szCs w:val="24"/>
        </w:rPr>
        <w:t xml:space="preserve"> and was responsible f</w:t>
      </w:r>
      <w:r w:rsidR="00862C33">
        <w:rPr>
          <w:rFonts w:ascii="Arial" w:hAnsi="Arial" w:cs="Arial"/>
          <w:sz w:val="24"/>
          <w:szCs w:val="24"/>
        </w:rPr>
        <w:t>or</w:t>
      </w:r>
      <w:r w:rsidR="000C5E65">
        <w:rPr>
          <w:rFonts w:ascii="Arial" w:hAnsi="Arial" w:cs="Arial"/>
          <w:sz w:val="24"/>
          <w:szCs w:val="24"/>
        </w:rPr>
        <w:t xml:space="preserve"> that </w:t>
      </w:r>
      <w:r w:rsidR="00683252">
        <w:rPr>
          <w:rFonts w:ascii="Arial" w:hAnsi="Arial" w:cs="Arial"/>
          <w:sz w:val="24"/>
          <w:szCs w:val="24"/>
        </w:rPr>
        <w:t>vocational c</w:t>
      </w:r>
      <w:r w:rsidR="000C5E65">
        <w:rPr>
          <w:rFonts w:ascii="Arial" w:hAnsi="Arial" w:cs="Arial"/>
          <w:sz w:val="24"/>
          <w:szCs w:val="24"/>
        </w:rPr>
        <w:t>entre and was thus called Officer</w:t>
      </w:r>
      <w:r w:rsidR="00683252">
        <w:rPr>
          <w:rFonts w:ascii="Arial" w:hAnsi="Arial" w:cs="Arial"/>
          <w:sz w:val="24"/>
          <w:szCs w:val="24"/>
        </w:rPr>
        <w:t xml:space="preserve"> </w:t>
      </w:r>
      <w:r w:rsidR="000C5E65">
        <w:rPr>
          <w:rFonts w:ascii="Arial" w:hAnsi="Arial" w:cs="Arial"/>
          <w:sz w:val="24"/>
          <w:szCs w:val="24"/>
        </w:rPr>
        <w:t>in</w:t>
      </w:r>
      <w:r w:rsidR="00683252">
        <w:rPr>
          <w:rFonts w:ascii="Arial" w:hAnsi="Arial" w:cs="Arial"/>
          <w:sz w:val="24"/>
          <w:szCs w:val="24"/>
        </w:rPr>
        <w:t xml:space="preserve"> </w:t>
      </w:r>
      <w:r w:rsidR="000C5E65">
        <w:rPr>
          <w:rFonts w:ascii="Arial" w:hAnsi="Arial" w:cs="Arial"/>
          <w:sz w:val="24"/>
          <w:szCs w:val="24"/>
        </w:rPr>
        <w:t xml:space="preserve">Charge.  </w:t>
      </w:r>
      <w:r w:rsidR="00E84D37">
        <w:rPr>
          <w:rFonts w:ascii="Arial" w:hAnsi="Arial" w:cs="Arial"/>
          <w:sz w:val="24"/>
          <w:szCs w:val="24"/>
        </w:rPr>
        <w:t xml:space="preserve">He stated that the officer was not called Acting Assistant Manager since he was not the most senior Training Officer at the Respondent but only for that Centre.  This was an assignment of duties which was particular to that Training Centre only so as not to cause disruption of training.  </w:t>
      </w:r>
      <w:r w:rsidR="00456F57">
        <w:rPr>
          <w:rFonts w:ascii="Arial" w:hAnsi="Arial" w:cs="Arial"/>
          <w:sz w:val="24"/>
          <w:szCs w:val="24"/>
        </w:rPr>
        <w:t xml:space="preserve">It </w:t>
      </w:r>
      <w:r w:rsidR="00E84D37">
        <w:rPr>
          <w:rFonts w:ascii="Arial" w:hAnsi="Arial" w:cs="Arial"/>
          <w:sz w:val="24"/>
          <w:szCs w:val="24"/>
        </w:rPr>
        <w:t>w</w:t>
      </w:r>
      <w:r w:rsidR="00683252">
        <w:rPr>
          <w:rFonts w:ascii="Arial" w:hAnsi="Arial" w:cs="Arial"/>
          <w:sz w:val="24"/>
          <w:szCs w:val="24"/>
        </w:rPr>
        <w:t>ould</w:t>
      </w:r>
      <w:r w:rsidR="00E84D37">
        <w:rPr>
          <w:rFonts w:ascii="Arial" w:hAnsi="Arial" w:cs="Arial"/>
          <w:sz w:val="24"/>
          <w:szCs w:val="24"/>
        </w:rPr>
        <w:t xml:space="preserve"> </w:t>
      </w:r>
      <w:r w:rsidR="00683252">
        <w:rPr>
          <w:rFonts w:ascii="Arial" w:hAnsi="Arial" w:cs="Arial"/>
          <w:sz w:val="24"/>
          <w:szCs w:val="24"/>
        </w:rPr>
        <w:t xml:space="preserve">have been </w:t>
      </w:r>
      <w:r w:rsidR="00E84D37">
        <w:rPr>
          <w:rFonts w:ascii="Arial" w:hAnsi="Arial" w:cs="Arial"/>
          <w:sz w:val="24"/>
          <w:szCs w:val="24"/>
        </w:rPr>
        <w:t xml:space="preserve">against the own policy of the Respondent </w:t>
      </w:r>
      <w:r w:rsidR="00456F57">
        <w:rPr>
          <w:rFonts w:ascii="Arial" w:hAnsi="Arial" w:cs="Arial"/>
          <w:sz w:val="24"/>
          <w:szCs w:val="24"/>
        </w:rPr>
        <w:t xml:space="preserve">to call </w:t>
      </w:r>
      <w:r w:rsidR="00E84D37">
        <w:rPr>
          <w:rFonts w:ascii="Arial" w:hAnsi="Arial" w:cs="Arial"/>
          <w:sz w:val="24"/>
          <w:szCs w:val="24"/>
        </w:rPr>
        <w:t>th</w:t>
      </w:r>
      <w:r w:rsidR="00456F57">
        <w:rPr>
          <w:rFonts w:ascii="Arial" w:hAnsi="Arial" w:cs="Arial"/>
          <w:sz w:val="24"/>
          <w:szCs w:val="24"/>
        </w:rPr>
        <w:t>at</w:t>
      </w:r>
      <w:r w:rsidR="00E84D37">
        <w:rPr>
          <w:rFonts w:ascii="Arial" w:hAnsi="Arial" w:cs="Arial"/>
          <w:sz w:val="24"/>
          <w:szCs w:val="24"/>
        </w:rPr>
        <w:t xml:space="preserve"> officer Acting Assistant Manager. </w:t>
      </w:r>
    </w:p>
    <w:p w14:paraId="45F89526" w14:textId="5A18D5F4" w:rsidR="00AA7F57" w:rsidRDefault="001C2C36" w:rsidP="00253AF6">
      <w:pPr>
        <w:jc w:val="both"/>
        <w:rPr>
          <w:rFonts w:ascii="Arial" w:hAnsi="Arial" w:cs="Arial"/>
          <w:sz w:val="24"/>
          <w:szCs w:val="24"/>
        </w:rPr>
      </w:pPr>
      <w:r>
        <w:rPr>
          <w:rFonts w:ascii="Arial" w:hAnsi="Arial" w:cs="Arial"/>
          <w:sz w:val="24"/>
          <w:szCs w:val="24"/>
        </w:rPr>
        <w:t xml:space="preserve">Mr Maudarbocus did not agree that it was unfair for the Respondent to create </w:t>
      </w:r>
      <w:r w:rsidR="00FB0B89">
        <w:rPr>
          <w:rFonts w:ascii="Arial" w:hAnsi="Arial" w:cs="Arial"/>
          <w:sz w:val="24"/>
          <w:szCs w:val="24"/>
        </w:rPr>
        <w:t xml:space="preserve">a </w:t>
      </w:r>
      <w:r>
        <w:rPr>
          <w:rFonts w:ascii="Arial" w:hAnsi="Arial" w:cs="Arial"/>
          <w:sz w:val="24"/>
          <w:szCs w:val="24"/>
        </w:rPr>
        <w:t>‘designated position’ and then for th</w:t>
      </w:r>
      <w:r w:rsidR="00FB0B89">
        <w:rPr>
          <w:rFonts w:ascii="Arial" w:hAnsi="Arial" w:cs="Arial"/>
          <w:sz w:val="24"/>
          <w:szCs w:val="24"/>
        </w:rPr>
        <w:t>at</w:t>
      </w:r>
      <w:r>
        <w:rPr>
          <w:rFonts w:ascii="Arial" w:hAnsi="Arial" w:cs="Arial"/>
          <w:sz w:val="24"/>
          <w:szCs w:val="24"/>
        </w:rPr>
        <w:t xml:space="preserve"> job</w:t>
      </w:r>
      <w:r w:rsidR="00FB0B89">
        <w:rPr>
          <w:rFonts w:ascii="Arial" w:hAnsi="Arial" w:cs="Arial"/>
          <w:sz w:val="24"/>
          <w:szCs w:val="24"/>
        </w:rPr>
        <w:t>,</w:t>
      </w:r>
      <w:r>
        <w:rPr>
          <w:rFonts w:ascii="Arial" w:hAnsi="Arial" w:cs="Arial"/>
          <w:sz w:val="24"/>
          <w:szCs w:val="24"/>
        </w:rPr>
        <w:t xml:space="preserve"> fail to give the employees their dues, that is, </w:t>
      </w:r>
      <w:r w:rsidR="00FB0B89">
        <w:rPr>
          <w:rFonts w:ascii="Arial" w:hAnsi="Arial" w:cs="Arial"/>
          <w:sz w:val="24"/>
          <w:szCs w:val="24"/>
        </w:rPr>
        <w:t xml:space="preserve">pay a </w:t>
      </w:r>
      <w:r>
        <w:rPr>
          <w:rFonts w:ascii="Arial" w:hAnsi="Arial" w:cs="Arial"/>
          <w:sz w:val="24"/>
          <w:szCs w:val="24"/>
        </w:rPr>
        <w:t xml:space="preserve">responsibility allowance.  He stated that </w:t>
      </w:r>
      <w:r w:rsidR="00415801">
        <w:rPr>
          <w:rFonts w:ascii="Arial" w:hAnsi="Arial" w:cs="Arial"/>
          <w:sz w:val="24"/>
          <w:szCs w:val="24"/>
        </w:rPr>
        <w:t>a</w:t>
      </w:r>
      <w:r>
        <w:rPr>
          <w:rFonts w:ascii="Arial" w:hAnsi="Arial" w:cs="Arial"/>
          <w:sz w:val="24"/>
          <w:szCs w:val="24"/>
        </w:rPr>
        <w:t xml:space="preserve"> </w:t>
      </w:r>
      <w:r w:rsidR="00415801">
        <w:rPr>
          <w:rFonts w:ascii="Arial" w:hAnsi="Arial" w:cs="Arial"/>
          <w:sz w:val="24"/>
          <w:szCs w:val="24"/>
        </w:rPr>
        <w:t xml:space="preserve">post will be a designated position where there are specific duties which are not in relation to the organisational structure of the Respondent.  </w:t>
      </w:r>
      <w:r w:rsidR="00082CB1">
        <w:rPr>
          <w:rFonts w:ascii="Arial" w:hAnsi="Arial" w:cs="Arial"/>
          <w:sz w:val="24"/>
          <w:szCs w:val="24"/>
        </w:rPr>
        <w:t xml:space="preserve">However, he added that when the project was finalized, the Board was agreeable to create the post of Head of Pre-Vocational.  With the new reform in the education sector, the project was no longer to be there and thus the Board did not go ahead with that post.  </w:t>
      </w:r>
      <w:r w:rsidR="00F54152">
        <w:rPr>
          <w:rFonts w:ascii="Arial" w:hAnsi="Arial" w:cs="Arial"/>
          <w:sz w:val="24"/>
          <w:szCs w:val="24"/>
        </w:rPr>
        <w:t xml:space="preserve">He also produced a copy of a letter dated 7 December 2017 emanating from the Financial Secretary (Doc Q).  </w:t>
      </w:r>
      <w:r w:rsidR="0040214A">
        <w:rPr>
          <w:rFonts w:ascii="Arial" w:hAnsi="Arial" w:cs="Arial"/>
          <w:sz w:val="24"/>
          <w:szCs w:val="24"/>
        </w:rPr>
        <w:t xml:space="preserve">In re-examination, he </w:t>
      </w:r>
      <w:r w:rsidR="008C1203">
        <w:rPr>
          <w:rFonts w:ascii="Arial" w:hAnsi="Arial" w:cs="Arial"/>
          <w:sz w:val="24"/>
          <w:szCs w:val="24"/>
        </w:rPr>
        <w:t>stated</w:t>
      </w:r>
      <w:r w:rsidR="0040214A">
        <w:rPr>
          <w:rFonts w:ascii="Arial" w:hAnsi="Arial" w:cs="Arial"/>
          <w:sz w:val="24"/>
          <w:szCs w:val="24"/>
        </w:rPr>
        <w:t xml:space="preserve"> that Disputant No </w:t>
      </w:r>
      <w:r w:rsidR="00085AD3">
        <w:rPr>
          <w:rFonts w:ascii="Arial" w:hAnsi="Arial" w:cs="Arial"/>
          <w:sz w:val="24"/>
          <w:szCs w:val="24"/>
        </w:rPr>
        <w:t>3 was assigned duties of Officer</w:t>
      </w:r>
      <w:r w:rsidR="00FB0B89">
        <w:rPr>
          <w:rFonts w:ascii="Arial" w:hAnsi="Arial" w:cs="Arial"/>
          <w:sz w:val="24"/>
          <w:szCs w:val="24"/>
        </w:rPr>
        <w:t xml:space="preserve"> </w:t>
      </w:r>
      <w:r w:rsidR="00085AD3">
        <w:rPr>
          <w:rFonts w:ascii="Arial" w:hAnsi="Arial" w:cs="Arial"/>
          <w:sz w:val="24"/>
          <w:szCs w:val="24"/>
        </w:rPr>
        <w:t>in</w:t>
      </w:r>
      <w:r w:rsidR="00FB0B89">
        <w:rPr>
          <w:rFonts w:ascii="Arial" w:hAnsi="Arial" w:cs="Arial"/>
          <w:sz w:val="24"/>
          <w:szCs w:val="24"/>
        </w:rPr>
        <w:t xml:space="preserve"> </w:t>
      </w:r>
      <w:r w:rsidR="00085AD3">
        <w:rPr>
          <w:rFonts w:ascii="Arial" w:hAnsi="Arial" w:cs="Arial"/>
          <w:sz w:val="24"/>
          <w:szCs w:val="24"/>
        </w:rPr>
        <w:t xml:space="preserve">Charge for ‘pre-voc’ for a period of nearly six months but he could not say what happened after that period.  He stated that the letter of offer is the contract between the parties and everything is spelt out in the letter of offer.  </w:t>
      </w:r>
    </w:p>
    <w:p w14:paraId="6C7EAE71" w14:textId="6A380389" w:rsidR="00197F84" w:rsidRDefault="00AA7F57" w:rsidP="00253AF6">
      <w:pPr>
        <w:jc w:val="both"/>
        <w:rPr>
          <w:rFonts w:ascii="Arial" w:hAnsi="Arial" w:cs="Arial"/>
          <w:sz w:val="24"/>
          <w:szCs w:val="24"/>
        </w:rPr>
      </w:pPr>
      <w:r>
        <w:rPr>
          <w:rFonts w:ascii="Arial" w:hAnsi="Arial" w:cs="Arial"/>
          <w:sz w:val="24"/>
          <w:szCs w:val="24"/>
        </w:rPr>
        <w:t xml:space="preserve">The representative of Co-Respondent No 1 deponed before the Tribunal and she stated that </w:t>
      </w:r>
      <w:r w:rsidR="00907096">
        <w:rPr>
          <w:rFonts w:ascii="Arial" w:hAnsi="Arial" w:cs="Arial"/>
          <w:sz w:val="24"/>
          <w:szCs w:val="24"/>
        </w:rPr>
        <w:t>Co-Respondent No</w:t>
      </w:r>
      <w:r w:rsidR="00390C7F">
        <w:rPr>
          <w:rFonts w:ascii="Arial" w:hAnsi="Arial" w:cs="Arial"/>
          <w:sz w:val="24"/>
          <w:szCs w:val="24"/>
        </w:rPr>
        <w:t xml:space="preserve"> </w:t>
      </w:r>
      <w:r w:rsidR="00907096">
        <w:rPr>
          <w:rFonts w:ascii="Arial" w:hAnsi="Arial" w:cs="Arial"/>
          <w:sz w:val="24"/>
          <w:szCs w:val="24"/>
        </w:rPr>
        <w:t>1 addressed a letter to the Financial Secretary and the latter then gave an advice which is dated 7 December 2017.  She confirmed that Doc</w:t>
      </w:r>
      <w:r w:rsidR="0040214A">
        <w:rPr>
          <w:rFonts w:ascii="Arial" w:hAnsi="Arial" w:cs="Arial"/>
          <w:sz w:val="24"/>
          <w:szCs w:val="24"/>
        </w:rPr>
        <w:t xml:space="preserve"> </w:t>
      </w:r>
      <w:r w:rsidR="00907096">
        <w:rPr>
          <w:rFonts w:ascii="Arial" w:hAnsi="Arial" w:cs="Arial"/>
          <w:sz w:val="24"/>
          <w:szCs w:val="24"/>
        </w:rPr>
        <w:t xml:space="preserve">Q was the letter received from the Financial Secretary.  </w:t>
      </w:r>
      <w:r w:rsidR="00F54152">
        <w:rPr>
          <w:rFonts w:ascii="Arial" w:hAnsi="Arial" w:cs="Arial"/>
          <w:sz w:val="24"/>
          <w:szCs w:val="24"/>
        </w:rPr>
        <w:t xml:space="preserve">She was questioned in relation to the initial letter dated 27 October 2017 emanating from Co-Respondent No 1 and which </w:t>
      </w:r>
      <w:r w:rsidR="00FB0B89">
        <w:rPr>
          <w:rFonts w:ascii="Arial" w:hAnsi="Arial" w:cs="Arial"/>
          <w:sz w:val="24"/>
          <w:szCs w:val="24"/>
        </w:rPr>
        <w:t>led to the reply in the form of</w:t>
      </w:r>
      <w:r w:rsidR="00F54152">
        <w:rPr>
          <w:rFonts w:ascii="Arial" w:hAnsi="Arial" w:cs="Arial"/>
          <w:sz w:val="24"/>
          <w:szCs w:val="24"/>
        </w:rPr>
        <w:t xml:space="preserve"> Doc Q.  </w:t>
      </w:r>
      <w:r w:rsidR="00124C76">
        <w:rPr>
          <w:rFonts w:ascii="Arial" w:hAnsi="Arial" w:cs="Arial"/>
          <w:sz w:val="24"/>
          <w:szCs w:val="24"/>
        </w:rPr>
        <w:t>She also produced (at another sitting) a copy of a letter (Doc S) emanating from her Ministry.</w:t>
      </w:r>
    </w:p>
    <w:p w14:paraId="52F70482" w14:textId="1F7D90D0" w:rsidR="00124C76" w:rsidRDefault="00124C76" w:rsidP="00253AF6">
      <w:pPr>
        <w:jc w:val="both"/>
        <w:rPr>
          <w:rFonts w:ascii="Arial" w:hAnsi="Arial" w:cs="Arial"/>
          <w:sz w:val="24"/>
          <w:szCs w:val="24"/>
        </w:rPr>
      </w:pPr>
      <w:r>
        <w:rPr>
          <w:rFonts w:ascii="Arial" w:hAnsi="Arial" w:cs="Arial"/>
          <w:sz w:val="24"/>
          <w:szCs w:val="24"/>
        </w:rPr>
        <w:t xml:space="preserve">In cross-examination, she agreed that in the present matter, pension contributions were being paid </w:t>
      </w:r>
      <w:r w:rsidR="00867D96">
        <w:rPr>
          <w:rFonts w:ascii="Arial" w:hAnsi="Arial" w:cs="Arial"/>
          <w:sz w:val="24"/>
          <w:szCs w:val="24"/>
        </w:rPr>
        <w:t xml:space="preserve">both </w:t>
      </w:r>
      <w:r>
        <w:rPr>
          <w:rFonts w:ascii="Arial" w:hAnsi="Arial" w:cs="Arial"/>
          <w:sz w:val="24"/>
          <w:szCs w:val="24"/>
        </w:rPr>
        <w:t xml:space="preserve">by the employees and the Respondent to Co-Respondent No 4.  The contributions have been paid since 2004 until 2013.  The Respondent used the 2013 PRB Report to stop the above payments.  The representative stated that the post was not an </w:t>
      </w:r>
      <w:r>
        <w:rPr>
          <w:rFonts w:ascii="Arial" w:hAnsi="Arial" w:cs="Arial"/>
          <w:sz w:val="24"/>
          <w:szCs w:val="24"/>
        </w:rPr>
        <w:lastRenderedPageBreak/>
        <w:t>established post but only a designated post.  She stated that a designated post is a post which does not appear in the PRB report and to which there is no salary attached.</w:t>
      </w:r>
      <w:r w:rsidR="00390C7F">
        <w:rPr>
          <w:rFonts w:ascii="Arial" w:hAnsi="Arial" w:cs="Arial"/>
          <w:sz w:val="24"/>
          <w:szCs w:val="24"/>
        </w:rPr>
        <w:t xml:space="preserve">  The representative of Co-Respondent No 1</w:t>
      </w:r>
      <w:r w:rsidR="003E71A1">
        <w:rPr>
          <w:rFonts w:ascii="Arial" w:hAnsi="Arial" w:cs="Arial"/>
          <w:sz w:val="24"/>
          <w:szCs w:val="24"/>
        </w:rPr>
        <w:t xml:space="preserve"> </w:t>
      </w:r>
      <w:r w:rsidR="00390C7F">
        <w:rPr>
          <w:rFonts w:ascii="Arial" w:hAnsi="Arial" w:cs="Arial"/>
          <w:sz w:val="24"/>
          <w:szCs w:val="24"/>
        </w:rPr>
        <w:t xml:space="preserve">was referred to a paragraph from </w:t>
      </w:r>
      <w:r w:rsidR="008C1203">
        <w:rPr>
          <w:rFonts w:ascii="Arial" w:hAnsi="Arial" w:cs="Arial"/>
          <w:sz w:val="24"/>
          <w:szCs w:val="24"/>
        </w:rPr>
        <w:t>a brief on the matter from her Ministry</w:t>
      </w:r>
      <w:r w:rsidR="00390C7F">
        <w:rPr>
          <w:rFonts w:ascii="Arial" w:hAnsi="Arial" w:cs="Arial"/>
          <w:sz w:val="24"/>
          <w:szCs w:val="24"/>
        </w:rPr>
        <w:t xml:space="preserve"> (Doc</w:t>
      </w:r>
      <w:r w:rsidR="003E71A1">
        <w:rPr>
          <w:rFonts w:ascii="Arial" w:hAnsi="Arial" w:cs="Arial"/>
          <w:sz w:val="24"/>
          <w:szCs w:val="24"/>
        </w:rPr>
        <w:t xml:space="preserve"> </w:t>
      </w:r>
      <w:r w:rsidR="005B51C7">
        <w:rPr>
          <w:rFonts w:ascii="Arial" w:hAnsi="Arial" w:cs="Arial"/>
          <w:sz w:val="24"/>
          <w:szCs w:val="24"/>
        </w:rPr>
        <w:t>S)</w:t>
      </w:r>
      <w:r w:rsidR="00390C7F">
        <w:rPr>
          <w:rFonts w:ascii="Arial" w:hAnsi="Arial" w:cs="Arial"/>
          <w:sz w:val="24"/>
          <w:szCs w:val="24"/>
        </w:rPr>
        <w:t xml:space="preserve"> and she stated that the paragraph emanated from the Respondent and was </w:t>
      </w:r>
      <w:r w:rsidR="005B51C7">
        <w:rPr>
          <w:rFonts w:ascii="Arial" w:hAnsi="Arial" w:cs="Arial"/>
          <w:sz w:val="24"/>
          <w:szCs w:val="24"/>
        </w:rPr>
        <w:t xml:space="preserve">merely </w:t>
      </w:r>
      <w:r w:rsidR="00390C7F">
        <w:rPr>
          <w:rFonts w:ascii="Arial" w:hAnsi="Arial" w:cs="Arial"/>
          <w:sz w:val="24"/>
          <w:szCs w:val="24"/>
        </w:rPr>
        <w:t>reproduced by her Ministry.</w:t>
      </w:r>
      <w:r w:rsidR="000446C4">
        <w:rPr>
          <w:rFonts w:ascii="Arial" w:hAnsi="Arial" w:cs="Arial"/>
          <w:sz w:val="24"/>
          <w:szCs w:val="24"/>
        </w:rPr>
        <w:t xml:space="preserve">  Following cross-examination by counsel for Respondent, she stated that the </w:t>
      </w:r>
      <w:r w:rsidR="00DF4C47">
        <w:rPr>
          <w:rFonts w:ascii="Arial" w:hAnsi="Arial" w:cs="Arial"/>
          <w:sz w:val="24"/>
          <w:szCs w:val="24"/>
        </w:rPr>
        <w:t xml:space="preserve">position of Co-Respondent No 1 is that the allowance was paid to the disputants </w:t>
      </w:r>
      <w:r w:rsidR="00DF4C47" w:rsidRPr="005B51C7">
        <w:rPr>
          <w:rFonts w:ascii="Arial" w:hAnsi="Arial" w:cs="Arial"/>
          <w:i/>
          <w:sz w:val="24"/>
          <w:szCs w:val="24"/>
        </w:rPr>
        <w:t>vice</w:t>
      </w:r>
      <w:r w:rsidR="00DF4C47">
        <w:rPr>
          <w:rFonts w:ascii="Arial" w:hAnsi="Arial" w:cs="Arial"/>
          <w:sz w:val="24"/>
          <w:szCs w:val="24"/>
        </w:rPr>
        <w:t xml:space="preserve"> a designated position and that therefore </w:t>
      </w:r>
      <w:r w:rsidR="005B51C7">
        <w:rPr>
          <w:rFonts w:ascii="Arial" w:hAnsi="Arial" w:cs="Arial"/>
          <w:sz w:val="24"/>
          <w:szCs w:val="24"/>
        </w:rPr>
        <w:t xml:space="preserve">it </w:t>
      </w:r>
      <w:r w:rsidR="00DF4C47">
        <w:rPr>
          <w:rFonts w:ascii="Arial" w:hAnsi="Arial" w:cs="Arial"/>
          <w:sz w:val="24"/>
          <w:szCs w:val="24"/>
        </w:rPr>
        <w:t xml:space="preserve">cannot be reckoned for pension purposes.  </w:t>
      </w:r>
      <w:r w:rsidR="00654D9A">
        <w:rPr>
          <w:rFonts w:ascii="Arial" w:hAnsi="Arial" w:cs="Arial"/>
          <w:sz w:val="24"/>
          <w:szCs w:val="24"/>
        </w:rPr>
        <w:t xml:space="preserve">She stated that with the introduction of the nine years continuous basic education, the pre-vocational stream will be phased out by the year 2020.  She </w:t>
      </w:r>
      <w:r w:rsidR="009D4163">
        <w:rPr>
          <w:rFonts w:ascii="Arial" w:hAnsi="Arial" w:cs="Arial"/>
          <w:sz w:val="24"/>
          <w:szCs w:val="24"/>
        </w:rPr>
        <w:t xml:space="preserve">stated </w:t>
      </w:r>
      <w:r w:rsidR="00654D9A">
        <w:rPr>
          <w:rFonts w:ascii="Arial" w:hAnsi="Arial" w:cs="Arial"/>
          <w:sz w:val="24"/>
          <w:szCs w:val="24"/>
        </w:rPr>
        <w:t xml:space="preserve">that </w:t>
      </w:r>
      <w:r w:rsidR="00784AE2">
        <w:rPr>
          <w:rFonts w:ascii="Arial" w:hAnsi="Arial" w:cs="Arial"/>
          <w:sz w:val="24"/>
          <w:szCs w:val="24"/>
        </w:rPr>
        <w:t>Disputants Nos 2 and 7 were assigned responsibilities as Officer in Charge only as from January 2014.</w:t>
      </w:r>
      <w:r w:rsidR="00654D9A">
        <w:rPr>
          <w:rFonts w:ascii="Arial" w:hAnsi="Arial" w:cs="Arial"/>
          <w:sz w:val="24"/>
          <w:szCs w:val="24"/>
        </w:rPr>
        <w:t xml:space="preserve">  </w:t>
      </w:r>
      <w:r w:rsidR="00DF4C47">
        <w:rPr>
          <w:rFonts w:ascii="Arial" w:hAnsi="Arial" w:cs="Arial"/>
          <w:sz w:val="24"/>
          <w:szCs w:val="24"/>
        </w:rPr>
        <w:t xml:space="preserve">  </w:t>
      </w:r>
    </w:p>
    <w:p w14:paraId="62BFDBEB" w14:textId="5CAFAB66" w:rsidR="00EE1E72" w:rsidRDefault="00197F84" w:rsidP="00253AF6">
      <w:pPr>
        <w:jc w:val="both"/>
        <w:rPr>
          <w:rFonts w:ascii="Arial" w:hAnsi="Arial" w:cs="Arial"/>
          <w:sz w:val="24"/>
          <w:szCs w:val="24"/>
        </w:rPr>
      </w:pPr>
      <w:r>
        <w:rPr>
          <w:rFonts w:ascii="Arial" w:hAnsi="Arial" w:cs="Arial"/>
          <w:sz w:val="24"/>
          <w:szCs w:val="24"/>
        </w:rPr>
        <w:t xml:space="preserve">The representative of Co-Respondent No </w:t>
      </w:r>
      <w:r w:rsidR="00E16FD8">
        <w:rPr>
          <w:rFonts w:ascii="Arial" w:hAnsi="Arial" w:cs="Arial"/>
          <w:sz w:val="24"/>
          <w:szCs w:val="24"/>
        </w:rPr>
        <w:t xml:space="preserve">2 also deponed before the Tribunal and she stated that </w:t>
      </w:r>
      <w:r w:rsidR="001755AA">
        <w:rPr>
          <w:rFonts w:ascii="Arial" w:hAnsi="Arial" w:cs="Arial"/>
          <w:sz w:val="24"/>
          <w:szCs w:val="24"/>
        </w:rPr>
        <w:t>they were asked by the Financial Secretary to give their advice on whether the allowance paid for shouldering the responsibilities of Officer</w:t>
      </w:r>
      <w:r w:rsidR="00DD0EDA">
        <w:rPr>
          <w:rFonts w:ascii="Arial" w:hAnsi="Arial" w:cs="Arial"/>
          <w:sz w:val="24"/>
          <w:szCs w:val="24"/>
        </w:rPr>
        <w:t xml:space="preserve"> </w:t>
      </w:r>
      <w:r w:rsidR="001755AA">
        <w:rPr>
          <w:rFonts w:ascii="Arial" w:hAnsi="Arial" w:cs="Arial"/>
          <w:sz w:val="24"/>
          <w:szCs w:val="24"/>
        </w:rPr>
        <w:t>in</w:t>
      </w:r>
      <w:r w:rsidR="00DD0EDA">
        <w:rPr>
          <w:rFonts w:ascii="Arial" w:hAnsi="Arial" w:cs="Arial"/>
          <w:sz w:val="24"/>
          <w:szCs w:val="24"/>
        </w:rPr>
        <w:t xml:space="preserve"> </w:t>
      </w:r>
      <w:r w:rsidR="001755AA">
        <w:rPr>
          <w:rFonts w:ascii="Arial" w:hAnsi="Arial" w:cs="Arial"/>
          <w:sz w:val="24"/>
          <w:szCs w:val="24"/>
        </w:rPr>
        <w:t xml:space="preserve">Charge should be reckoned for pension purposes.  Their advice was that this cannot be recommended and she produced a certified copy of the </w:t>
      </w:r>
      <w:r w:rsidR="00524266">
        <w:rPr>
          <w:rFonts w:ascii="Arial" w:hAnsi="Arial" w:cs="Arial"/>
          <w:sz w:val="24"/>
          <w:szCs w:val="24"/>
        </w:rPr>
        <w:t xml:space="preserve">advice (Doc R).  She referred to conditions mentioned in the 2016 PRB Report for pensionable emoluments when someone is shouldering higher responsibilities.  According to Co-Respondent No 2, these conditions were not met in the present case.  </w:t>
      </w:r>
      <w:r w:rsidR="00784AE2">
        <w:rPr>
          <w:rFonts w:ascii="Arial" w:hAnsi="Arial" w:cs="Arial"/>
          <w:sz w:val="24"/>
          <w:szCs w:val="24"/>
        </w:rPr>
        <w:t xml:space="preserve">She also produced a copy of </w:t>
      </w:r>
      <w:r w:rsidR="00851896">
        <w:rPr>
          <w:rFonts w:ascii="Arial" w:hAnsi="Arial" w:cs="Arial"/>
          <w:sz w:val="24"/>
          <w:szCs w:val="24"/>
        </w:rPr>
        <w:t>a</w:t>
      </w:r>
      <w:r w:rsidR="00784AE2">
        <w:rPr>
          <w:rFonts w:ascii="Arial" w:hAnsi="Arial" w:cs="Arial"/>
          <w:sz w:val="24"/>
          <w:szCs w:val="24"/>
        </w:rPr>
        <w:t xml:space="preserve"> letter whereby the views of Co-Respondent No 2 were sought (Doc T).  </w:t>
      </w:r>
    </w:p>
    <w:p w14:paraId="0A6F5ECD" w14:textId="5CB6A384" w:rsidR="00811B53" w:rsidRDefault="00EE1E72" w:rsidP="00253AF6">
      <w:pPr>
        <w:jc w:val="both"/>
        <w:rPr>
          <w:rFonts w:ascii="Arial" w:hAnsi="Arial" w:cs="Arial"/>
          <w:sz w:val="24"/>
          <w:szCs w:val="24"/>
        </w:rPr>
      </w:pPr>
      <w:r>
        <w:rPr>
          <w:rFonts w:ascii="Arial" w:hAnsi="Arial" w:cs="Arial"/>
          <w:sz w:val="24"/>
          <w:szCs w:val="24"/>
        </w:rPr>
        <w:t xml:space="preserve">In cross-examination, </w:t>
      </w:r>
      <w:r w:rsidR="00DD0EDA">
        <w:rPr>
          <w:rFonts w:ascii="Arial" w:hAnsi="Arial" w:cs="Arial"/>
          <w:sz w:val="24"/>
          <w:szCs w:val="24"/>
        </w:rPr>
        <w:t>t</w:t>
      </w:r>
      <w:r>
        <w:rPr>
          <w:rFonts w:ascii="Arial" w:hAnsi="Arial" w:cs="Arial"/>
          <w:sz w:val="24"/>
          <w:szCs w:val="24"/>
        </w:rPr>
        <w:t xml:space="preserve">he </w:t>
      </w:r>
      <w:r w:rsidR="00DD0EDA">
        <w:rPr>
          <w:rFonts w:ascii="Arial" w:hAnsi="Arial" w:cs="Arial"/>
          <w:sz w:val="24"/>
          <w:szCs w:val="24"/>
        </w:rPr>
        <w:t>representative of Co-Respondent No 2 s</w:t>
      </w:r>
      <w:r w:rsidR="00686D1F">
        <w:rPr>
          <w:rFonts w:ascii="Arial" w:hAnsi="Arial" w:cs="Arial"/>
          <w:sz w:val="24"/>
          <w:szCs w:val="24"/>
        </w:rPr>
        <w:t xml:space="preserve">tated that a designated position is a position which is listed for administrative purpose to give someone an additional responsibility or to take charge of some responsibilities.  </w:t>
      </w:r>
      <w:r w:rsidR="00B526C4">
        <w:rPr>
          <w:rFonts w:ascii="Arial" w:hAnsi="Arial" w:cs="Arial"/>
          <w:sz w:val="24"/>
          <w:szCs w:val="24"/>
        </w:rPr>
        <w:t xml:space="preserve">According to her, the top management of a Ministry or of an institution can designate someone to take higher responsibilities.  </w:t>
      </w:r>
      <w:r w:rsidR="00B41796">
        <w:rPr>
          <w:rFonts w:ascii="Arial" w:hAnsi="Arial" w:cs="Arial"/>
          <w:sz w:val="24"/>
          <w:szCs w:val="24"/>
        </w:rPr>
        <w:t>She stated that the allowance cannot be accounted as pensionable since there was no established post</w:t>
      </w:r>
      <w:r w:rsidR="008C1203">
        <w:rPr>
          <w:rFonts w:ascii="Arial" w:hAnsi="Arial" w:cs="Arial"/>
          <w:sz w:val="24"/>
          <w:szCs w:val="24"/>
        </w:rPr>
        <w:t xml:space="preserve"> and it </w:t>
      </w:r>
      <w:r w:rsidR="00B41796">
        <w:rPr>
          <w:rFonts w:ascii="Arial" w:hAnsi="Arial" w:cs="Arial"/>
          <w:sz w:val="24"/>
          <w:szCs w:val="24"/>
        </w:rPr>
        <w:t>was an adhoc allowance.  She stated that, in principle, an adhoc allowance is for a limited period of time even though she added that this will depend on a case-to-case basis.</w:t>
      </w:r>
      <w:r w:rsidR="00B526C4">
        <w:rPr>
          <w:rFonts w:ascii="Arial" w:hAnsi="Arial" w:cs="Arial"/>
          <w:sz w:val="24"/>
          <w:szCs w:val="24"/>
        </w:rPr>
        <w:t xml:space="preserve"> </w:t>
      </w:r>
      <w:r w:rsidR="005F0B8B">
        <w:rPr>
          <w:rFonts w:ascii="Arial" w:hAnsi="Arial" w:cs="Arial"/>
          <w:sz w:val="24"/>
          <w:szCs w:val="24"/>
        </w:rPr>
        <w:t xml:space="preserve">  </w:t>
      </w:r>
      <w:r w:rsidR="00171654">
        <w:rPr>
          <w:rFonts w:ascii="Arial" w:hAnsi="Arial" w:cs="Arial"/>
          <w:sz w:val="24"/>
          <w:szCs w:val="24"/>
        </w:rPr>
        <w:t>She stated that</w:t>
      </w:r>
      <w:r w:rsidR="005F0B8B">
        <w:rPr>
          <w:rFonts w:ascii="Arial" w:hAnsi="Arial" w:cs="Arial"/>
          <w:sz w:val="24"/>
          <w:szCs w:val="24"/>
        </w:rPr>
        <w:t xml:space="preserve"> </w:t>
      </w:r>
      <w:r w:rsidR="00171654">
        <w:rPr>
          <w:rFonts w:ascii="Arial" w:hAnsi="Arial" w:cs="Arial"/>
          <w:sz w:val="24"/>
          <w:szCs w:val="24"/>
        </w:rPr>
        <w:t xml:space="preserve">the disputants have been given additional duties but that assignment of duties requires the approval of the </w:t>
      </w:r>
      <w:r w:rsidR="00DD0EDA">
        <w:rPr>
          <w:rFonts w:ascii="Arial" w:hAnsi="Arial" w:cs="Arial"/>
          <w:sz w:val="24"/>
          <w:szCs w:val="24"/>
        </w:rPr>
        <w:t>relevant S</w:t>
      </w:r>
      <w:r w:rsidR="00171654">
        <w:rPr>
          <w:rFonts w:ascii="Arial" w:hAnsi="Arial" w:cs="Arial"/>
          <w:sz w:val="24"/>
          <w:szCs w:val="24"/>
        </w:rPr>
        <w:t xml:space="preserve">ervice </w:t>
      </w:r>
      <w:r w:rsidR="00DD0EDA">
        <w:rPr>
          <w:rFonts w:ascii="Arial" w:hAnsi="Arial" w:cs="Arial"/>
          <w:sz w:val="24"/>
          <w:szCs w:val="24"/>
        </w:rPr>
        <w:t>C</w:t>
      </w:r>
      <w:r w:rsidR="00171654">
        <w:rPr>
          <w:rFonts w:ascii="Arial" w:hAnsi="Arial" w:cs="Arial"/>
          <w:sz w:val="24"/>
          <w:szCs w:val="24"/>
        </w:rPr>
        <w:t xml:space="preserve">ommission or is done under delegated power from the </w:t>
      </w:r>
      <w:r w:rsidR="00DD0EDA">
        <w:rPr>
          <w:rFonts w:ascii="Arial" w:hAnsi="Arial" w:cs="Arial"/>
          <w:sz w:val="24"/>
          <w:szCs w:val="24"/>
        </w:rPr>
        <w:t>said S</w:t>
      </w:r>
      <w:r w:rsidR="00171654">
        <w:rPr>
          <w:rFonts w:ascii="Arial" w:hAnsi="Arial" w:cs="Arial"/>
          <w:sz w:val="24"/>
          <w:szCs w:val="24"/>
        </w:rPr>
        <w:t xml:space="preserve">ervice </w:t>
      </w:r>
      <w:r w:rsidR="00DD0EDA">
        <w:rPr>
          <w:rFonts w:ascii="Arial" w:hAnsi="Arial" w:cs="Arial"/>
          <w:sz w:val="24"/>
          <w:szCs w:val="24"/>
        </w:rPr>
        <w:t>C</w:t>
      </w:r>
      <w:r w:rsidR="00171654">
        <w:rPr>
          <w:rFonts w:ascii="Arial" w:hAnsi="Arial" w:cs="Arial"/>
          <w:sz w:val="24"/>
          <w:szCs w:val="24"/>
        </w:rPr>
        <w:t xml:space="preserve">ommission.  She then conceded that as per documents produced and referred to her, the disputants </w:t>
      </w:r>
      <w:r w:rsidR="00BA2E76">
        <w:rPr>
          <w:rFonts w:ascii="Arial" w:hAnsi="Arial" w:cs="Arial"/>
          <w:sz w:val="24"/>
          <w:szCs w:val="24"/>
        </w:rPr>
        <w:t>were</w:t>
      </w:r>
      <w:r w:rsidR="00171654">
        <w:rPr>
          <w:rFonts w:ascii="Arial" w:hAnsi="Arial" w:cs="Arial"/>
          <w:sz w:val="24"/>
          <w:szCs w:val="24"/>
        </w:rPr>
        <w:t xml:space="preserve"> assigned the duties of </w:t>
      </w:r>
      <w:r w:rsidR="00BE5BA0">
        <w:rPr>
          <w:rFonts w:ascii="Arial" w:hAnsi="Arial" w:cs="Arial"/>
          <w:sz w:val="24"/>
          <w:szCs w:val="24"/>
        </w:rPr>
        <w:t>‘</w:t>
      </w:r>
      <w:r w:rsidR="00171654">
        <w:rPr>
          <w:rFonts w:ascii="Arial" w:hAnsi="Arial" w:cs="Arial"/>
          <w:sz w:val="24"/>
          <w:szCs w:val="24"/>
        </w:rPr>
        <w:t>Officer in Charge</w:t>
      </w:r>
      <w:r w:rsidR="00BE5BA0">
        <w:rPr>
          <w:rFonts w:ascii="Arial" w:hAnsi="Arial" w:cs="Arial"/>
          <w:sz w:val="24"/>
          <w:szCs w:val="24"/>
        </w:rPr>
        <w:t>’</w:t>
      </w:r>
      <w:r w:rsidR="00171654">
        <w:rPr>
          <w:rFonts w:ascii="Arial" w:hAnsi="Arial" w:cs="Arial"/>
          <w:sz w:val="24"/>
          <w:szCs w:val="24"/>
        </w:rPr>
        <w:t xml:space="preserve">.  She agreed that since </w:t>
      </w:r>
      <w:r w:rsidR="002A64F1">
        <w:rPr>
          <w:rFonts w:ascii="Arial" w:hAnsi="Arial" w:cs="Arial"/>
          <w:sz w:val="24"/>
          <w:szCs w:val="24"/>
        </w:rPr>
        <w:t>disputants</w:t>
      </w:r>
      <w:r w:rsidR="00171654">
        <w:rPr>
          <w:rFonts w:ascii="Arial" w:hAnsi="Arial" w:cs="Arial"/>
          <w:sz w:val="24"/>
          <w:szCs w:val="24"/>
        </w:rPr>
        <w:t xml:space="preserve"> were given three increments</w:t>
      </w:r>
      <w:r w:rsidR="00DD0EDA">
        <w:rPr>
          <w:rFonts w:ascii="Arial" w:hAnsi="Arial" w:cs="Arial"/>
          <w:sz w:val="24"/>
          <w:szCs w:val="24"/>
        </w:rPr>
        <w:t>’</w:t>
      </w:r>
      <w:r w:rsidR="00171654">
        <w:rPr>
          <w:rFonts w:ascii="Arial" w:hAnsi="Arial" w:cs="Arial"/>
          <w:sz w:val="24"/>
          <w:szCs w:val="24"/>
        </w:rPr>
        <w:t xml:space="preserve"> worth allowance </w:t>
      </w:r>
      <w:r w:rsidR="002A64F1">
        <w:rPr>
          <w:rFonts w:ascii="Arial" w:hAnsi="Arial" w:cs="Arial"/>
          <w:sz w:val="24"/>
          <w:szCs w:val="24"/>
        </w:rPr>
        <w:t xml:space="preserve">over and above the salary of their substantive post, there was an increase in responsibilities for them.  </w:t>
      </w:r>
      <w:r w:rsidR="00746A9D">
        <w:rPr>
          <w:rFonts w:ascii="Arial" w:hAnsi="Arial" w:cs="Arial"/>
          <w:sz w:val="24"/>
          <w:szCs w:val="24"/>
        </w:rPr>
        <w:t xml:space="preserve">She however stated that </w:t>
      </w:r>
      <w:r w:rsidR="00F13D99">
        <w:rPr>
          <w:rFonts w:ascii="Arial" w:hAnsi="Arial" w:cs="Arial"/>
          <w:sz w:val="24"/>
          <w:szCs w:val="24"/>
        </w:rPr>
        <w:t>the issue was that Of</w:t>
      </w:r>
      <w:r w:rsidR="00DD0EDA">
        <w:rPr>
          <w:rFonts w:ascii="Arial" w:hAnsi="Arial" w:cs="Arial"/>
          <w:sz w:val="24"/>
          <w:szCs w:val="24"/>
        </w:rPr>
        <w:t>ficer in Charge</w:t>
      </w:r>
      <w:r w:rsidR="00746A9D">
        <w:rPr>
          <w:rFonts w:ascii="Arial" w:hAnsi="Arial" w:cs="Arial"/>
          <w:sz w:val="24"/>
          <w:szCs w:val="24"/>
        </w:rPr>
        <w:t xml:space="preserve"> was not on the structure of the Respondent.  She accepted that her Ministry did not </w:t>
      </w:r>
      <w:r w:rsidR="00811B53">
        <w:rPr>
          <w:rFonts w:ascii="Arial" w:hAnsi="Arial" w:cs="Arial"/>
          <w:sz w:val="24"/>
          <w:szCs w:val="24"/>
        </w:rPr>
        <w:t>consider</w:t>
      </w:r>
      <w:r w:rsidR="00746A9D">
        <w:rPr>
          <w:rFonts w:ascii="Arial" w:hAnsi="Arial" w:cs="Arial"/>
          <w:sz w:val="24"/>
          <w:szCs w:val="24"/>
        </w:rPr>
        <w:t xml:space="preserve"> the </w:t>
      </w:r>
      <w:r w:rsidR="00811B53">
        <w:rPr>
          <w:rFonts w:ascii="Arial" w:hAnsi="Arial" w:cs="Arial"/>
          <w:sz w:val="24"/>
          <w:szCs w:val="24"/>
        </w:rPr>
        <w:t xml:space="preserve">letters of </w:t>
      </w:r>
      <w:r w:rsidR="00746A9D">
        <w:rPr>
          <w:rFonts w:ascii="Arial" w:hAnsi="Arial" w:cs="Arial"/>
          <w:sz w:val="24"/>
          <w:szCs w:val="24"/>
        </w:rPr>
        <w:t xml:space="preserve">assignment of duties </w:t>
      </w:r>
      <w:r w:rsidR="00811B53">
        <w:rPr>
          <w:rFonts w:ascii="Arial" w:hAnsi="Arial" w:cs="Arial"/>
          <w:sz w:val="24"/>
          <w:szCs w:val="24"/>
        </w:rPr>
        <w:t xml:space="preserve">before giving the advice in relation to whether the allowances paid were pensionable. </w:t>
      </w:r>
    </w:p>
    <w:p w14:paraId="2F4D004E" w14:textId="7EC960A2" w:rsidR="003F640D" w:rsidRDefault="003F640D" w:rsidP="003F640D">
      <w:pPr>
        <w:jc w:val="both"/>
        <w:rPr>
          <w:rFonts w:ascii="Arial" w:hAnsi="Arial" w:cs="Arial"/>
          <w:sz w:val="24"/>
          <w:szCs w:val="24"/>
        </w:rPr>
      </w:pPr>
      <w:r>
        <w:rPr>
          <w:rFonts w:ascii="Arial" w:hAnsi="Arial" w:cs="Arial"/>
          <w:sz w:val="24"/>
          <w:szCs w:val="24"/>
        </w:rPr>
        <w:lastRenderedPageBreak/>
        <w:t xml:space="preserve">The representative of Co-Respondent No 3 also deponed and he produced a document purporting to show </w:t>
      </w:r>
      <w:r w:rsidR="00BA2E76">
        <w:rPr>
          <w:rFonts w:ascii="Arial" w:hAnsi="Arial" w:cs="Arial"/>
          <w:sz w:val="24"/>
          <w:szCs w:val="24"/>
        </w:rPr>
        <w:t xml:space="preserve">very briefly </w:t>
      </w:r>
      <w:r>
        <w:rPr>
          <w:rFonts w:ascii="Arial" w:hAnsi="Arial" w:cs="Arial"/>
          <w:sz w:val="24"/>
          <w:szCs w:val="24"/>
        </w:rPr>
        <w:t xml:space="preserve">the </w:t>
      </w:r>
      <w:r w:rsidR="00BA2E76">
        <w:rPr>
          <w:rFonts w:ascii="Arial" w:hAnsi="Arial" w:cs="Arial"/>
          <w:sz w:val="24"/>
          <w:szCs w:val="24"/>
        </w:rPr>
        <w:t>points discussed between the</w:t>
      </w:r>
      <w:r>
        <w:rPr>
          <w:rFonts w:ascii="Arial" w:hAnsi="Arial" w:cs="Arial"/>
          <w:sz w:val="24"/>
          <w:szCs w:val="24"/>
        </w:rPr>
        <w:t xml:space="preserve"> management of Respondent </w:t>
      </w:r>
      <w:r w:rsidR="00BA2E76">
        <w:rPr>
          <w:rFonts w:ascii="Arial" w:hAnsi="Arial" w:cs="Arial"/>
          <w:sz w:val="24"/>
          <w:szCs w:val="24"/>
        </w:rPr>
        <w:t xml:space="preserve">and </w:t>
      </w:r>
      <w:r>
        <w:rPr>
          <w:rFonts w:ascii="Arial" w:hAnsi="Arial" w:cs="Arial"/>
          <w:sz w:val="24"/>
          <w:szCs w:val="24"/>
        </w:rPr>
        <w:t xml:space="preserve">Co-Respondent No 3 at a meeting held on 18 December 2015 (Doc V).  In cross-examination, he was shown a document purporting to be an extract of the 1993 PRB Report and he agreed that it related to the then IVTB and that, as per the said document, there was then a post of Officer in Charge at the IVTB with its salary scale.  This document was produced and marked Doc W.  In further cross-examination, he stated that </w:t>
      </w:r>
      <w:r w:rsidR="00BA2E76">
        <w:rPr>
          <w:rFonts w:ascii="Arial" w:hAnsi="Arial" w:cs="Arial"/>
          <w:sz w:val="24"/>
          <w:szCs w:val="24"/>
        </w:rPr>
        <w:t xml:space="preserve">Officer in Charge </w:t>
      </w:r>
      <w:r>
        <w:rPr>
          <w:rFonts w:ascii="Arial" w:hAnsi="Arial" w:cs="Arial"/>
          <w:sz w:val="24"/>
          <w:szCs w:val="24"/>
        </w:rPr>
        <w:t>is not graded by Co-Respondent No 3, that is, the post is not listed in the salary schedule of the PRB Report</w:t>
      </w:r>
      <w:r w:rsidR="00BA2E76">
        <w:rPr>
          <w:rFonts w:ascii="Arial" w:hAnsi="Arial" w:cs="Arial"/>
          <w:sz w:val="24"/>
          <w:szCs w:val="24"/>
        </w:rPr>
        <w:t xml:space="preserve"> for Respondent</w:t>
      </w:r>
      <w:r>
        <w:rPr>
          <w:rFonts w:ascii="Arial" w:hAnsi="Arial" w:cs="Arial"/>
          <w:sz w:val="24"/>
          <w:szCs w:val="24"/>
        </w:rPr>
        <w:t>.</w:t>
      </w:r>
    </w:p>
    <w:p w14:paraId="0B6FA44A" w14:textId="58457413" w:rsidR="006B2728" w:rsidRDefault="003E687F" w:rsidP="00253AF6">
      <w:pPr>
        <w:jc w:val="both"/>
        <w:rPr>
          <w:rFonts w:ascii="Arial" w:hAnsi="Arial" w:cs="Arial"/>
          <w:sz w:val="24"/>
          <w:szCs w:val="24"/>
        </w:rPr>
      </w:pPr>
      <w:r>
        <w:rPr>
          <w:rFonts w:ascii="Arial" w:hAnsi="Arial" w:cs="Arial"/>
          <w:sz w:val="24"/>
          <w:szCs w:val="24"/>
        </w:rPr>
        <w:t xml:space="preserve">Co-Respondents </w:t>
      </w:r>
      <w:r w:rsidR="00BE5BA0">
        <w:rPr>
          <w:rFonts w:ascii="Arial" w:hAnsi="Arial" w:cs="Arial"/>
          <w:sz w:val="24"/>
          <w:szCs w:val="24"/>
        </w:rPr>
        <w:t>N</w:t>
      </w:r>
      <w:r>
        <w:rPr>
          <w:rFonts w:ascii="Arial" w:hAnsi="Arial" w:cs="Arial"/>
          <w:sz w:val="24"/>
          <w:szCs w:val="24"/>
        </w:rPr>
        <w:t>os 4 and 5 did not wish to adduce any evidence before the Tribunal and the Tribunal thus proceeded to he</w:t>
      </w:r>
      <w:r w:rsidR="003F640D">
        <w:rPr>
          <w:rFonts w:ascii="Arial" w:hAnsi="Arial" w:cs="Arial"/>
          <w:sz w:val="24"/>
          <w:szCs w:val="24"/>
        </w:rPr>
        <w:t>a</w:t>
      </w:r>
      <w:r>
        <w:rPr>
          <w:rFonts w:ascii="Arial" w:hAnsi="Arial" w:cs="Arial"/>
          <w:sz w:val="24"/>
          <w:szCs w:val="24"/>
        </w:rPr>
        <w:t xml:space="preserve">r submissions from all Counsel appearing in the present matter.    </w:t>
      </w:r>
      <w:r w:rsidR="006B2728">
        <w:rPr>
          <w:rFonts w:ascii="Arial" w:hAnsi="Arial" w:cs="Arial"/>
          <w:sz w:val="24"/>
          <w:szCs w:val="24"/>
        </w:rPr>
        <w:t xml:space="preserve">    </w:t>
      </w:r>
    </w:p>
    <w:p w14:paraId="240A4EAE" w14:textId="04AF557E" w:rsidR="002C755F" w:rsidRDefault="002D0CC3" w:rsidP="00253AF6">
      <w:pPr>
        <w:jc w:val="both"/>
        <w:rPr>
          <w:rFonts w:ascii="Arial" w:hAnsi="Arial" w:cs="Arial"/>
          <w:sz w:val="24"/>
          <w:szCs w:val="24"/>
        </w:rPr>
      </w:pPr>
      <w:r>
        <w:rPr>
          <w:rFonts w:ascii="Arial" w:hAnsi="Arial" w:cs="Arial"/>
          <w:sz w:val="24"/>
          <w:szCs w:val="24"/>
        </w:rPr>
        <w:t xml:space="preserve">The Tribunal has examined carefully all the evidence adduced before it including all the documents produced and submissions of Counsel.  </w:t>
      </w:r>
      <w:r w:rsidR="009E3A78">
        <w:rPr>
          <w:rFonts w:ascii="Arial" w:hAnsi="Arial" w:cs="Arial"/>
          <w:sz w:val="24"/>
          <w:szCs w:val="24"/>
        </w:rPr>
        <w:t xml:space="preserve">Only the </w:t>
      </w:r>
      <w:r w:rsidR="00BA2E76">
        <w:rPr>
          <w:rFonts w:ascii="Arial" w:hAnsi="Arial" w:cs="Arial"/>
          <w:sz w:val="24"/>
          <w:szCs w:val="24"/>
        </w:rPr>
        <w:t>d</w:t>
      </w:r>
      <w:r w:rsidR="009E3A78">
        <w:rPr>
          <w:rFonts w:ascii="Arial" w:hAnsi="Arial" w:cs="Arial"/>
          <w:sz w:val="24"/>
          <w:szCs w:val="24"/>
        </w:rPr>
        <w:t xml:space="preserve">isputants and the Respondent have filed Statements of Case (detailed documents) in the present matter.   The stand of Co-Respondent No 1 </w:t>
      </w:r>
      <w:r w:rsidR="00BA2E76">
        <w:rPr>
          <w:rFonts w:ascii="Arial" w:hAnsi="Arial" w:cs="Arial"/>
          <w:sz w:val="24"/>
          <w:szCs w:val="24"/>
        </w:rPr>
        <w:t xml:space="preserve">before the Tribunal </w:t>
      </w:r>
      <w:r w:rsidR="008C5460">
        <w:rPr>
          <w:rFonts w:ascii="Arial" w:hAnsi="Arial" w:cs="Arial"/>
          <w:sz w:val="24"/>
          <w:szCs w:val="24"/>
        </w:rPr>
        <w:t>is</w:t>
      </w:r>
      <w:r w:rsidR="009E3A78">
        <w:rPr>
          <w:rFonts w:ascii="Arial" w:hAnsi="Arial" w:cs="Arial"/>
          <w:sz w:val="24"/>
          <w:szCs w:val="24"/>
        </w:rPr>
        <w:t xml:space="preserve"> that Co-Respondent No 1 shall be abiding by the decision of the Tribunal.  The stand of Co-Respondent No 2 </w:t>
      </w:r>
      <w:r w:rsidR="008C5460">
        <w:rPr>
          <w:rFonts w:ascii="Arial" w:hAnsi="Arial" w:cs="Arial"/>
          <w:sz w:val="24"/>
          <w:szCs w:val="24"/>
        </w:rPr>
        <w:t>i</w:t>
      </w:r>
      <w:r w:rsidR="009E3A78">
        <w:rPr>
          <w:rFonts w:ascii="Arial" w:hAnsi="Arial" w:cs="Arial"/>
          <w:sz w:val="24"/>
          <w:szCs w:val="24"/>
        </w:rPr>
        <w:t xml:space="preserve">s that the allowance paid over the years and the subject matter of the dispute cannot be reckoned for pension purposes.  The stand of Co-Respondent No 3 </w:t>
      </w:r>
      <w:r w:rsidR="008C5460">
        <w:rPr>
          <w:rFonts w:ascii="Arial" w:hAnsi="Arial" w:cs="Arial"/>
          <w:sz w:val="24"/>
          <w:szCs w:val="24"/>
        </w:rPr>
        <w:t>i</w:t>
      </w:r>
      <w:r w:rsidR="008D79EA">
        <w:rPr>
          <w:rFonts w:ascii="Arial" w:hAnsi="Arial" w:cs="Arial"/>
          <w:sz w:val="24"/>
          <w:szCs w:val="24"/>
        </w:rPr>
        <w:t xml:space="preserve">s that the post of Officer in Charge at the Respondent does not figure in the organisation structure of the Respondent and is not graded by the Co-Respondent No 3. The representative of Co-Respondent No 4 stated that Co-Respondent 4 will abide by the decision and added that as administrator of the pension funds, </w:t>
      </w:r>
      <w:r w:rsidR="002C755F">
        <w:rPr>
          <w:rFonts w:ascii="Arial" w:hAnsi="Arial" w:cs="Arial"/>
          <w:sz w:val="24"/>
          <w:szCs w:val="24"/>
        </w:rPr>
        <w:t>Co-Respondent No 4 administers the funds in accordance with the Statutory Bodies Pension Funds Act.  He added that ‘pensionable emoluments’ is defined in that Act and being given that Officer in Charge is not a post in the establishment, so it would not fit in the category which is included in ‘pensionable emoluments’.  The stand of Co-Respondent No 5</w:t>
      </w:r>
      <w:r w:rsidR="008C5460">
        <w:rPr>
          <w:rFonts w:ascii="Arial" w:hAnsi="Arial" w:cs="Arial"/>
          <w:sz w:val="24"/>
          <w:szCs w:val="24"/>
        </w:rPr>
        <w:t xml:space="preserve"> is that Co-Respondent No 5 will abide by the decision of the Tribunal. </w:t>
      </w:r>
      <w:r w:rsidR="002C755F">
        <w:rPr>
          <w:rFonts w:ascii="Arial" w:hAnsi="Arial" w:cs="Arial"/>
          <w:sz w:val="24"/>
          <w:szCs w:val="24"/>
        </w:rPr>
        <w:t xml:space="preserve">    </w:t>
      </w:r>
      <w:r w:rsidR="008D79EA">
        <w:rPr>
          <w:rFonts w:ascii="Arial" w:hAnsi="Arial" w:cs="Arial"/>
          <w:sz w:val="24"/>
          <w:szCs w:val="24"/>
        </w:rPr>
        <w:t xml:space="preserve">  </w:t>
      </w:r>
      <w:r w:rsidR="009E3A78">
        <w:rPr>
          <w:rFonts w:ascii="Arial" w:hAnsi="Arial" w:cs="Arial"/>
          <w:sz w:val="24"/>
          <w:szCs w:val="24"/>
        </w:rPr>
        <w:t xml:space="preserve"> </w:t>
      </w:r>
    </w:p>
    <w:p w14:paraId="4C3CFE9F" w14:textId="0B7D22CA" w:rsidR="00874BEA" w:rsidRDefault="00603549" w:rsidP="00253AF6">
      <w:pPr>
        <w:jc w:val="both"/>
        <w:rPr>
          <w:rFonts w:ascii="Arial" w:hAnsi="Arial" w:cs="Arial"/>
          <w:sz w:val="24"/>
          <w:szCs w:val="24"/>
        </w:rPr>
      </w:pPr>
      <w:r>
        <w:rPr>
          <w:rFonts w:ascii="Arial" w:hAnsi="Arial" w:cs="Arial"/>
          <w:sz w:val="24"/>
          <w:szCs w:val="24"/>
        </w:rPr>
        <w:t xml:space="preserve">It is apposite to note that the proceedings in the above seven consolidated cases were very lengthy with the Tribunal having conducted no less than five hearing sessions and the cases were also postponed on many occasions including for the unavailability of </w:t>
      </w:r>
      <w:r w:rsidR="000E362F">
        <w:rPr>
          <w:rFonts w:ascii="Arial" w:hAnsi="Arial" w:cs="Arial"/>
          <w:sz w:val="24"/>
          <w:szCs w:val="24"/>
        </w:rPr>
        <w:t xml:space="preserve">Counsel for disputants, then </w:t>
      </w:r>
      <w:r>
        <w:rPr>
          <w:rFonts w:ascii="Arial" w:hAnsi="Arial" w:cs="Arial"/>
          <w:sz w:val="24"/>
          <w:szCs w:val="24"/>
        </w:rPr>
        <w:t>member</w:t>
      </w:r>
      <w:r w:rsidR="000E362F">
        <w:rPr>
          <w:rFonts w:ascii="Arial" w:hAnsi="Arial" w:cs="Arial"/>
          <w:sz w:val="24"/>
          <w:szCs w:val="24"/>
        </w:rPr>
        <w:t>s</w:t>
      </w:r>
      <w:r>
        <w:rPr>
          <w:rFonts w:ascii="Arial" w:hAnsi="Arial" w:cs="Arial"/>
          <w:sz w:val="24"/>
          <w:szCs w:val="24"/>
        </w:rPr>
        <w:t xml:space="preserve"> on the panel</w:t>
      </w:r>
      <w:r w:rsidR="000E362F">
        <w:rPr>
          <w:rFonts w:ascii="Arial" w:hAnsi="Arial" w:cs="Arial"/>
          <w:sz w:val="24"/>
          <w:szCs w:val="24"/>
        </w:rPr>
        <w:t xml:space="preserve">, </w:t>
      </w:r>
      <w:r>
        <w:rPr>
          <w:rFonts w:ascii="Arial" w:hAnsi="Arial" w:cs="Arial"/>
          <w:sz w:val="24"/>
          <w:szCs w:val="24"/>
        </w:rPr>
        <w:t>and then a witness</w:t>
      </w:r>
      <w:r w:rsidR="008F578A">
        <w:rPr>
          <w:rFonts w:ascii="Arial" w:hAnsi="Arial" w:cs="Arial"/>
          <w:sz w:val="24"/>
          <w:szCs w:val="24"/>
        </w:rPr>
        <w:t>,</w:t>
      </w:r>
      <w:r>
        <w:rPr>
          <w:rFonts w:ascii="Arial" w:hAnsi="Arial" w:cs="Arial"/>
          <w:sz w:val="24"/>
          <w:szCs w:val="24"/>
        </w:rPr>
        <w:t xml:space="preserve"> </w:t>
      </w:r>
      <w:r w:rsidR="000E362F">
        <w:rPr>
          <w:rFonts w:ascii="Arial" w:hAnsi="Arial" w:cs="Arial"/>
          <w:sz w:val="24"/>
          <w:szCs w:val="24"/>
        </w:rPr>
        <w:t>all</w:t>
      </w:r>
      <w:r>
        <w:rPr>
          <w:rFonts w:ascii="Arial" w:hAnsi="Arial" w:cs="Arial"/>
          <w:sz w:val="24"/>
          <w:szCs w:val="24"/>
        </w:rPr>
        <w:t xml:space="preserve"> on medical grounds, the rescheduling of the cases following the </w:t>
      </w:r>
      <w:r w:rsidR="00543092">
        <w:rPr>
          <w:rFonts w:ascii="Arial" w:hAnsi="Arial" w:cs="Arial"/>
          <w:sz w:val="24"/>
          <w:szCs w:val="24"/>
        </w:rPr>
        <w:t>nationwide C</w:t>
      </w:r>
      <w:r>
        <w:rPr>
          <w:rFonts w:ascii="Arial" w:hAnsi="Arial" w:cs="Arial"/>
          <w:sz w:val="24"/>
          <w:szCs w:val="24"/>
        </w:rPr>
        <w:t xml:space="preserve">urfew </w:t>
      </w:r>
      <w:r w:rsidR="00543092">
        <w:rPr>
          <w:rFonts w:ascii="Arial" w:hAnsi="Arial" w:cs="Arial"/>
          <w:sz w:val="24"/>
          <w:szCs w:val="24"/>
        </w:rPr>
        <w:t>O</w:t>
      </w:r>
      <w:r>
        <w:rPr>
          <w:rFonts w:ascii="Arial" w:hAnsi="Arial" w:cs="Arial"/>
          <w:sz w:val="24"/>
          <w:szCs w:val="24"/>
        </w:rPr>
        <w:t xml:space="preserve">rder </w:t>
      </w:r>
      <w:r w:rsidR="00874BEA">
        <w:rPr>
          <w:rFonts w:ascii="Arial" w:hAnsi="Arial" w:cs="Arial"/>
          <w:sz w:val="24"/>
          <w:szCs w:val="24"/>
        </w:rPr>
        <w:t xml:space="preserve">in the light of </w:t>
      </w:r>
      <w:r>
        <w:rPr>
          <w:rFonts w:ascii="Arial" w:hAnsi="Arial" w:cs="Arial"/>
          <w:sz w:val="24"/>
          <w:szCs w:val="24"/>
        </w:rPr>
        <w:t xml:space="preserve">the Covid-19 pandemic and </w:t>
      </w:r>
      <w:r w:rsidR="00874BEA">
        <w:rPr>
          <w:rFonts w:ascii="Arial" w:hAnsi="Arial" w:cs="Arial"/>
          <w:sz w:val="24"/>
          <w:szCs w:val="24"/>
        </w:rPr>
        <w:t xml:space="preserve">the joining of Co-Respondents as parties to the proceedings and necessary amendments which were thereafter required following a change of responsibilities and names of relevant Ministries following Government decision.  </w:t>
      </w:r>
    </w:p>
    <w:p w14:paraId="3A7406DB" w14:textId="7217F805" w:rsidR="00F75F08" w:rsidRDefault="00F75F08" w:rsidP="00253AF6">
      <w:pPr>
        <w:jc w:val="both"/>
        <w:rPr>
          <w:rFonts w:ascii="Arial" w:hAnsi="Arial" w:cs="Arial"/>
          <w:sz w:val="24"/>
          <w:szCs w:val="24"/>
        </w:rPr>
      </w:pPr>
      <w:r>
        <w:rPr>
          <w:rFonts w:ascii="Arial" w:hAnsi="Arial" w:cs="Arial"/>
          <w:sz w:val="24"/>
          <w:szCs w:val="24"/>
        </w:rPr>
        <w:lastRenderedPageBreak/>
        <w:t>At the time th</w:t>
      </w:r>
      <w:r w:rsidR="00874BEA">
        <w:rPr>
          <w:rFonts w:ascii="Arial" w:hAnsi="Arial" w:cs="Arial"/>
          <w:sz w:val="24"/>
          <w:szCs w:val="24"/>
        </w:rPr>
        <w:t>e cases were referred to the Tribunal by the Commission for Conciliation and Mediation</w:t>
      </w:r>
      <w:r>
        <w:rPr>
          <w:rFonts w:ascii="Arial" w:hAnsi="Arial" w:cs="Arial"/>
          <w:sz w:val="24"/>
          <w:szCs w:val="24"/>
        </w:rPr>
        <w:t>, the Employment Relations (Amendment) Act 2019</w:t>
      </w:r>
      <w:r w:rsidR="00874BEA">
        <w:rPr>
          <w:rFonts w:ascii="Arial" w:hAnsi="Arial" w:cs="Arial"/>
          <w:sz w:val="24"/>
          <w:szCs w:val="24"/>
        </w:rPr>
        <w:t xml:space="preserve"> </w:t>
      </w:r>
      <w:r>
        <w:rPr>
          <w:rFonts w:ascii="Arial" w:hAnsi="Arial" w:cs="Arial"/>
          <w:sz w:val="24"/>
          <w:szCs w:val="24"/>
        </w:rPr>
        <w:t>was not yet in force.  Section 29 of the Employment Relations (Amendment) Act 2019 which repeals and replaces section 108 “Savings and transitional provisions” in the main Act provides as follows at its sub-section (9):</w:t>
      </w:r>
    </w:p>
    <w:p w14:paraId="315FFDE9" w14:textId="2447F62D" w:rsidR="000C5E65" w:rsidRPr="00EC43A1" w:rsidRDefault="00F75F08" w:rsidP="00253AF6">
      <w:pPr>
        <w:jc w:val="both"/>
        <w:rPr>
          <w:rFonts w:ascii="Arial" w:hAnsi="Arial" w:cs="Arial"/>
          <w:i/>
          <w:sz w:val="24"/>
          <w:szCs w:val="24"/>
        </w:rPr>
      </w:pPr>
      <w:r w:rsidRPr="00EC43A1">
        <w:rPr>
          <w:rFonts w:ascii="Arial" w:hAnsi="Arial" w:cs="Arial"/>
          <w:i/>
          <w:sz w:val="24"/>
          <w:szCs w:val="24"/>
        </w:rPr>
        <w:t xml:space="preserve">108(9) </w:t>
      </w:r>
      <w:r w:rsidR="00EC43A1" w:rsidRPr="00EC43A1">
        <w:rPr>
          <w:rFonts w:ascii="Arial" w:hAnsi="Arial" w:cs="Arial"/>
          <w:i/>
          <w:sz w:val="24"/>
          <w:szCs w:val="24"/>
        </w:rPr>
        <w:t>“</w:t>
      </w:r>
      <w:r w:rsidRPr="00EC43A1">
        <w:rPr>
          <w:rFonts w:ascii="Arial" w:hAnsi="Arial" w:cs="Arial"/>
          <w:i/>
          <w:sz w:val="24"/>
          <w:szCs w:val="24"/>
        </w:rPr>
        <w:t xml:space="preserve">Any labour dispute pending immediately before the commencement of the Employment Relations (Amendment) Act 2019 before the </w:t>
      </w:r>
      <w:r w:rsidR="007E3F51" w:rsidRPr="00EC43A1">
        <w:rPr>
          <w:rFonts w:ascii="Arial" w:hAnsi="Arial" w:cs="Arial"/>
          <w:i/>
          <w:sz w:val="24"/>
          <w:szCs w:val="24"/>
        </w:rPr>
        <w:t>Tribunal shall be dealt with in accordance with Part VI as if the definition of “labour dispute” in section 2 and sections 64, 65, 69, 70, 76, 78 and 88 have not been amended or repealed and replaced.”</w:t>
      </w:r>
      <w:r w:rsidRPr="00EC43A1">
        <w:rPr>
          <w:rFonts w:ascii="Arial" w:hAnsi="Arial" w:cs="Arial"/>
          <w:i/>
          <w:sz w:val="24"/>
          <w:szCs w:val="24"/>
        </w:rPr>
        <w:t xml:space="preserve">     </w:t>
      </w:r>
      <w:r w:rsidR="00874BEA" w:rsidRPr="00EC43A1">
        <w:rPr>
          <w:rFonts w:ascii="Arial" w:hAnsi="Arial" w:cs="Arial"/>
          <w:i/>
          <w:sz w:val="24"/>
          <w:szCs w:val="24"/>
        </w:rPr>
        <w:t xml:space="preserve">  </w:t>
      </w:r>
      <w:r w:rsidR="00603549" w:rsidRPr="00EC43A1">
        <w:rPr>
          <w:rFonts w:ascii="Arial" w:hAnsi="Arial" w:cs="Arial"/>
          <w:i/>
          <w:sz w:val="24"/>
          <w:szCs w:val="24"/>
        </w:rPr>
        <w:t xml:space="preserve">    </w:t>
      </w:r>
      <w:r w:rsidR="002D0CC3" w:rsidRPr="00EC43A1">
        <w:rPr>
          <w:rFonts w:ascii="Arial" w:hAnsi="Arial" w:cs="Arial"/>
          <w:i/>
          <w:sz w:val="24"/>
          <w:szCs w:val="24"/>
        </w:rPr>
        <w:t xml:space="preserve">      </w:t>
      </w:r>
      <w:r w:rsidR="00603040" w:rsidRPr="00EC43A1">
        <w:rPr>
          <w:rFonts w:ascii="Arial" w:hAnsi="Arial" w:cs="Arial"/>
          <w:i/>
          <w:sz w:val="24"/>
          <w:szCs w:val="24"/>
        </w:rPr>
        <w:t xml:space="preserve">   </w:t>
      </w:r>
      <w:r w:rsidR="008C7A20" w:rsidRPr="00EC43A1">
        <w:rPr>
          <w:rFonts w:ascii="Arial" w:hAnsi="Arial" w:cs="Arial"/>
          <w:i/>
          <w:sz w:val="24"/>
          <w:szCs w:val="24"/>
        </w:rPr>
        <w:t xml:space="preserve">    </w:t>
      </w:r>
      <w:r w:rsidR="00F54152" w:rsidRPr="00EC43A1">
        <w:rPr>
          <w:rFonts w:ascii="Arial" w:hAnsi="Arial" w:cs="Arial"/>
          <w:i/>
          <w:sz w:val="24"/>
          <w:szCs w:val="24"/>
        </w:rPr>
        <w:t xml:space="preserve"> </w:t>
      </w:r>
      <w:r w:rsidR="00082CB1" w:rsidRPr="00EC43A1">
        <w:rPr>
          <w:rFonts w:ascii="Arial" w:hAnsi="Arial" w:cs="Arial"/>
          <w:i/>
          <w:sz w:val="24"/>
          <w:szCs w:val="24"/>
        </w:rPr>
        <w:t xml:space="preserve">  </w:t>
      </w:r>
      <w:r w:rsidR="001C2C36" w:rsidRPr="00EC43A1">
        <w:rPr>
          <w:rFonts w:ascii="Arial" w:hAnsi="Arial" w:cs="Arial"/>
          <w:i/>
          <w:sz w:val="24"/>
          <w:szCs w:val="24"/>
        </w:rPr>
        <w:t xml:space="preserve"> </w:t>
      </w:r>
    </w:p>
    <w:p w14:paraId="4A9C9BCD" w14:textId="67A4FD16" w:rsidR="000C5E65" w:rsidRDefault="00593086" w:rsidP="00253AF6">
      <w:pPr>
        <w:jc w:val="both"/>
        <w:rPr>
          <w:rFonts w:ascii="Arial" w:hAnsi="Arial" w:cs="Arial"/>
          <w:sz w:val="24"/>
          <w:szCs w:val="24"/>
        </w:rPr>
      </w:pPr>
      <w:r>
        <w:rPr>
          <w:rFonts w:ascii="Arial" w:hAnsi="Arial" w:cs="Arial"/>
          <w:sz w:val="24"/>
          <w:szCs w:val="24"/>
        </w:rPr>
        <w:t xml:space="preserve">Labour dispute was thus defined </w:t>
      </w:r>
      <w:r w:rsidR="00266547">
        <w:rPr>
          <w:rFonts w:ascii="Arial" w:hAnsi="Arial" w:cs="Arial"/>
          <w:sz w:val="24"/>
          <w:szCs w:val="24"/>
        </w:rPr>
        <w:t>u</w:t>
      </w:r>
      <w:r>
        <w:rPr>
          <w:rFonts w:ascii="Arial" w:hAnsi="Arial" w:cs="Arial"/>
          <w:sz w:val="24"/>
          <w:szCs w:val="24"/>
        </w:rPr>
        <w:t>nder section 2 of the main Act</w:t>
      </w:r>
      <w:r w:rsidR="009E3A78">
        <w:rPr>
          <w:rFonts w:ascii="Arial" w:hAnsi="Arial" w:cs="Arial"/>
          <w:sz w:val="24"/>
          <w:szCs w:val="24"/>
        </w:rPr>
        <w:t xml:space="preserve"> (prior to the 2019 amendment) as follows</w:t>
      </w:r>
      <w:r>
        <w:rPr>
          <w:rFonts w:ascii="Arial" w:hAnsi="Arial" w:cs="Arial"/>
          <w:sz w:val="24"/>
          <w:szCs w:val="24"/>
        </w:rPr>
        <w:t>:</w:t>
      </w:r>
    </w:p>
    <w:p w14:paraId="1F4EFFCD" w14:textId="388AB858" w:rsidR="00177190" w:rsidRDefault="00177190" w:rsidP="00253AF6">
      <w:pPr>
        <w:jc w:val="both"/>
        <w:rPr>
          <w:rFonts w:ascii="Arial" w:hAnsi="Arial" w:cs="Arial"/>
          <w:i/>
          <w:sz w:val="24"/>
          <w:szCs w:val="24"/>
        </w:rPr>
      </w:pPr>
      <w:r w:rsidRPr="00177190">
        <w:rPr>
          <w:rFonts w:ascii="Arial" w:hAnsi="Arial" w:cs="Arial"/>
          <w:i/>
          <w:sz w:val="24"/>
          <w:szCs w:val="24"/>
        </w:rPr>
        <w:t>“labour dispute” – (a) 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 (b) 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(c) does not include a dispute that is reported more than 3 years after the act or omission that gave rise to the dispute;</w:t>
      </w:r>
    </w:p>
    <w:p w14:paraId="19F1869E" w14:textId="7E996C53" w:rsidR="00864EAF" w:rsidRDefault="00275E58" w:rsidP="00253AF6">
      <w:pPr>
        <w:jc w:val="both"/>
        <w:rPr>
          <w:rFonts w:ascii="Arial" w:hAnsi="Arial" w:cs="Arial"/>
          <w:sz w:val="24"/>
          <w:szCs w:val="24"/>
        </w:rPr>
      </w:pPr>
      <w:r>
        <w:rPr>
          <w:rFonts w:ascii="Arial" w:hAnsi="Arial" w:cs="Arial"/>
          <w:sz w:val="24"/>
          <w:szCs w:val="24"/>
        </w:rPr>
        <w:t xml:space="preserve">The </w:t>
      </w:r>
      <w:r w:rsidR="00DC5750">
        <w:rPr>
          <w:rFonts w:ascii="Arial" w:hAnsi="Arial" w:cs="Arial"/>
          <w:sz w:val="24"/>
          <w:szCs w:val="24"/>
        </w:rPr>
        <w:t xml:space="preserve">first point in dispute as worded does not fall strictly within the definition of “labour dispute” given above and more particularly paragraph (a) of the definition.  The dispute is whether the post of </w:t>
      </w:r>
      <w:r w:rsidR="008A756A">
        <w:rPr>
          <w:rFonts w:ascii="Arial" w:hAnsi="Arial" w:cs="Arial"/>
          <w:sz w:val="24"/>
          <w:szCs w:val="24"/>
        </w:rPr>
        <w:t>“</w:t>
      </w:r>
      <w:r w:rsidR="00DC5750">
        <w:rPr>
          <w:rFonts w:ascii="Arial" w:hAnsi="Arial" w:cs="Arial"/>
          <w:sz w:val="24"/>
          <w:szCs w:val="24"/>
        </w:rPr>
        <w:t>Officer-in-Charge</w:t>
      </w:r>
      <w:r w:rsidR="008A756A">
        <w:rPr>
          <w:rFonts w:ascii="Arial" w:hAnsi="Arial" w:cs="Arial"/>
          <w:sz w:val="24"/>
          <w:szCs w:val="24"/>
        </w:rPr>
        <w:t>”</w:t>
      </w:r>
      <w:r w:rsidR="00DC5750">
        <w:rPr>
          <w:rFonts w:ascii="Arial" w:hAnsi="Arial" w:cs="Arial"/>
          <w:sz w:val="24"/>
          <w:szCs w:val="24"/>
        </w:rPr>
        <w:t xml:space="preserve"> should be placed on the establishment and organi</w:t>
      </w:r>
      <w:r w:rsidR="00BA2E76">
        <w:rPr>
          <w:rFonts w:ascii="Arial" w:hAnsi="Arial" w:cs="Arial"/>
          <w:sz w:val="24"/>
          <w:szCs w:val="24"/>
        </w:rPr>
        <w:t>s</w:t>
      </w:r>
      <w:r w:rsidR="00DC5750">
        <w:rPr>
          <w:rFonts w:ascii="Arial" w:hAnsi="Arial" w:cs="Arial"/>
          <w:sz w:val="24"/>
          <w:szCs w:val="24"/>
        </w:rPr>
        <w:t xml:space="preserve">ation structure of the Respondent.  </w:t>
      </w:r>
      <w:r w:rsidR="008A756A">
        <w:rPr>
          <w:rFonts w:ascii="Arial" w:hAnsi="Arial" w:cs="Arial"/>
          <w:sz w:val="24"/>
          <w:szCs w:val="24"/>
        </w:rPr>
        <w:t xml:space="preserve">The dispute </w:t>
      </w:r>
      <w:r w:rsidR="00BA2E76">
        <w:rPr>
          <w:rFonts w:ascii="Arial" w:hAnsi="Arial" w:cs="Arial"/>
          <w:sz w:val="24"/>
          <w:szCs w:val="24"/>
        </w:rPr>
        <w:t>does not relate wholly or mainly to</w:t>
      </w:r>
      <w:r w:rsidR="008A756A">
        <w:rPr>
          <w:rFonts w:ascii="Arial" w:hAnsi="Arial" w:cs="Arial"/>
          <w:sz w:val="24"/>
          <w:szCs w:val="24"/>
        </w:rPr>
        <w:t xml:space="preserve"> wages, terms and conditions of employment, promotion, allocation of work between workers and groups of workers, reinstatement or suspension of employment of a worker.  </w:t>
      </w:r>
      <w:r w:rsidR="00BA2E76">
        <w:rPr>
          <w:rFonts w:ascii="Arial" w:hAnsi="Arial" w:cs="Arial"/>
          <w:sz w:val="24"/>
          <w:szCs w:val="24"/>
        </w:rPr>
        <w:t>Also, the c</w:t>
      </w:r>
      <w:r w:rsidR="00713BC8">
        <w:rPr>
          <w:rFonts w:ascii="Arial" w:hAnsi="Arial" w:cs="Arial"/>
          <w:sz w:val="24"/>
          <w:szCs w:val="24"/>
        </w:rPr>
        <w:t xml:space="preserve">reation of a post or </w:t>
      </w:r>
      <w:r w:rsidR="00BA2E76">
        <w:rPr>
          <w:rFonts w:ascii="Arial" w:hAnsi="Arial" w:cs="Arial"/>
          <w:sz w:val="24"/>
          <w:szCs w:val="24"/>
        </w:rPr>
        <w:t xml:space="preserve">the placing of </w:t>
      </w:r>
      <w:r w:rsidR="00713BC8">
        <w:rPr>
          <w:rFonts w:ascii="Arial" w:hAnsi="Arial" w:cs="Arial"/>
          <w:sz w:val="24"/>
          <w:szCs w:val="24"/>
        </w:rPr>
        <w:t xml:space="preserve">a post on the establishment and organisation structure of an employer is something which is </w:t>
      </w:r>
      <w:r w:rsidR="00DC5750">
        <w:rPr>
          <w:rFonts w:ascii="Arial" w:hAnsi="Arial" w:cs="Arial"/>
          <w:sz w:val="24"/>
          <w:szCs w:val="24"/>
        </w:rPr>
        <w:t xml:space="preserve">essentially within the </w:t>
      </w:r>
      <w:r w:rsidR="00713BC8">
        <w:rPr>
          <w:rFonts w:ascii="Arial" w:hAnsi="Arial" w:cs="Arial"/>
          <w:sz w:val="24"/>
          <w:szCs w:val="24"/>
        </w:rPr>
        <w:t xml:space="preserve">“pouvoir de direction” of the employer.  The Tribunal certainly cannot </w:t>
      </w:r>
      <w:r w:rsidR="00ED27C8">
        <w:rPr>
          <w:rFonts w:ascii="Arial" w:hAnsi="Arial" w:cs="Arial"/>
          <w:sz w:val="24"/>
          <w:szCs w:val="24"/>
        </w:rPr>
        <w:t xml:space="preserve">award that the post of Officer in Charge </w:t>
      </w:r>
      <w:r w:rsidR="00ED27C8" w:rsidRPr="00C93F99">
        <w:rPr>
          <w:rFonts w:ascii="Arial" w:hAnsi="Arial" w:cs="Arial"/>
          <w:sz w:val="24"/>
          <w:szCs w:val="24"/>
          <w:u w:val="single"/>
        </w:rPr>
        <w:t>should</w:t>
      </w:r>
      <w:r w:rsidR="00ED27C8">
        <w:rPr>
          <w:rFonts w:ascii="Arial" w:hAnsi="Arial" w:cs="Arial"/>
          <w:sz w:val="24"/>
          <w:szCs w:val="24"/>
        </w:rPr>
        <w:t xml:space="preserve"> </w:t>
      </w:r>
      <w:r w:rsidR="00C93F99">
        <w:rPr>
          <w:rFonts w:ascii="Arial" w:hAnsi="Arial" w:cs="Arial"/>
          <w:sz w:val="24"/>
          <w:szCs w:val="24"/>
        </w:rPr>
        <w:t xml:space="preserve">(underlining is ours) </w:t>
      </w:r>
      <w:r w:rsidR="00ED27C8">
        <w:rPr>
          <w:rFonts w:ascii="Arial" w:hAnsi="Arial" w:cs="Arial"/>
          <w:sz w:val="24"/>
          <w:szCs w:val="24"/>
        </w:rPr>
        <w:t xml:space="preserve">be placed on the establishment and organisation structure of the Respondent.  </w:t>
      </w:r>
      <w:r w:rsidR="00864EAF">
        <w:rPr>
          <w:rFonts w:ascii="Arial" w:hAnsi="Arial" w:cs="Arial"/>
          <w:sz w:val="24"/>
          <w:szCs w:val="24"/>
        </w:rPr>
        <w:t xml:space="preserve">This would be </w:t>
      </w:r>
      <w:r w:rsidR="00BA2E76">
        <w:rPr>
          <w:rFonts w:ascii="Arial" w:hAnsi="Arial" w:cs="Arial"/>
          <w:sz w:val="24"/>
          <w:szCs w:val="24"/>
        </w:rPr>
        <w:t xml:space="preserve">beyond the powers and jurisdiction of the </w:t>
      </w:r>
      <w:r w:rsidR="00864EAF">
        <w:rPr>
          <w:rFonts w:ascii="Arial" w:hAnsi="Arial" w:cs="Arial"/>
          <w:sz w:val="24"/>
          <w:szCs w:val="24"/>
        </w:rPr>
        <w:t>Tribunal</w:t>
      </w:r>
      <w:r w:rsidR="00BA2E76">
        <w:rPr>
          <w:rFonts w:ascii="Arial" w:hAnsi="Arial" w:cs="Arial"/>
          <w:sz w:val="24"/>
          <w:szCs w:val="24"/>
        </w:rPr>
        <w:t xml:space="preserve">.  </w:t>
      </w:r>
      <w:r w:rsidR="00864EAF">
        <w:rPr>
          <w:rFonts w:ascii="Arial" w:hAnsi="Arial" w:cs="Arial"/>
          <w:sz w:val="24"/>
          <w:szCs w:val="24"/>
        </w:rPr>
        <w:t>The point in dispute no. 1 is thus purely and simply set aside.</w:t>
      </w:r>
    </w:p>
    <w:p w14:paraId="0D1F0231" w14:textId="1C7F7A7C" w:rsidR="00BC3F92" w:rsidRDefault="00864EAF" w:rsidP="00253AF6">
      <w:pPr>
        <w:jc w:val="both"/>
        <w:rPr>
          <w:rFonts w:ascii="Arial" w:hAnsi="Arial" w:cs="Arial"/>
          <w:sz w:val="24"/>
          <w:szCs w:val="24"/>
        </w:rPr>
      </w:pPr>
      <w:r>
        <w:rPr>
          <w:rFonts w:ascii="Arial" w:hAnsi="Arial" w:cs="Arial"/>
          <w:sz w:val="24"/>
          <w:szCs w:val="24"/>
        </w:rPr>
        <w:t xml:space="preserve">As regards point in dispute no. 2, </w:t>
      </w:r>
      <w:r w:rsidR="00EA1A8E">
        <w:rPr>
          <w:rFonts w:ascii="Arial" w:hAnsi="Arial" w:cs="Arial"/>
          <w:sz w:val="24"/>
          <w:szCs w:val="24"/>
        </w:rPr>
        <w:t xml:space="preserve">the Tribunal fails to understand the </w:t>
      </w:r>
      <w:r w:rsidR="008A756A">
        <w:rPr>
          <w:rFonts w:ascii="Arial" w:hAnsi="Arial" w:cs="Arial"/>
          <w:sz w:val="24"/>
          <w:szCs w:val="24"/>
        </w:rPr>
        <w:t xml:space="preserve">exact </w:t>
      </w:r>
      <w:r w:rsidR="00EA1A8E">
        <w:rPr>
          <w:rFonts w:ascii="Arial" w:hAnsi="Arial" w:cs="Arial"/>
          <w:sz w:val="24"/>
          <w:szCs w:val="24"/>
        </w:rPr>
        <w:t xml:space="preserve">purport of the dispute.  The Tribunal will </w:t>
      </w:r>
      <w:r w:rsidR="0074433D">
        <w:rPr>
          <w:rFonts w:ascii="Arial" w:hAnsi="Arial" w:cs="Arial"/>
          <w:sz w:val="24"/>
          <w:szCs w:val="24"/>
        </w:rPr>
        <w:t xml:space="preserve">thus </w:t>
      </w:r>
      <w:r w:rsidR="00BA2E76">
        <w:rPr>
          <w:rFonts w:ascii="Arial" w:hAnsi="Arial" w:cs="Arial"/>
          <w:sz w:val="24"/>
          <w:szCs w:val="24"/>
        </w:rPr>
        <w:t xml:space="preserve">rely on </w:t>
      </w:r>
      <w:r w:rsidR="00EA1A8E">
        <w:rPr>
          <w:rFonts w:ascii="Arial" w:hAnsi="Arial" w:cs="Arial"/>
          <w:sz w:val="24"/>
          <w:szCs w:val="24"/>
        </w:rPr>
        <w:t xml:space="preserve">the </w:t>
      </w:r>
      <w:r w:rsidR="00C16A08">
        <w:rPr>
          <w:rFonts w:ascii="Arial" w:hAnsi="Arial" w:cs="Arial"/>
          <w:sz w:val="24"/>
          <w:szCs w:val="24"/>
        </w:rPr>
        <w:t xml:space="preserve">relevant </w:t>
      </w:r>
      <w:r w:rsidR="00EA1A8E">
        <w:rPr>
          <w:rFonts w:ascii="Arial" w:hAnsi="Arial" w:cs="Arial"/>
          <w:sz w:val="24"/>
          <w:szCs w:val="24"/>
        </w:rPr>
        <w:t xml:space="preserve">ordinary </w:t>
      </w:r>
      <w:r w:rsidR="0074433D">
        <w:rPr>
          <w:rFonts w:ascii="Arial" w:hAnsi="Arial" w:cs="Arial"/>
          <w:sz w:val="24"/>
          <w:szCs w:val="24"/>
        </w:rPr>
        <w:t xml:space="preserve">dictionary </w:t>
      </w:r>
      <w:r w:rsidR="00EA1A8E">
        <w:rPr>
          <w:rFonts w:ascii="Arial" w:hAnsi="Arial" w:cs="Arial"/>
          <w:sz w:val="24"/>
          <w:szCs w:val="24"/>
        </w:rPr>
        <w:t>meaning of the word “recognise”</w:t>
      </w:r>
      <w:r w:rsidR="0074433D">
        <w:rPr>
          <w:rFonts w:ascii="Arial" w:hAnsi="Arial" w:cs="Arial"/>
          <w:sz w:val="24"/>
          <w:szCs w:val="24"/>
        </w:rPr>
        <w:t xml:space="preserve">, that is, </w:t>
      </w:r>
      <w:r w:rsidR="00A83B5F">
        <w:rPr>
          <w:rFonts w:ascii="Arial" w:hAnsi="Arial" w:cs="Arial"/>
          <w:sz w:val="24"/>
          <w:szCs w:val="24"/>
        </w:rPr>
        <w:t xml:space="preserve">“to accept that something is legal, true or important” (Cambridge Dictionary) or to </w:t>
      </w:r>
      <w:r w:rsidR="00BA2E76">
        <w:rPr>
          <w:rFonts w:ascii="Arial" w:hAnsi="Arial" w:cs="Arial"/>
          <w:sz w:val="24"/>
          <w:szCs w:val="24"/>
        </w:rPr>
        <w:t>“</w:t>
      </w:r>
      <w:r w:rsidR="00A83B5F">
        <w:rPr>
          <w:rFonts w:ascii="Arial" w:hAnsi="Arial" w:cs="Arial"/>
          <w:sz w:val="24"/>
          <w:szCs w:val="24"/>
        </w:rPr>
        <w:t>acknowledge the existence, validity or legality</w:t>
      </w:r>
      <w:r w:rsidR="00BA2E76">
        <w:rPr>
          <w:rFonts w:ascii="Arial" w:hAnsi="Arial" w:cs="Arial"/>
          <w:sz w:val="24"/>
          <w:szCs w:val="24"/>
        </w:rPr>
        <w:t>”</w:t>
      </w:r>
      <w:r w:rsidR="00A83B5F">
        <w:rPr>
          <w:rFonts w:ascii="Arial" w:hAnsi="Arial" w:cs="Arial"/>
          <w:sz w:val="24"/>
          <w:szCs w:val="24"/>
        </w:rPr>
        <w:t xml:space="preserve"> </w:t>
      </w:r>
      <w:r w:rsidR="00BA2E76">
        <w:rPr>
          <w:rFonts w:ascii="Arial" w:hAnsi="Arial" w:cs="Arial"/>
          <w:sz w:val="24"/>
          <w:szCs w:val="24"/>
        </w:rPr>
        <w:t xml:space="preserve">(Oxford Dictionary) </w:t>
      </w:r>
      <w:r w:rsidR="00A83B5F">
        <w:rPr>
          <w:rFonts w:ascii="Arial" w:hAnsi="Arial" w:cs="Arial"/>
          <w:sz w:val="24"/>
          <w:szCs w:val="24"/>
        </w:rPr>
        <w:t xml:space="preserve">of something.  This term of reference is rather </w:t>
      </w:r>
      <w:r w:rsidR="00A83B5F" w:rsidRPr="00A3000B">
        <w:rPr>
          <w:rFonts w:ascii="Arial" w:hAnsi="Arial" w:cs="Arial"/>
          <w:b/>
          <w:sz w:val="24"/>
          <w:szCs w:val="24"/>
        </w:rPr>
        <w:t>vague</w:t>
      </w:r>
      <w:r w:rsidR="00A83B5F">
        <w:rPr>
          <w:rFonts w:ascii="Arial" w:hAnsi="Arial" w:cs="Arial"/>
          <w:sz w:val="24"/>
          <w:szCs w:val="24"/>
        </w:rPr>
        <w:t>.  The Tribunal is, in any event, proceeding on the basis that the Respondent is not disputing that the disputants have been assigned the duties of Officer in Charge and, very importantly, disputants have been paid an allowance (whatever be the name given to it) for this</w:t>
      </w:r>
      <w:r w:rsidR="00BA2E76">
        <w:rPr>
          <w:rFonts w:ascii="Arial" w:hAnsi="Arial" w:cs="Arial"/>
          <w:sz w:val="24"/>
          <w:szCs w:val="24"/>
        </w:rPr>
        <w:t xml:space="preserve"> assignment of duties</w:t>
      </w:r>
      <w:r w:rsidR="00A83B5F">
        <w:rPr>
          <w:rFonts w:ascii="Arial" w:hAnsi="Arial" w:cs="Arial"/>
          <w:sz w:val="24"/>
          <w:szCs w:val="24"/>
        </w:rPr>
        <w:t xml:space="preserve">.  The </w:t>
      </w:r>
      <w:r w:rsidR="00BA2E76">
        <w:rPr>
          <w:rFonts w:ascii="Arial" w:hAnsi="Arial" w:cs="Arial"/>
          <w:sz w:val="24"/>
          <w:szCs w:val="24"/>
        </w:rPr>
        <w:t>crux of the dispute</w:t>
      </w:r>
      <w:r w:rsidR="00A83B5F">
        <w:rPr>
          <w:rFonts w:ascii="Arial" w:hAnsi="Arial" w:cs="Arial"/>
          <w:sz w:val="24"/>
          <w:szCs w:val="24"/>
        </w:rPr>
        <w:t xml:space="preserve"> is that the Respondent is averring that the post of Officer in Charge was not on the establishment of the Respondent (at the relevant time) and was </w:t>
      </w:r>
      <w:r w:rsidR="00EC6D2C">
        <w:rPr>
          <w:rFonts w:ascii="Arial" w:hAnsi="Arial" w:cs="Arial"/>
          <w:sz w:val="24"/>
          <w:szCs w:val="24"/>
        </w:rPr>
        <w:t>merely</w:t>
      </w:r>
      <w:r w:rsidR="00A83B5F">
        <w:rPr>
          <w:rFonts w:ascii="Arial" w:hAnsi="Arial" w:cs="Arial"/>
          <w:sz w:val="24"/>
          <w:szCs w:val="24"/>
        </w:rPr>
        <w:t xml:space="preserve"> a “designated position”.  The Tribunal cannot read more from the terms of reference at point in dispute no. 2</w:t>
      </w:r>
      <w:r w:rsidR="00EC6D2C">
        <w:rPr>
          <w:rFonts w:ascii="Arial" w:hAnsi="Arial" w:cs="Arial"/>
          <w:sz w:val="24"/>
          <w:szCs w:val="24"/>
        </w:rPr>
        <w:t>, as drafted,</w:t>
      </w:r>
      <w:r w:rsidR="00A83B5F">
        <w:rPr>
          <w:rFonts w:ascii="Arial" w:hAnsi="Arial" w:cs="Arial"/>
          <w:sz w:val="24"/>
          <w:szCs w:val="24"/>
        </w:rPr>
        <w:t xml:space="preserve"> </w:t>
      </w:r>
      <w:r w:rsidR="00EC6D2C">
        <w:rPr>
          <w:rFonts w:ascii="Arial" w:hAnsi="Arial" w:cs="Arial"/>
          <w:sz w:val="24"/>
          <w:szCs w:val="24"/>
        </w:rPr>
        <w:t xml:space="preserve">than a request for Respondent to recognise each disputant as Officer in Charge, and which the Respondent did, at least to some extent, since the latter were assigned the duties (as per relevant list of duties) of Officer in Charge </w:t>
      </w:r>
      <w:r w:rsidR="00EC6D2C" w:rsidRPr="00DF677B">
        <w:rPr>
          <w:rFonts w:ascii="Arial" w:hAnsi="Arial" w:cs="Arial"/>
          <w:sz w:val="24"/>
          <w:szCs w:val="24"/>
          <w:u w:val="single"/>
        </w:rPr>
        <w:t>and paid an allowance for the said assignment of duties</w:t>
      </w:r>
      <w:r w:rsidR="00DF677B">
        <w:rPr>
          <w:rFonts w:ascii="Arial" w:hAnsi="Arial" w:cs="Arial"/>
          <w:sz w:val="24"/>
          <w:szCs w:val="24"/>
        </w:rPr>
        <w:t xml:space="preserve"> (underlining is ours)</w:t>
      </w:r>
      <w:r w:rsidR="00EC6D2C">
        <w:rPr>
          <w:rFonts w:ascii="Arial" w:hAnsi="Arial" w:cs="Arial"/>
          <w:sz w:val="24"/>
          <w:szCs w:val="24"/>
        </w:rPr>
        <w:t xml:space="preserve">.  </w:t>
      </w:r>
    </w:p>
    <w:p w14:paraId="7C5C586E" w14:textId="2678C9A8" w:rsidR="00BC3F92" w:rsidRDefault="009A1425" w:rsidP="00253AF6">
      <w:pPr>
        <w:jc w:val="both"/>
        <w:rPr>
          <w:rFonts w:ascii="Arial" w:hAnsi="Arial" w:cs="Arial"/>
          <w:sz w:val="24"/>
          <w:szCs w:val="24"/>
        </w:rPr>
      </w:pPr>
      <w:r>
        <w:rPr>
          <w:rFonts w:ascii="Arial" w:hAnsi="Arial" w:cs="Arial"/>
          <w:color w:val="2A2A2A"/>
          <w:sz w:val="24"/>
          <w:szCs w:val="24"/>
          <w:shd w:val="clear" w:color="auto" w:fill="FFFFFF"/>
        </w:rPr>
        <w:t xml:space="preserve">The Tribunal certainly cannot award that Respondent should recognise Disputant as Officer in Charge in the sense that Respondent should </w:t>
      </w:r>
      <w:r w:rsidRPr="009A1425">
        <w:rPr>
          <w:rFonts w:ascii="Arial" w:hAnsi="Arial" w:cs="Arial"/>
          <w:color w:val="2A2A2A"/>
          <w:sz w:val="24"/>
          <w:szCs w:val="24"/>
          <w:u w:val="single"/>
          <w:shd w:val="clear" w:color="auto" w:fill="FFFFFF"/>
        </w:rPr>
        <w:t>accept or agree</w:t>
      </w:r>
      <w:r>
        <w:rPr>
          <w:rFonts w:ascii="Arial" w:hAnsi="Arial" w:cs="Arial"/>
          <w:color w:val="2A2A2A"/>
          <w:sz w:val="24"/>
          <w:szCs w:val="24"/>
          <w:shd w:val="clear" w:color="auto" w:fill="FFFFFF"/>
        </w:rPr>
        <w:t xml:space="preserve"> (underlining is ours) that the post of Officer in Charge is an established post at the Respondent.  This is the bone of contention between the parties and the case for the Respondent is that this post is not on the establishment of the Respondent.  Even the disputants are nowhere saying that the post of </w:t>
      </w:r>
      <w:r w:rsidR="00D94A41">
        <w:rPr>
          <w:rFonts w:ascii="Arial" w:hAnsi="Arial" w:cs="Arial"/>
          <w:color w:val="2A2A2A"/>
          <w:sz w:val="24"/>
          <w:szCs w:val="24"/>
          <w:shd w:val="clear" w:color="auto" w:fill="FFFFFF"/>
        </w:rPr>
        <w:t>“</w:t>
      </w:r>
      <w:r>
        <w:rPr>
          <w:rFonts w:ascii="Arial" w:hAnsi="Arial" w:cs="Arial"/>
          <w:color w:val="2A2A2A"/>
          <w:sz w:val="24"/>
          <w:szCs w:val="24"/>
          <w:shd w:val="clear" w:color="auto" w:fill="FFFFFF"/>
        </w:rPr>
        <w:t>Officer</w:t>
      </w:r>
      <w:r w:rsidR="00D94A41">
        <w:rPr>
          <w:rFonts w:ascii="Arial" w:hAnsi="Arial" w:cs="Arial"/>
          <w:color w:val="2A2A2A"/>
          <w:sz w:val="24"/>
          <w:szCs w:val="24"/>
          <w:shd w:val="clear" w:color="auto" w:fill="FFFFFF"/>
        </w:rPr>
        <w:t>-</w:t>
      </w:r>
      <w:r>
        <w:rPr>
          <w:rFonts w:ascii="Arial" w:hAnsi="Arial" w:cs="Arial"/>
          <w:color w:val="2A2A2A"/>
          <w:sz w:val="24"/>
          <w:szCs w:val="24"/>
          <w:shd w:val="clear" w:color="auto" w:fill="FFFFFF"/>
        </w:rPr>
        <w:t>in</w:t>
      </w:r>
      <w:r w:rsidR="00D94A41">
        <w:rPr>
          <w:rFonts w:ascii="Arial" w:hAnsi="Arial" w:cs="Arial"/>
          <w:color w:val="2A2A2A"/>
          <w:sz w:val="24"/>
          <w:szCs w:val="24"/>
          <w:shd w:val="clear" w:color="auto" w:fill="FFFFFF"/>
        </w:rPr>
        <w:t>-</w:t>
      </w:r>
      <w:r>
        <w:rPr>
          <w:rFonts w:ascii="Arial" w:hAnsi="Arial" w:cs="Arial"/>
          <w:color w:val="2A2A2A"/>
          <w:sz w:val="24"/>
          <w:szCs w:val="24"/>
          <w:shd w:val="clear" w:color="auto" w:fill="FFFFFF"/>
        </w:rPr>
        <w:t>Charge</w:t>
      </w:r>
      <w:r w:rsidR="00D94A41">
        <w:rPr>
          <w:rFonts w:ascii="Arial" w:hAnsi="Arial" w:cs="Arial"/>
          <w:color w:val="2A2A2A"/>
          <w:sz w:val="24"/>
          <w:szCs w:val="24"/>
          <w:shd w:val="clear" w:color="auto" w:fill="FFFFFF"/>
        </w:rPr>
        <w:t>”</w:t>
      </w:r>
      <w:r>
        <w:rPr>
          <w:rFonts w:ascii="Arial" w:hAnsi="Arial" w:cs="Arial"/>
          <w:color w:val="2A2A2A"/>
          <w:sz w:val="24"/>
          <w:szCs w:val="24"/>
          <w:shd w:val="clear" w:color="auto" w:fill="FFFFFF"/>
        </w:rPr>
        <w:t xml:space="preserve"> was on the establishment of the Respondent at the relevant period.  </w:t>
      </w:r>
      <w:r w:rsidR="00037EE5">
        <w:rPr>
          <w:rFonts w:ascii="Arial" w:hAnsi="Arial" w:cs="Arial"/>
          <w:color w:val="2A2A2A"/>
          <w:sz w:val="24"/>
          <w:szCs w:val="24"/>
          <w:shd w:val="clear" w:color="auto" w:fill="FFFFFF"/>
        </w:rPr>
        <w:t>The Tribunal cannot award that Respondent should accept or agree that Officer in Charge is an established post at the Respondent</w:t>
      </w:r>
      <w:r w:rsidR="00D94A41">
        <w:rPr>
          <w:rFonts w:ascii="Arial" w:hAnsi="Arial" w:cs="Arial"/>
          <w:color w:val="2A2A2A"/>
          <w:sz w:val="24"/>
          <w:szCs w:val="24"/>
          <w:shd w:val="clear" w:color="auto" w:fill="FFFFFF"/>
        </w:rPr>
        <w:t xml:space="preserve"> when the evidence shows otherwise</w:t>
      </w:r>
      <w:r w:rsidR="00037EE5">
        <w:rPr>
          <w:rFonts w:ascii="Arial" w:hAnsi="Arial" w:cs="Arial"/>
          <w:color w:val="2A2A2A"/>
          <w:sz w:val="24"/>
          <w:szCs w:val="24"/>
          <w:shd w:val="clear" w:color="auto" w:fill="FFFFFF"/>
        </w:rPr>
        <w:t xml:space="preserve">.  The unchallenged evidence on record however is that the disputants have indeed been performing duties as per a list of duties pertaining to </w:t>
      </w:r>
      <w:r w:rsidR="00E0573B">
        <w:rPr>
          <w:rFonts w:ascii="Arial" w:hAnsi="Arial" w:cs="Arial"/>
          <w:color w:val="2A2A2A"/>
          <w:sz w:val="24"/>
          <w:szCs w:val="24"/>
          <w:shd w:val="clear" w:color="auto" w:fill="FFFFFF"/>
        </w:rPr>
        <w:t xml:space="preserve">an </w:t>
      </w:r>
      <w:r w:rsidR="00037EE5">
        <w:rPr>
          <w:rFonts w:ascii="Arial" w:hAnsi="Arial" w:cs="Arial"/>
          <w:color w:val="2A2A2A"/>
          <w:sz w:val="24"/>
          <w:szCs w:val="24"/>
          <w:shd w:val="clear" w:color="auto" w:fill="FFFFFF"/>
        </w:rPr>
        <w:t xml:space="preserve">Officer in Charge and thus have been paid an allowance for performing the said duties.  Whilst the Tribunal has no issue with the last part of the terms of reference, that is, “since the time I have been performing the duties as such”, the first part has been drafted in a too vague manner to allow the Tribunal to award that the Respondent </w:t>
      </w:r>
      <w:r w:rsidR="00037EE5" w:rsidRPr="00D94A41">
        <w:rPr>
          <w:rFonts w:ascii="Arial" w:hAnsi="Arial" w:cs="Arial"/>
          <w:i/>
          <w:color w:val="2A2A2A"/>
          <w:sz w:val="24"/>
          <w:szCs w:val="24"/>
          <w:shd w:val="clear" w:color="auto" w:fill="FFFFFF"/>
        </w:rPr>
        <w:t>should recognise</w:t>
      </w:r>
      <w:r w:rsidR="00037EE5">
        <w:rPr>
          <w:rFonts w:ascii="Arial" w:hAnsi="Arial" w:cs="Arial"/>
          <w:color w:val="2A2A2A"/>
          <w:sz w:val="24"/>
          <w:szCs w:val="24"/>
          <w:shd w:val="clear" w:color="auto" w:fill="FFFFFF"/>
        </w:rPr>
        <w:t xml:space="preserve"> the disputants as Officers in Charge.   </w:t>
      </w:r>
      <w:r w:rsidR="00C93858">
        <w:rPr>
          <w:rFonts w:ascii="Arial" w:hAnsi="Arial" w:cs="Arial"/>
          <w:color w:val="2A2A2A"/>
          <w:sz w:val="24"/>
          <w:szCs w:val="24"/>
          <w:shd w:val="clear" w:color="auto" w:fill="FFFFFF"/>
        </w:rPr>
        <w:t xml:space="preserve"> </w:t>
      </w:r>
      <w:r>
        <w:rPr>
          <w:rFonts w:ascii="Arial" w:hAnsi="Arial" w:cs="Arial"/>
          <w:color w:val="2A2A2A"/>
          <w:sz w:val="24"/>
          <w:szCs w:val="24"/>
          <w:shd w:val="clear" w:color="auto" w:fill="FFFFFF"/>
        </w:rPr>
        <w:t xml:space="preserve"> </w:t>
      </w:r>
    </w:p>
    <w:p w14:paraId="04A91677" w14:textId="2573069F" w:rsidR="00037EE5" w:rsidRDefault="00037EE5" w:rsidP="00253AF6">
      <w:pPr>
        <w:jc w:val="both"/>
        <w:rPr>
          <w:rFonts w:ascii="Arial" w:hAnsi="Arial" w:cs="Arial"/>
          <w:sz w:val="24"/>
          <w:szCs w:val="24"/>
        </w:rPr>
      </w:pPr>
      <w:r>
        <w:rPr>
          <w:rFonts w:ascii="Arial" w:hAnsi="Arial" w:cs="Arial"/>
          <w:sz w:val="24"/>
          <w:szCs w:val="24"/>
        </w:rPr>
        <w:t xml:space="preserve">Subject to what we stated and </w:t>
      </w:r>
      <w:r w:rsidR="00F0255D">
        <w:rPr>
          <w:rFonts w:ascii="Arial" w:hAnsi="Arial" w:cs="Arial"/>
          <w:sz w:val="24"/>
          <w:szCs w:val="24"/>
        </w:rPr>
        <w:t xml:space="preserve">for the </w:t>
      </w:r>
      <w:r>
        <w:rPr>
          <w:rFonts w:ascii="Arial" w:hAnsi="Arial" w:cs="Arial"/>
          <w:sz w:val="24"/>
          <w:szCs w:val="24"/>
        </w:rPr>
        <w:t xml:space="preserve">reasons given above, </w:t>
      </w:r>
      <w:r w:rsidR="00C16A08">
        <w:rPr>
          <w:rFonts w:ascii="Arial" w:hAnsi="Arial" w:cs="Arial"/>
          <w:sz w:val="24"/>
          <w:szCs w:val="24"/>
        </w:rPr>
        <w:t xml:space="preserve">point in dispute no. 2 </w:t>
      </w:r>
      <w:r>
        <w:rPr>
          <w:rFonts w:ascii="Arial" w:hAnsi="Arial" w:cs="Arial"/>
          <w:sz w:val="24"/>
          <w:szCs w:val="24"/>
        </w:rPr>
        <w:t>is thus otherwise set aside.</w:t>
      </w:r>
    </w:p>
    <w:p w14:paraId="28ED11A3" w14:textId="65EC6DAC" w:rsidR="004E7563" w:rsidRPr="00952D52" w:rsidRDefault="00037EE5" w:rsidP="003C5495">
      <w:pPr>
        <w:jc w:val="both"/>
        <w:rPr>
          <w:rFonts w:ascii="Arial" w:hAnsi="Arial" w:cs="Arial"/>
          <w:sz w:val="24"/>
          <w:szCs w:val="24"/>
        </w:rPr>
      </w:pPr>
      <w:r>
        <w:rPr>
          <w:rFonts w:ascii="Arial" w:hAnsi="Arial" w:cs="Arial"/>
          <w:sz w:val="24"/>
          <w:szCs w:val="24"/>
        </w:rPr>
        <w:t xml:space="preserve">As regards point in dispute no. 3, </w:t>
      </w:r>
      <w:r w:rsidR="00A855BE">
        <w:rPr>
          <w:rFonts w:ascii="Arial" w:hAnsi="Arial" w:cs="Arial"/>
          <w:sz w:val="24"/>
          <w:szCs w:val="24"/>
        </w:rPr>
        <w:t xml:space="preserve">this will not apply strictly for </w:t>
      </w:r>
      <w:r w:rsidR="005D2F66" w:rsidRPr="00952D52">
        <w:rPr>
          <w:rFonts w:ascii="Arial" w:hAnsi="Arial" w:cs="Arial"/>
          <w:sz w:val="24"/>
          <w:szCs w:val="24"/>
        </w:rPr>
        <w:t>Disputants nos. 2</w:t>
      </w:r>
      <w:r w:rsidR="00BD422C">
        <w:rPr>
          <w:rFonts w:ascii="Arial" w:hAnsi="Arial" w:cs="Arial"/>
          <w:sz w:val="24"/>
          <w:szCs w:val="24"/>
        </w:rPr>
        <w:t xml:space="preserve"> </w:t>
      </w:r>
      <w:r w:rsidR="005D2F66" w:rsidRPr="00952D52">
        <w:rPr>
          <w:rFonts w:ascii="Arial" w:hAnsi="Arial" w:cs="Arial"/>
          <w:sz w:val="24"/>
          <w:szCs w:val="24"/>
        </w:rPr>
        <w:t>and 7</w:t>
      </w:r>
      <w:r w:rsidR="00A855BE">
        <w:rPr>
          <w:rFonts w:ascii="Arial" w:hAnsi="Arial" w:cs="Arial"/>
          <w:sz w:val="24"/>
          <w:szCs w:val="24"/>
        </w:rPr>
        <w:t xml:space="preserve"> since the two disputants</w:t>
      </w:r>
      <w:r w:rsidR="005D2F66" w:rsidRPr="00952D52">
        <w:rPr>
          <w:rFonts w:ascii="Arial" w:hAnsi="Arial" w:cs="Arial"/>
          <w:sz w:val="24"/>
          <w:szCs w:val="24"/>
        </w:rPr>
        <w:t xml:space="preserve"> were shouldering the responsibilities of Officer in Charge, PVE Centres </w:t>
      </w:r>
      <w:r w:rsidR="004E7563" w:rsidRPr="00952D52">
        <w:rPr>
          <w:rFonts w:ascii="Arial" w:hAnsi="Arial" w:cs="Arial"/>
          <w:sz w:val="24"/>
          <w:szCs w:val="24"/>
        </w:rPr>
        <w:t xml:space="preserve">as from 23 January 2014 and were paid an ad hoc allowance as from the beginning (as opposed to the other disputants who were previously paid an acting/responsibility allowance which was later </w:t>
      </w:r>
      <w:r w:rsidR="00EF0197">
        <w:rPr>
          <w:rFonts w:ascii="Arial" w:hAnsi="Arial" w:cs="Arial"/>
          <w:sz w:val="24"/>
          <w:szCs w:val="24"/>
        </w:rPr>
        <w:t>referred to as</w:t>
      </w:r>
      <w:r w:rsidR="004E7563" w:rsidRPr="00952D52">
        <w:rPr>
          <w:rFonts w:ascii="Arial" w:hAnsi="Arial" w:cs="Arial"/>
          <w:sz w:val="24"/>
          <w:szCs w:val="24"/>
        </w:rPr>
        <w:t xml:space="preserve"> adhoc allowance</w:t>
      </w:r>
      <w:r w:rsidR="00EF0197">
        <w:rPr>
          <w:rFonts w:ascii="Arial" w:hAnsi="Arial" w:cs="Arial"/>
          <w:sz w:val="24"/>
          <w:szCs w:val="24"/>
        </w:rPr>
        <w:t>)</w:t>
      </w:r>
      <w:r w:rsidR="004E7563" w:rsidRPr="00952D52">
        <w:rPr>
          <w:rFonts w:ascii="Arial" w:hAnsi="Arial" w:cs="Arial"/>
          <w:sz w:val="24"/>
          <w:szCs w:val="24"/>
        </w:rPr>
        <w:t xml:space="preserve">.  </w:t>
      </w:r>
    </w:p>
    <w:p w14:paraId="37334440" w14:textId="3A3845B0" w:rsidR="008F44AC" w:rsidRPr="00952D52" w:rsidRDefault="00CA4B07" w:rsidP="003C5495">
      <w:pPr>
        <w:jc w:val="both"/>
        <w:rPr>
          <w:rFonts w:ascii="Arial" w:hAnsi="Arial" w:cs="Arial"/>
          <w:sz w:val="24"/>
          <w:szCs w:val="24"/>
        </w:rPr>
      </w:pPr>
      <w:r w:rsidRPr="00952D52">
        <w:rPr>
          <w:rFonts w:ascii="Arial" w:hAnsi="Arial" w:cs="Arial"/>
          <w:sz w:val="24"/>
          <w:szCs w:val="24"/>
        </w:rPr>
        <w:t>Though it was not mentioned in any of the internal advertisements produced nor in any of the letters of offer</w:t>
      </w:r>
      <w:r w:rsidR="00AC2F7B">
        <w:rPr>
          <w:rFonts w:ascii="Arial" w:hAnsi="Arial" w:cs="Arial"/>
          <w:sz w:val="24"/>
          <w:szCs w:val="24"/>
        </w:rPr>
        <w:t xml:space="preserve"> </w:t>
      </w:r>
      <w:r w:rsidRPr="00952D52">
        <w:rPr>
          <w:rFonts w:ascii="Arial" w:hAnsi="Arial" w:cs="Arial"/>
          <w:sz w:val="24"/>
          <w:szCs w:val="24"/>
        </w:rPr>
        <w:t xml:space="preserve">made to the disputants, yet </w:t>
      </w:r>
      <w:r w:rsidR="00EF0197">
        <w:rPr>
          <w:rFonts w:ascii="Arial" w:hAnsi="Arial" w:cs="Arial"/>
          <w:sz w:val="24"/>
          <w:szCs w:val="24"/>
        </w:rPr>
        <w:t xml:space="preserve">it is agreed that </w:t>
      </w:r>
      <w:r w:rsidR="00AC2F7B">
        <w:rPr>
          <w:rFonts w:ascii="Arial" w:hAnsi="Arial" w:cs="Arial"/>
          <w:sz w:val="24"/>
          <w:szCs w:val="24"/>
        </w:rPr>
        <w:t>f</w:t>
      </w:r>
      <w:r w:rsidRPr="00952D52">
        <w:rPr>
          <w:rFonts w:ascii="Arial" w:hAnsi="Arial" w:cs="Arial"/>
          <w:sz w:val="24"/>
          <w:szCs w:val="24"/>
        </w:rPr>
        <w:t xml:space="preserve">or Disputants </w:t>
      </w:r>
      <w:r w:rsidR="00AC2F7B">
        <w:rPr>
          <w:rFonts w:ascii="Arial" w:hAnsi="Arial" w:cs="Arial"/>
          <w:sz w:val="24"/>
          <w:szCs w:val="24"/>
        </w:rPr>
        <w:t>No 1, 3, 4, 5 and 6</w:t>
      </w:r>
      <w:r w:rsidRPr="00952D52">
        <w:rPr>
          <w:rFonts w:ascii="Arial" w:hAnsi="Arial" w:cs="Arial"/>
          <w:sz w:val="24"/>
          <w:szCs w:val="24"/>
        </w:rPr>
        <w:t xml:space="preserve"> the allowance paid </w:t>
      </w:r>
      <w:r w:rsidR="00AC2F7B">
        <w:rPr>
          <w:rFonts w:ascii="Arial" w:hAnsi="Arial" w:cs="Arial"/>
          <w:sz w:val="24"/>
          <w:szCs w:val="24"/>
        </w:rPr>
        <w:t xml:space="preserve">to them </w:t>
      </w:r>
      <w:r w:rsidRPr="00952D52">
        <w:rPr>
          <w:rFonts w:ascii="Arial" w:hAnsi="Arial" w:cs="Arial"/>
          <w:sz w:val="24"/>
          <w:szCs w:val="24"/>
        </w:rPr>
        <w:t>was described as Acting/Resp</w:t>
      </w:r>
      <w:r w:rsidR="00A855BE">
        <w:rPr>
          <w:rFonts w:ascii="Arial" w:hAnsi="Arial" w:cs="Arial"/>
          <w:sz w:val="24"/>
          <w:szCs w:val="24"/>
        </w:rPr>
        <w:t>onsibility</w:t>
      </w:r>
      <w:r w:rsidRPr="00952D52">
        <w:rPr>
          <w:rFonts w:ascii="Arial" w:hAnsi="Arial" w:cs="Arial"/>
          <w:sz w:val="24"/>
          <w:szCs w:val="24"/>
        </w:rPr>
        <w:t xml:space="preserve"> allowance in their payslips.  In the case of Disputant</w:t>
      </w:r>
      <w:r w:rsidR="00AC2F7B">
        <w:rPr>
          <w:rFonts w:ascii="Arial" w:hAnsi="Arial" w:cs="Arial"/>
          <w:sz w:val="24"/>
          <w:szCs w:val="24"/>
        </w:rPr>
        <w:t xml:space="preserve"> No 3</w:t>
      </w:r>
      <w:r w:rsidRPr="00952D52">
        <w:rPr>
          <w:rFonts w:ascii="Arial" w:hAnsi="Arial" w:cs="Arial"/>
          <w:sz w:val="24"/>
          <w:szCs w:val="24"/>
        </w:rPr>
        <w:t xml:space="preserve"> the evidence suggests that this must have been going on for </w:t>
      </w:r>
      <w:r w:rsidR="00AC2F7B">
        <w:rPr>
          <w:rFonts w:ascii="Arial" w:hAnsi="Arial" w:cs="Arial"/>
          <w:sz w:val="24"/>
          <w:szCs w:val="24"/>
        </w:rPr>
        <w:t xml:space="preserve">some </w:t>
      </w:r>
      <w:r w:rsidR="00AC2F7B" w:rsidRPr="00A855BE">
        <w:rPr>
          <w:rFonts w:ascii="Arial" w:hAnsi="Arial" w:cs="Arial"/>
          <w:sz w:val="24"/>
          <w:szCs w:val="24"/>
        </w:rPr>
        <w:t>six years</w:t>
      </w:r>
      <w:r w:rsidR="00AC2F7B">
        <w:rPr>
          <w:rFonts w:ascii="Arial" w:hAnsi="Arial" w:cs="Arial"/>
          <w:sz w:val="24"/>
          <w:szCs w:val="24"/>
        </w:rPr>
        <w:t xml:space="preserve"> whilst for Disputants Nos </w:t>
      </w:r>
      <w:r w:rsidR="00730F03">
        <w:rPr>
          <w:rFonts w:ascii="Arial" w:hAnsi="Arial" w:cs="Arial"/>
          <w:sz w:val="24"/>
          <w:szCs w:val="24"/>
        </w:rPr>
        <w:t>1 and 4 it would have been for nearly five years.</w:t>
      </w:r>
      <w:r w:rsidRPr="00952D52">
        <w:rPr>
          <w:rFonts w:ascii="Arial" w:hAnsi="Arial" w:cs="Arial"/>
          <w:sz w:val="24"/>
          <w:szCs w:val="24"/>
        </w:rPr>
        <w:t xml:space="preserve">  Then in </w:t>
      </w:r>
      <w:r w:rsidR="00AC2F7B">
        <w:rPr>
          <w:rFonts w:ascii="Arial" w:hAnsi="Arial" w:cs="Arial"/>
          <w:sz w:val="24"/>
          <w:szCs w:val="24"/>
        </w:rPr>
        <w:t>2013</w:t>
      </w:r>
      <w:r w:rsidRPr="00952D52">
        <w:rPr>
          <w:rFonts w:ascii="Arial" w:hAnsi="Arial" w:cs="Arial"/>
          <w:sz w:val="24"/>
          <w:szCs w:val="24"/>
        </w:rPr>
        <w:t xml:space="preserve"> following the PRB Report 2013, the Respondent would have </w:t>
      </w:r>
      <w:r w:rsidR="009D4CA3" w:rsidRPr="00952D52">
        <w:rPr>
          <w:rFonts w:ascii="Arial" w:hAnsi="Arial" w:cs="Arial"/>
          <w:sz w:val="24"/>
          <w:szCs w:val="24"/>
        </w:rPr>
        <w:t>realized this was a mistake.  There was a</w:t>
      </w:r>
      <w:r w:rsidR="00AC2F7B">
        <w:rPr>
          <w:rFonts w:ascii="Arial" w:hAnsi="Arial" w:cs="Arial"/>
          <w:sz w:val="24"/>
          <w:szCs w:val="24"/>
        </w:rPr>
        <w:t>llegedly</w:t>
      </w:r>
      <w:r w:rsidR="009D4CA3" w:rsidRPr="00952D52">
        <w:rPr>
          <w:rFonts w:ascii="Arial" w:hAnsi="Arial" w:cs="Arial"/>
          <w:sz w:val="24"/>
          <w:szCs w:val="24"/>
        </w:rPr>
        <w:t xml:space="preserve"> only one type of allowance </w:t>
      </w:r>
      <w:r w:rsidR="00EF0197">
        <w:rPr>
          <w:rFonts w:ascii="Arial" w:hAnsi="Arial" w:cs="Arial"/>
          <w:sz w:val="24"/>
          <w:szCs w:val="24"/>
        </w:rPr>
        <w:t xml:space="preserve">(acting/responsibility allowance) </w:t>
      </w:r>
      <w:r w:rsidR="009D4CA3" w:rsidRPr="00952D52">
        <w:rPr>
          <w:rFonts w:ascii="Arial" w:hAnsi="Arial" w:cs="Arial"/>
          <w:sz w:val="24"/>
          <w:szCs w:val="24"/>
        </w:rPr>
        <w:t>that could be inserted on the</w:t>
      </w:r>
      <w:r w:rsidR="00EF0197">
        <w:rPr>
          <w:rFonts w:ascii="Arial" w:hAnsi="Arial" w:cs="Arial"/>
          <w:sz w:val="24"/>
          <w:szCs w:val="24"/>
        </w:rPr>
        <w:t xml:space="preserve"> relevant </w:t>
      </w:r>
      <w:r w:rsidR="00AC2F7B">
        <w:rPr>
          <w:rFonts w:ascii="Arial" w:hAnsi="Arial" w:cs="Arial"/>
          <w:sz w:val="24"/>
          <w:szCs w:val="24"/>
        </w:rPr>
        <w:t>IT</w:t>
      </w:r>
      <w:r w:rsidR="0088139F">
        <w:rPr>
          <w:rFonts w:ascii="Arial" w:hAnsi="Arial" w:cs="Arial"/>
          <w:sz w:val="24"/>
          <w:szCs w:val="24"/>
        </w:rPr>
        <w:t>/Finance</w:t>
      </w:r>
      <w:r w:rsidR="00AC2F7B">
        <w:rPr>
          <w:rFonts w:ascii="Arial" w:hAnsi="Arial" w:cs="Arial"/>
          <w:sz w:val="24"/>
          <w:szCs w:val="24"/>
        </w:rPr>
        <w:t xml:space="preserve"> </w:t>
      </w:r>
      <w:r w:rsidR="009D4CA3" w:rsidRPr="00952D52">
        <w:rPr>
          <w:rFonts w:ascii="Arial" w:hAnsi="Arial" w:cs="Arial"/>
          <w:sz w:val="24"/>
          <w:szCs w:val="24"/>
        </w:rPr>
        <w:t xml:space="preserve">system being used </w:t>
      </w:r>
      <w:r w:rsidR="00AC2F7B">
        <w:rPr>
          <w:rFonts w:ascii="Arial" w:hAnsi="Arial" w:cs="Arial"/>
          <w:sz w:val="24"/>
          <w:szCs w:val="24"/>
        </w:rPr>
        <w:t xml:space="preserve">at the Respondent </w:t>
      </w:r>
      <w:r w:rsidR="009D4CA3" w:rsidRPr="00952D52">
        <w:rPr>
          <w:rFonts w:ascii="Arial" w:hAnsi="Arial" w:cs="Arial"/>
          <w:sz w:val="24"/>
          <w:szCs w:val="24"/>
        </w:rPr>
        <w:t xml:space="preserve">and finally a correction was done </w:t>
      </w:r>
      <w:r w:rsidR="008F44AC" w:rsidRPr="00952D52">
        <w:rPr>
          <w:rFonts w:ascii="Arial" w:hAnsi="Arial" w:cs="Arial"/>
          <w:sz w:val="24"/>
          <w:szCs w:val="24"/>
        </w:rPr>
        <w:t xml:space="preserve">in </w:t>
      </w:r>
      <w:r w:rsidR="00730F03">
        <w:rPr>
          <w:rFonts w:ascii="Arial" w:hAnsi="Arial" w:cs="Arial"/>
          <w:sz w:val="24"/>
          <w:szCs w:val="24"/>
        </w:rPr>
        <w:t xml:space="preserve">2013 </w:t>
      </w:r>
      <w:r w:rsidR="009D4CA3" w:rsidRPr="00952D52">
        <w:rPr>
          <w:rFonts w:ascii="Arial" w:hAnsi="Arial" w:cs="Arial"/>
          <w:sz w:val="24"/>
          <w:szCs w:val="24"/>
        </w:rPr>
        <w:t>whereby the allowances w</w:t>
      </w:r>
      <w:r w:rsidR="00EF0197">
        <w:rPr>
          <w:rFonts w:ascii="Arial" w:hAnsi="Arial" w:cs="Arial"/>
          <w:sz w:val="24"/>
          <w:szCs w:val="24"/>
        </w:rPr>
        <w:t>ere</w:t>
      </w:r>
      <w:r w:rsidR="009D4CA3" w:rsidRPr="00952D52">
        <w:rPr>
          <w:rFonts w:ascii="Arial" w:hAnsi="Arial" w:cs="Arial"/>
          <w:sz w:val="24"/>
          <w:szCs w:val="24"/>
        </w:rPr>
        <w:t xml:space="preserve"> </w:t>
      </w:r>
      <w:r w:rsidR="008F44AC" w:rsidRPr="00952D52">
        <w:rPr>
          <w:rFonts w:ascii="Arial" w:hAnsi="Arial" w:cs="Arial"/>
          <w:sz w:val="24"/>
          <w:szCs w:val="24"/>
        </w:rPr>
        <w:t xml:space="preserve">as from then on </w:t>
      </w:r>
      <w:r w:rsidR="00EF0197">
        <w:rPr>
          <w:rFonts w:ascii="Arial" w:hAnsi="Arial" w:cs="Arial"/>
          <w:sz w:val="24"/>
          <w:szCs w:val="24"/>
        </w:rPr>
        <w:t>d</w:t>
      </w:r>
      <w:r w:rsidR="008F44AC" w:rsidRPr="00952D52">
        <w:rPr>
          <w:rFonts w:ascii="Arial" w:hAnsi="Arial" w:cs="Arial"/>
          <w:sz w:val="24"/>
          <w:szCs w:val="24"/>
        </w:rPr>
        <w:t xml:space="preserve">escribed on the payslips of the relevant disputants as adhoc allowance.  </w:t>
      </w:r>
    </w:p>
    <w:p w14:paraId="7719CF5F" w14:textId="6789D3AC" w:rsidR="002272BC" w:rsidRDefault="008F44AC" w:rsidP="00434DDA">
      <w:pPr>
        <w:pStyle w:val="NoSpacing"/>
        <w:jc w:val="both"/>
        <w:rPr>
          <w:rFonts w:ascii="Arial" w:hAnsi="Arial" w:cs="Arial"/>
          <w:sz w:val="24"/>
          <w:szCs w:val="24"/>
        </w:rPr>
      </w:pPr>
      <w:r w:rsidRPr="00952D52">
        <w:rPr>
          <w:rFonts w:ascii="Arial" w:hAnsi="Arial" w:cs="Arial"/>
          <w:sz w:val="24"/>
          <w:szCs w:val="24"/>
        </w:rPr>
        <w:t xml:space="preserve">The Tribunal is of the opinion that the name or description used for an allowance may not necessarily </w:t>
      </w:r>
      <w:r w:rsidR="00434DDA">
        <w:rPr>
          <w:rFonts w:ascii="Arial" w:hAnsi="Arial" w:cs="Arial"/>
          <w:sz w:val="24"/>
          <w:szCs w:val="24"/>
        </w:rPr>
        <w:t xml:space="preserve">(though most often this will be the case) </w:t>
      </w:r>
      <w:r w:rsidRPr="00952D52">
        <w:rPr>
          <w:rFonts w:ascii="Arial" w:hAnsi="Arial" w:cs="Arial"/>
          <w:sz w:val="24"/>
          <w:szCs w:val="24"/>
        </w:rPr>
        <w:t xml:space="preserve">be conclusive as to the nature of the allowance being paid.  Much will depend on why the allowance is being paid and the circumstances leading to the relevant officer performing such duties </w:t>
      </w:r>
      <w:r w:rsidR="002272BC" w:rsidRPr="00952D52">
        <w:rPr>
          <w:rFonts w:ascii="Arial" w:hAnsi="Arial" w:cs="Arial"/>
          <w:sz w:val="24"/>
          <w:szCs w:val="24"/>
        </w:rPr>
        <w:t>which warrant the payment of the allowance</w:t>
      </w:r>
      <w:r w:rsidRPr="00952D52">
        <w:rPr>
          <w:rFonts w:ascii="Arial" w:hAnsi="Arial" w:cs="Arial"/>
          <w:sz w:val="24"/>
          <w:szCs w:val="24"/>
        </w:rPr>
        <w:t>.</w:t>
      </w:r>
      <w:r w:rsidR="002272BC" w:rsidRPr="00952D52">
        <w:rPr>
          <w:rFonts w:ascii="Arial" w:hAnsi="Arial" w:cs="Arial"/>
          <w:sz w:val="24"/>
          <w:szCs w:val="24"/>
        </w:rPr>
        <w:t xml:space="preserve">  Suffice it to say however, that an adhoc allowance is meant to apply for a </w:t>
      </w:r>
      <w:r w:rsidR="00434DDA">
        <w:rPr>
          <w:rFonts w:ascii="Arial" w:hAnsi="Arial" w:cs="Arial"/>
          <w:sz w:val="24"/>
          <w:szCs w:val="24"/>
        </w:rPr>
        <w:t>particular purpose as necessary or needed</w:t>
      </w:r>
      <w:r w:rsidR="002272BC" w:rsidRPr="00952D52">
        <w:rPr>
          <w:rFonts w:ascii="Arial" w:hAnsi="Arial" w:cs="Arial"/>
          <w:sz w:val="24"/>
          <w:szCs w:val="24"/>
        </w:rPr>
        <w:t xml:space="preserve">.  </w:t>
      </w:r>
    </w:p>
    <w:p w14:paraId="40459844" w14:textId="77777777" w:rsidR="00434DDA" w:rsidRPr="00952D52" w:rsidRDefault="00434DDA" w:rsidP="00434DDA">
      <w:pPr>
        <w:pStyle w:val="NoSpacing"/>
        <w:jc w:val="both"/>
        <w:rPr>
          <w:rFonts w:ascii="Arial" w:hAnsi="Arial" w:cs="Arial"/>
          <w:sz w:val="24"/>
          <w:szCs w:val="24"/>
        </w:rPr>
      </w:pPr>
    </w:p>
    <w:p w14:paraId="19AEFF9A" w14:textId="51F4EFAE" w:rsidR="00EB1A64" w:rsidRDefault="002272BC" w:rsidP="003C5495">
      <w:pPr>
        <w:jc w:val="both"/>
        <w:rPr>
          <w:rFonts w:ascii="Arial" w:hAnsi="Arial" w:cs="Arial"/>
          <w:sz w:val="24"/>
          <w:szCs w:val="24"/>
        </w:rPr>
      </w:pPr>
      <w:r w:rsidRPr="00952D52">
        <w:rPr>
          <w:rFonts w:ascii="Arial" w:hAnsi="Arial" w:cs="Arial"/>
          <w:sz w:val="24"/>
          <w:szCs w:val="24"/>
        </w:rPr>
        <w:t>In the</w:t>
      </w:r>
      <w:r w:rsidR="00DF7B13" w:rsidRPr="00952D52">
        <w:rPr>
          <w:rFonts w:ascii="Arial" w:hAnsi="Arial" w:cs="Arial"/>
          <w:sz w:val="24"/>
          <w:szCs w:val="24"/>
        </w:rPr>
        <w:t xml:space="preserve"> present matter</w:t>
      </w:r>
      <w:r w:rsidRPr="00952D52">
        <w:rPr>
          <w:rFonts w:ascii="Arial" w:hAnsi="Arial" w:cs="Arial"/>
          <w:sz w:val="24"/>
          <w:szCs w:val="24"/>
        </w:rPr>
        <w:t xml:space="preserve">, </w:t>
      </w:r>
      <w:r w:rsidR="00DF7B13" w:rsidRPr="00952D52">
        <w:rPr>
          <w:rFonts w:ascii="Arial" w:hAnsi="Arial" w:cs="Arial"/>
          <w:sz w:val="24"/>
          <w:szCs w:val="24"/>
        </w:rPr>
        <w:t>the relevant disputants were being paid</w:t>
      </w:r>
      <w:r w:rsidR="00D46D21">
        <w:rPr>
          <w:rFonts w:ascii="Arial" w:hAnsi="Arial" w:cs="Arial"/>
          <w:sz w:val="24"/>
          <w:szCs w:val="24"/>
        </w:rPr>
        <w:t>,</w:t>
      </w:r>
      <w:r w:rsidR="00DF7B13" w:rsidRPr="00952D52">
        <w:rPr>
          <w:rFonts w:ascii="Arial" w:hAnsi="Arial" w:cs="Arial"/>
          <w:sz w:val="24"/>
          <w:szCs w:val="24"/>
        </w:rPr>
        <w:t xml:space="preserve"> </w:t>
      </w:r>
      <w:r w:rsidR="00AC2F7B">
        <w:rPr>
          <w:rFonts w:ascii="Arial" w:hAnsi="Arial" w:cs="Arial"/>
          <w:sz w:val="24"/>
          <w:szCs w:val="24"/>
        </w:rPr>
        <w:t xml:space="preserve">what was described on their relevant payslips </w:t>
      </w:r>
      <w:r w:rsidR="00DF7B13" w:rsidRPr="00952D52">
        <w:rPr>
          <w:rFonts w:ascii="Arial" w:hAnsi="Arial" w:cs="Arial"/>
          <w:sz w:val="24"/>
          <w:szCs w:val="24"/>
        </w:rPr>
        <w:t>a</w:t>
      </w:r>
      <w:r w:rsidR="00D46D21">
        <w:rPr>
          <w:rFonts w:ascii="Arial" w:hAnsi="Arial" w:cs="Arial"/>
          <w:sz w:val="24"/>
          <w:szCs w:val="24"/>
        </w:rPr>
        <w:t>s</w:t>
      </w:r>
      <w:r w:rsidR="00DF7B13" w:rsidRPr="00952D52">
        <w:rPr>
          <w:rFonts w:ascii="Arial" w:hAnsi="Arial" w:cs="Arial"/>
          <w:sz w:val="24"/>
          <w:szCs w:val="24"/>
        </w:rPr>
        <w:t xml:space="preserve"> Acting/Resp</w:t>
      </w:r>
      <w:r w:rsidR="00AC2F7B">
        <w:rPr>
          <w:rFonts w:ascii="Arial" w:hAnsi="Arial" w:cs="Arial"/>
          <w:sz w:val="24"/>
          <w:szCs w:val="24"/>
        </w:rPr>
        <w:t>onsibility</w:t>
      </w:r>
      <w:r w:rsidR="00DF7B13" w:rsidRPr="00952D52">
        <w:rPr>
          <w:rFonts w:ascii="Arial" w:hAnsi="Arial" w:cs="Arial"/>
          <w:sz w:val="24"/>
          <w:szCs w:val="24"/>
        </w:rPr>
        <w:t xml:space="preserve"> allowance</w:t>
      </w:r>
      <w:r w:rsidR="00D46D21">
        <w:rPr>
          <w:rFonts w:ascii="Arial" w:hAnsi="Arial" w:cs="Arial"/>
          <w:sz w:val="24"/>
          <w:szCs w:val="24"/>
        </w:rPr>
        <w:t>,</w:t>
      </w:r>
      <w:r w:rsidR="00DF7B13" w:rsidRPr="00952D52">
        <w:rPr>
          <w:rFonts w:ascii="Arial" w:hAnsi="Arial" w:cs="Arial"/>
          <w:sz w:val="24"/>
          <w:szCs w:val="24"/>
        </w:rPr>
        <w:t xml:space="preserve"> </w:t>
      </w:r>
      <w:r w:rsidR="00D806F4">
        <w:rPr>
          <w:rFonts w:ascii="Arial" w:hAnsi="Arial" w:cs="Arial"/>
          <w:sz w:val="24"/>
          <w:szCs w:val="24"/>
        </w:rPr>
        <w:t xml:space="preserve">as from 21 December 2006 (in the case of Disputant No 3), as from 6 February 2008 in the case of Disputants Nos. 1 and 4 and as from 1 January 2012 </w:t>
      </w:r>
      <w:r w:rsidR="00752366">
        <w:rPr>
          <w:rFonts w:ascii="Arial" w:hAnsi="Arial" w:cs="Arial"/>
          <w:sz w:val="24"/>
          <w:szCs w:val="24"/>
        </w:rPr>
        <w:t xml:space="preserve">in the case of Disputant No 5.  Disputants 2 and 7 are not directly concerned with this dispute since they have been assigned duties as Officer in Charge (PVE Centres) with effect from 23 January 2014 and there is no evidence on record that </w:t>
      </w:r>
      <w:r w:rsidR="00A45DFA">
        <w:rPr>
          <w:rFonts w:ascii="Arial" w:hAnsi="Arial" w:cs="Arial"/>
          <w:sz w:val="24"/>
          <w:szCs w:val="24"/>
        </w:rPr>
        <w:t>acting/responsibility</w:t>
      </w:r>
      <w:r w:rsidR="00752366">
        <w:rPr>
          <w:rFonts w:ascii="Arial" w:hAnsi="Arial" w:cs="Arial"/>
          <w:sz w:val="24"/>
          <w:szCs w:val="24"/>
        </w:rPr>
        <w:t xml:space="preserve"> allowance was mentioned </w:t>
      </w:r>
      <w:r w:rsidR="00A45DFA">
        <w:rPr>
          <w:rFonts w:ascii="Arial" w:hAnsi="Arial" w:cs="Arial"/>
          <w:sz w:val="24"/>
          <w:szCs w:val="24"/>
        </w:rPr>
        <w:t xml:space="preserve">(for the same allowance) </w:t>
      </w:r>
      <w:r w:rsidR="00752366">
        <w:rPr>
          <w:rFonts w:ascii="Arial" w:hAnsi="Arial" w:cs="Arial"/>
          <w:sz w:val="24"/>
          <w:szCs w:val="24"/>
        </w:rPr>
        <w:t xml:space="preserve">on their payslips.  </w:t>
      </w:r>
      <w:r w:rsidR="00B40A82">
        <w:rPr>
          <w:rFonts w:ascii="Arial" w:hAnsi="Arial" w:cs="Arial"/>
          <w:sz w:val="24"/>
          <w:szCs w:val="24"/>
        </w:rPr>
        <w:t xml:space="preserve">There is evidence that the assignment of duties is continuing until now except obviously for those who have meanwhile retired from the service.  </w:t>
      </w:r>
      <w:r w:rsidR="006C65A9">
        <w:rPr>
          <w:rFonts w:ascii="Arial" w:hAnsi="Arial" w:cs="Arial"/>
          <w:sz w:val="24"/>
          <w:szCs w:val="24"/>
        </w:rPr>
        <w:t xml:space="preserve">Thus, </w:t>
      </w:r>
      <w:r w:rsidR="00B40A82">
        <w:rPr>
          <w:rFonts w:ascii="Arial" w:hAnsi="Arial" w:cs="Arial"/>
          <w:sz w:val="24"/>
          <w:szCs w:val="24"/>
        </w:rPr>
        <w:t xml:space="preserve">even if for the sake of argument we proceed on the basis that  Disputants 2 and 7 are raising point in dispute No 3 purely in their capacity as Training Officers who were assigned duties as Officers in Charge, we find that </w:t>
      </w:r>
      <w:r w:rsidR="006C65A9">
        <w:rPr>
          <w:rFonts w:ascii="Arial" w:hAnsi="Arial" w:cs="Arial"/>
          <w:sz w:val="24"/>
          <w:szCs w:val="24"/>
        </w:rPr>
        <w:t xml:space="preserve">the terms of reference of the dispute leave very little choice to the Tribunal.  As highlighted above, the name given to a particular allowance is not what really matters but instead more importantly is the reason why the allowance </w:t>
      </w:r>
      <w:r w:rsidR="00730F03">
        <w:rPr>
          <w:rFonts w:ascii="Arial" w:hAnsi="Arial" w:cs="Arial"/>
          <w:sz w:val="24"/>
          <w:szCs w:val="24"/>
        </w:rPr>
        <w:t xml:space="preserve">is being paid </w:t>
      </w:r>
      <w:r w:rsidR="006C65A9">
        <w:rPr>
          <w:rFonts w:ascii="Arial" w:hAnsi="Arial" w:cs="Arial"/>
          <w:sz w:val="24"/>
          <w:szCs w:val="24"/>
        </w:rPr>
        <w:t xml:space="preserve">and the quantum of the said allowance.  As regards the quantum, there has been no change for any of the disputants which would warrant the intervention of the Tribunal.   </w:t>
      </w:r>
      <w:r w:rsidR="00567C93">
        <w:rPr>
          <w:rFonts w:ascii="Arial" w:hAnsi="Arial" w:cs="Arial"/>
          <w:sz w:val="24"/>
          <w:szCs w:val="24"/>
        </w:rPr>
        <w:t>The reason for the payment of the allowance has also</w:t>
      </w:r>
      <w:r w:rsidR="00F0255D">
        <w:rPr>
          <w:rFonts w:ascii="Arial" w:hAnsi="Arial" w:cs="Arial"/>
          <w:sz w:val="24"/>
          <w:szCs w:val="24"/>
        </w:rPr>
        <w:t xml:space="preserve"> </w:t>
      </w:r>
      <w:r w:rsidR="00567C93">
        <w:rPr>
          <w:rFonts w:ascii="Arial" w:hAnsi="Arial" w:cs="Arial"/>
          <w:sz w:val="24"/>
          <w:szCs w:val="24"/>
        </w:rPr>
        <w:t>not changed and it was because each of the disputants had been assigned higher duties and in o</w:t>
      </w:r>
      <w:r w:rsidR="00075919">
        <w:rPr>
          <w:rFonts w:ascii="Arial" w:hAnsi="Arial" w:cs="Arial"/>
          <w:sz w:val="24"/>
          <w:szCs w:val="24"/>
        </w:rPr>
        <w:t>n</w:t>
      </w:r>
      <w:r w:rsidR="00567C93">
        <w:rPr>
          <w:rFonts w:ascii="Arial" w:hAnsi="Arial" w:cs="Arial"/>
          <w:sz w:val="24"/>
          <w:szCs w:val="24"/>
        </w:rPr>
        <w:t xml:space="preserve">e case it was as Officer in Charge (Disputant No. </w:t>
      </w:r>
      <w:r w:rsidR="00075919">
        <w:rPr>
          <w:rFonts w:ascii="Arial" w:hAnsi="Arial" w:cs="Arial"/>
          <w:sz w:val="24"/>
          <w:szCs w:val="24"/>
        </w:rPr>
        <w:t>3), in other cases as Officer in Charge (NTC Foundation)</w:t>
      </w:r>
      <w:r w:rsidR="00567C93">
        <w:rPr>
          <w:rFonts w:ascii="Arial" w:hAnsi="Arial" w:cs="Arial"/>
          <w:sz w:val="24"/>
          <w:szCs w:val="24"/>
        </w:rPr>
        <w:t xml:space="preserve"> </w:t>
      </w:r>
      <w:r w:rsidR="00075919">
        <w:rPr>
          <w:rFonts w:ascii="Arial" w:hAnsi="Arial" w:cs="Arial"/>
          <w:sz w:val="24"/>
          <w:szCs w:val="24"/>
        </w:rPr>
        <w:t>(Disputants Nos. 1, 4, 5 and 6)</w:t>
      </w:r>
      <w:r w:rsidR="006C65A9">
        <w:rPr>
          <w:rFonts w:ascii="Arial" w:hAnsi="Arial" w:cs="Arial"/>
          <w:sz w:val="24"/>
          <w:szCs w:val="24"/>
        </w:rPr>
        <w:t xml:space="preserve"> </w:t>
      </w:r>
      <w:r w:rsidR="00075919">
        <w:rPr>
          <w:rFonts w:ascii="Arial" w:hAnsi="Arial" w:cs="Arial"/>
          <w:sz w:val="24"/>
          <w:szCs w:val="24"/>
        </w:rPr>
        <w:t xml:space="preserve">and in some cases as Officer in Charge (PVE Centres) </w:t>
      </w:r>
      <w:r w:rsidR="00EB1A64">
        <w:rPr>
          <w:rFonts w:ascii="Arial" w:hAnsi="Arial" w:cs="Arial"/>
          <w:sz w:val="24"/>
          <w:szCs w:val="24"/>
        </w:rPr>
        <w:t xml:space="preserve">(Disputants Nos. 2 and 7).  </w:t>
      </w:r>
    </w:p>
    <w:p w14:paraId="6619D6C5" w14:textId="2688C733" w:rsidR="00CE317C" w:rsidRDefault="00EB1A64" w:rsidP="003C5495">
      <w:pPr>
        <w:jc w:val="both"/>
        <w:rPr>
          <w:rFonts w:ascii="Arial" w:hAnsi="Arial" w:cs="Arial"/>
          <w:sz w:val="24"/>
          <w:szCs w:val="24"/>
        </w:rPr>
      </w:pPr>
      <w:r>
        <w:rPr>
          <w:rFonts w:ascii="Arial" w:hAnsi="Arial" w:cs="Arial"/>
          <w:sz w:val="24"/>
          <w:szCs w:val="24"/>
        </w:rPr>
        <w:t xml:space="preserve">In neither of these cases has it been averred that Officer in Charge, Officer in Charge (NTC Foundation) or Officer in Charge (PVE Centres) were posts which were </w:t>
      </w:r>
      <w:r w:rsidRPr="00EB1A64">
        <w:rPr>
          <w:rFonts w:ascii="Arial" w:hAnsi="Arial" w:cs="Arial"/>
          <w:sz w:val="24"/>
          <w:szCs w:val="24"/>
          <w:u w:val="single"/>
        </w:rPr>
        <w:t>at the relevant time</w:t>
      </w:r>
      <w:r>
        <w:rPr>
          <w:rFonts w:ascii="Arial" w:hAnsi="Arial" w:cs="Arial"/>
          <w:sz w:val="24"/>
          <w:szCs w:val="24"/>
        </w:rPr>
        <w:t xml:space="preserve"> (underlining is ours) on the establishment of the Respondent.  </w:t>
      </w:r>
      <w:r w:rsidR="002667C1">
        <w:rPr>
          <w:rFonts w:ascii="Arial" w:hAnsi="Arial" w:cs="Arial"/>
          <w:sz w:val="24"/>
          <w:szCs w:val="24"/>
        </w:rPr>
        <w:t>In the absence of such posts</w:t>
      </w:r>
      <w:r w:rsidR="003A00C2">
        <w:rPr>
          <w:rFonts w:ascii="Arial" w:hAnsi="Arial" w:cs="Arial"/>
          <w:sz w:val="24"/>
          <w:szCs w:val="24"/>
        </w:rPr>
        <w:t xml:space="preserve"> on the establishment</w:t>
      </w:r>
      <w:r w:rsidR="002667C1">
        <w:rPr>
          <w:rFonts w:ascii="Arial" w:hAnsi="Arial" w:cs="Arial"/>
          <w:sz w:val="24"/>
          <w:szCs w:val="24"/>
        </w:rPr>
        <w:t xml:space="preserve">, the </w:t>
      </w:r>
      <w:r w:rsidR="003A00C2">
        <w:rPr>
          <w:rFonts w:ascii="Arial" w:hAnsi="Arial" w:cs="Arial"/>
          <w:sz w:val="24"/>
          <w:szCs w:val="24"/>
        </w:rPr>
        <w:t xml:space="preserve">unavoidable conclusion is that the disputants who had been requested to shoulder the higher responsibilities could not be granted acting or responsibility allowance.  </w:t>
      </w:r>
      <w:r w:rsidR="0067259F">
        <w:rPr>
          <w:rFonts w:ascii="Arial" w:hAnsi="Arial" w:cs="Arial"/>
          <w:sz w:val="24"/>
          <w:szCs w:val="24"/>
        </w:rPr>
        <w:t>The Tribunal</w:t>
      </w:r>
      <w:r w:rsidR="003A00C2">
        <w:rPr>
          <w:rFonts w:ascii="Arial" w:hAnsi="Arial" w:cs="Arial"/>
          <w:sz w:val="24"/>
          <w:szCs w:val="24"/>
        </w:rPr>
        <w:t xml:space="preserve"> </w:t>
      </w:r>
      <w:r w:rsidR="0067259F">
        <w:rPr>
          <w:rFonts w:ascii="Arial" w:hAnsi="Arial" w:cs="Arial"/>
          <w:sz w:val="24"/>
          <w:szCs w:val="24"/>
        </w:rPr>
        <w:t xml:space="preserve">may here refer </w:t>
      </w:r>
      <w:r w:rsidR="00A45DFA">
        <w:rPr>
          <w:rFonts w:ascii="Arial" w:hAnsi="Arial" w:cs="Arial"/>
          <w:sz w:val="24"/>
          <w:szCs w:val="24"/>
        </w:rPr>
        <w:t>(for guidance only since Respondent is a parastatal body</w:t>
      </w:r>
      <w:r w:rsidR="00AA7625">
        <w:rPr>
          <w:rFonts w:ascii="Arial" w:hAnsi="Arial" w:cs="Arial"/>
          <w:sz w:val="24"/>
          <w:szCs w:val="24"/>
        </w:rPr>
        <w:t>)</w:t>
      </w:r>
      <w:r w:rsidR="00A45DFA">
        <w:rPr>
          <w:rFonts w:ascii="Arial" w:hAnsi="Arial" w:cs="Arial"/>
          <w:sz w:val="24"/>
          <w:szCs w:val="24"/>
        </w:rPr>
        <w:t xml:space="preserve"> t</w:t>
      </w:r>
      <w:r w:rsidR="0067259F">
        <w:rPr>
          <w:rFonts w:ascii="Arial" w:hAnsi="Arial" w:cs="Arial"/>
          <w:sz w:val="24"/>
          <w:szCs w:val="24"/>
        </w:rPr>
        <w:t xml:space="preserve">o the following provisions in the PRB Report 2016 (Volume 1 under Acting and Responsibility Allowances): </w:t>
      </w:r>
      <w:r>
        <w:rPr>
          <w:rFonts w:ascii="Arial" w:hAnsi="Arial" w:cs="Arial"/>
          <w:sz w:val="24"/>
          <w:szCs w:val="24"/>
        </w:rPr>
        <w:t xml:space="preserve"> </w:t>
      </w:r>
      <w:r w:rsidR="00075919">
        <w:rPr>
          <w:rFonts w:ascii="Arial" w:hAnsi="Arial" w:cs="Arial"/>
          <w:sz w:val="24"/>
          <w:szCs w:val="24"/>
        </w:rPr>
        <w:t xml:space="preserve"> </w:t>
      </w:r>
      <w:r w:rsidR="00752366">
        <w:rPr>
          <w:rFonts w:ascii="Arial" w:hAnsi="Arial" w:cs="Arial"/>
          <w:sz w:val="24"/>
          <w:szCs w:val="24"/>
        </w:rPr>
        <w:t xml:space="preserve">   </w:t>
      </w:r>
    </w:p>
    <w:p w14:paraId="20054772" w14:textId="6BF2EC58" w:rsidR="00CE317C" w:rsidRPr="0067259F" w:rsidRDefault="00CE317C" w:rsidP="003C5495">
      <w:pPr>
        <w:jc w:val="both"/>
        <w:rPr>
          <w:rFonts w:ascii="Arial" w:hAnsi="Arial" w:cs="Arial"/>
          <w:i/>
          <w:sz w:val="24"/>
          <w:szCs w:val="24"/>
        </w:rPr>
      </w:pPr>
      <w:r w:rsidRPr="0067259F">
        <w:rPr>
          <w:rFonts w:ascii="Arial" w:hAnsi="Arial" w:cs="Arial"/>
          <w:i/>
          <w:sz w:val="24"/>
          <w:szCs w:val="24"/>
        </w:rPr>
        <w:t>18.10.1 An officer who has been appointed to act in a higher post by the appropriate Service Commission or by the Responsible Officer/Supervising Officer as delegated, is normally paid an acting allowance. An acting appointment, however, does not give right to the officer concerned to claim for promotion to the higher position.</w:t>
      </w:r>
    </w:p>
    <w:p w14:paraId="6161D6BD" w14:textId="60BEB461" w:rsidR="00CE317C" w:rsidRPr="0067259F" w:rsidRDefault="0067259F" w:rsidP="003C5495">
      <w:pPr>
        <w:jc w:val="both"/>
        <w:rPr>
          <w:rFonts w:ascii="Arial" w:hAnsi="Arial" w:cs="Arial"/>
          <w:i/>
          <w:sz w:val="24"/>
          <w:szCs w:val="24"/>
        </w:rPr>
      </w:pPr>
      <w:r>
        <w:rPr>
          <w:rFonts w:ascii="Arial" w:hAnsi="Arial" w:cs="Arial"/>
          <w:i/>
          <w:sz w:val="24"/>
          <w:szCs w:val="24"/>
        </w:rPr>
        <w:t>…</w:t>
      </w:r>
    </w:p>
    <w:p w14:paraId="01780AB9" w14:textId="51DAC509" w:rsidR="00CE317C" w:rsidRPr="0067259F" w:rsidRDefault="00CE317C" w:rsidP="003C5495">
      <w:pPr>
        <w:jc w:val="both"/>
        <w:rPr>
          <w:rFonts w:ascii="Arial" w:hAnsi="Arial" w:cs="Arial"/>
          <w:i/>
          <w:sz w:val="24"/>
          <w:szCs w:val="24"/>
        </w:rPr>
      </w:pPr>
      <w:r w:rsidRPr="0067259F">
        <w:rPr>
          <w:rFonts w:ascii="Arial" w:hAnsi="Arial" w:cs="Arial"/>
          <w:i/>
          <w:sz w:val="24"/>
          <w:szCs w:val="24"/>
        </w:rPr>
        <w:t>18.10.3 A Responsibility Allowance is paid to an officer, who for administrative convenience, has been assigned duties of a higher office by the appropriate Service Commission or by the Responsible Officer/Supervising Officer, as delegated.</w:t>
      </w:r>
    </w:p>
    <w:p w14:paraId="7C5BC50F" w14:textId="77777777" w:rsidR="0067259F" w:rsidRPr="0067259F" w:rsidRDefault="0067259F" w:rsidP="003C5495">
      <w:pPr>
        <w:jc w:val="both"/>
        <w:rPr>
          <w:rFonts w:ascii="Arial" w:hAnsi="Arial" w:cs="Arial"/>
          <w:i/>
          <w:sz w:val="24"/>
          <w:szCs w:val="24"/>
        </w:rPr>
      </w:pPr>
      <w:r w:rsidRPr="0067259F">
        <w:rPr>
          <w:rFonts w:ascii="Arial" w:hAnsi="Arial" w:cs="Arial"/>
          <w:i/>
          <w:sz w:val="24"/>
          <w:szCs w:val="24"/>
        </w:rPr>
        <w:t>…</w:t>
      </w:r>
    </w:p>
    <w:p w14:paraId="12EA2405" w14:textId="77777777" w:rsidR="0067259F" w:rsidRDefault="0067259F" w:rsidP="003C5495">
      <w:pPr>
        <w:jc w:val="both"/>
        <w:rPr>
          <w:rFonts w:ascii="Arial" w:hAnsi="Arial" w:cs="Arial"/>
          <w:b/>
          <w:i/>
          <w:sz w:val="24"/>
          <w:szCs w:val="24"/>
        </w:rPr>
      </w:pPr>
      <w:r>
        <w:rPr>
          <w:rFonts w:ascii="Arial" w:hAnsi="Arial" w:cs="Arial"/>
          <w:b/>
          <w:i/>
          <w:sz w:val="24"/>
          <w:szCs w:val="24"/>
        </w:rPr>
        <w:t>Acting Allowance</w:t>
      </w:r>
    </w:p>
    <w:p w14:paraId="50664CB4" w14:textId="3B749B26" w:rsidR="0067259F" w:rsidRPr="0067259F" w:rsidRDefault="00CE317C" w:rsidP="003C5495">
      <w:pPr>
        <w:jc w:val="both"/>
        <w:rPr>
          <w:rFonts w:ascii="Arial" w:hAnsi="Arial" w:cs="Arial"/>
          <w:b/>
          <w:i/>
          <w:sz w:val="24"/>
          <w:szCs w:val="24"/>
        </w:rPr>
      </w:pPr>
      <w:r w:rsidRPr="0067259F">
        <w:rPr>
          <w:rFonts w:ascii="Arial" w:hAnsi="Arial" w:cs="Arial"/>
          <w:b/>
          <w:i/>
          <w:sz w:val="24"/>
          <w:szCs w:val="24"/>
        </w:rPr>
        <w:t xml:space="preserve">Recommendation 1 </w:t>
      </w:r>
    </w:p>
    <w:p w14:paraId="50C5BE7D" w14:textId="5E8901BA" w:rsidR="00CE317C" w:rsidRPr="0067259F" w:rsidRDefault="00CE317C" w:rsidP="003C5495">
      <w:pPr>
        <w:jc w:val="both"/>
        <w:rPr>
          <w:rFonts w:ascii="Arial" w:hAnsi="Arial" w:cs="Arial"/>
          <w:b/>
          <w:i/>
          <w:sz w:val="24"/>
          <w:szCs w:val="24"/>
        </w:rPr>
      </w:pPr>
      <w:r w:rsidRPr="0067259F">
        <w:rPr>
          <w:rFonts w:ascii="Arial" w:hAnsi="Arial" w:cs="Arial"/>
          <w:b/>
          <w:i/>
          <w:sz w:val="24"/>
          <w:szCs w:val="24"/>
        </w:rPr>
        <w:t>18.10.7</w:t>
      </w:r>
      <w:r w:rsidR="0067259F" w:rsidRPr="0067259F">
        <w:rPr>
          <w:rFonts w:ascii="Arial" w:hAnsi="Arial" w:cs="Arial"/>
          <w:b/>
          <w:i/>
          <w:sz w:val="24"/>
          <w:szCs w:val="24"/>
        </w:rPr>
        <w:t xml:space="preserve"> </w:t>
      </w:r>
      <w:r w:rsidRPr="0067259F">
        <w:rPr>
          <w:rFonts w:ascii="Arial" w:hAnsi="Arial" w:cs="Arial"/>
          <w:b/>
          <w:i/>
          <w:sz w:val="24"/>
          <w:szCs w:val="24"/>
        </w:rPr>
        <w:t>We recommend that the quantum of acting allowance payable, whether in a grade-to-grade or class-to-class situation, should be equivalent to the difference between the initial or flat salary of the higher post and the substantive salary of the officer, provided the allowance is not less than three increments worth at the incremental point reached in the substantive post. Where the salary scales overlap, the allowance should be equivalent to three increments worth at the incremental point reached in the substantive post provided the total emoluments of the officer are not less than the initial salary and not more than the maximum salary of the higher post.</w:t>
      </w:r>
    </w:p>
    <w:p w14:paraId="41E714FB" w14:textId="77777777" w:rsidR="0067259F" w:rsidRPr="0067259F" w:rsidRDefault="0067259F" w:rsidP="003C5495">
      <w:pPr>
        <w:jc w:val="both"/>
        <w:rPr>
          <w:rFonts w:ascii="Arial" w:hAnsi="Arial" w:cs="Arial"/>
          <w:b/>
          <w:i/>
          <w:sz w:val="24"/>
          <w:szCs w:val="24"/>
        </w:rPr>
      </w:pPr>
      <w:r w:rsidRPr="0067259F">
        <w:rPr>
          <w:rFonts w:ascii="Arial" w:hAnsi="Arial" w:cs="Arial"/>
          <w:b/>
          <w:i/>
          <w:sz w:val="24"/>
          <w:szCs w:val="24"/>
        </w:rPr>
        <w:t xml:space="preserve">Responsibility Allowance </w:t>
      </w:r>
    </w:p>
    <w:p w14:paraId="3B6E2750" w14:textId="77777777" w:rsidR="0067259F" w:rsidRPr="0067259F" w:rsidRDefault="0067259F" w:rsidP="003C5495">
      <w:pPr>
        <w:jc w:val="both"/>
        <w:rPr>
          <w:rFonts w:ascii="Arial" w:hAnsi="Arial" w:cs="Arial"/>
          <w:b/>
          <w:i/>
          <w:sz w:val="24"/>
          <w:szCs w:val="24"/>
        </w:rPr>
      </w:pPr>
      <w:r w:rsidRPr="0067259F">
        <w:rPr>
          <w:rFonts w:ascii="Arial" w:hAnsi="Arial" w:cs="Arial"/>
          <w:b/>
          <w:i/>
          <w:sz w:val="24"/>
          <w:szCs w:val="24"/>
        </w:rPr>
        <w:t xml:space="preserve">Recommendation 2 </w:t>
      </w:r>
    </w:p>
    <w:p w14:paraId="4914186F" w14:textId="0BE70008" w:rsidR="0067259F" w:rsidRPr="0067259F" w:rsidRDefault="0067259F" w:rsidP="003C5495">
      <w:pPr>
        <w:jc w:val="both"/>
        <w:rPr>
          <w:rFonts w:ascii="Arial" w:hAnsi="Arial" w:cs="Arial"/>
          <w:i/>
          <w:sz w:val="24"/>
          <w:szCs w:val="24"/>
        </w:rPr>
      </w:pPr>
      <w:r w:rsidRPr="0067259F">
        <w:rPr>
          <w:rFonts w:ascii="Arial" w:hAnsi="Arial" w:cs="Arial"/>
          <w:b/>
          <w:i/>
          <w:sz w:val="24"/>
          <w:szCs w:val="24"/>
        </w:rPr>
        <w:t>18.10.8 We recommend that responsibility allowance should continue to be paid as follows: (i) where an officer is fully qualified to act in the higher post, the allowance should be equivalent to the acting allowance; (ii) where the officer is not fully qualified to act in the higher post, the allowance should be 80% of the acting allowance; and (iii) where appointment to a higher office is made by selection and no additional qualification is required, whether in terms of academic or technical qualification or experience or in terms of physical requirements, the responsibility allowance payable to officers who are assigned the duties of the higher office should be equivalent to the acting allowance.</w:t>
      </w:r>
    </w:p>
    <w:p w14:paraId="3B88ED09" w14:textId="2CC3E22D" w:rsidR="00845899" w:rsidRDefault="0067259F" w:rsidP="003C5495">
      <w:pPr>
        <w:jc w:val="both"/>
        <w:rPr>
          <w:rFonts w:ascii="Arial" w:hAnsi="Arial" w:cs="Arial"/>
          <w:sz w:val="24"/>
          <w:szCs w:val="24"/>
        </w:rPr>
      </w:pPr>
      <w:r>
        <w:rPr>
          <w:rFonts w:ascii="Arial" w:hAnsi="Arial" w:cs="Arial"/>
          <w:sz w:val="24"/>
          <w:szCs w:val="24"/>
        </w:rPr>
        <w:t xml:space="preserve">‘Higher post’ or ‘higher office’ </w:t>
      </w:r>
      <w:r w:rsidR="002513EF">
        <w:rPr>
          <w:rFonts w:ascii="Arial" w:hAnsi="Arial" w:cs="Arial"/>
          <w:sz w:val="24"/>
          <w:szCs w:val="24"/>
        </w:rPr>
        <w:t xml:space="preserve">whether </w:t>
      </w:r>
      <w:r>
        <w:rPr>
          <w:rFonts w:ascii="Arial" w:hAnsi="Arial" w:cs="Arial"/>
          <w:sz w:val="24"/>
          <w:szCs w:val="24"/>
        </w:rPr>
        <w:t>under t</w:t>
      </w:r>
      <w:r w:rsidR="002513EF">
        <w:rPr>
          <w:rFonts w:ascii="Arial" w:hAnsi="Arial" w:cs="Arial"/>
          <w:sz w:val="24"/>
          <w:szCs w:val="24"/>
        </w:rPr>
        <w:t xml:space="preserve">he PRB Report 2016 or under The Statutory Bodies Pension Funds Act (as will be seen later) will </w:t>
      </w:r>
      <w:r w:rsidR="00C8777C">
        <w:rPr>
          <w:rFonts w:ascii="Arial" w:hAnsi="Arial" w:cs="Arial"/>
          <w:sz w:val="24"/>
          <w:szCs w:val="24"/>
        </w:rPr>
        <w:t>necessarily</w:t>
      </w:r>
      <w:r w:rsidR="002513EF">
        <w:rPr>
          <w:rFonts w:ascii="Arial" w:hAnsi="Arial" w:cs="Arial"/>
          <w:sz w:val="24"/>
          <w:szCs w:val="24"/>
        </w:rPr>
        <w:t xml:space="preserve"> r</w:t>
      </w:r>
      <w:r>
        <w:rPr>
          <w:rFonts w:ascii="Arial" w:hAnsi="Arial" w:cs="Arial"/>
          <w:sz w:val="24"/>
          <w:szCs w:val="24"/>
        </w:rPr>
        <w:t xml:space="preserve">efer to a post or office which is on the establishment </w:t>
      </w:r>
      <w:r w:rsidR="006D16C8">
        <w:rPr>
          <w:rFonts w:ascii="Arial" w:hAnsi="Arial" w:cs="Arial"/>
          <w:sz w:val="24"/>
          <w:szCs w:val="24"/>
        </w:rPr>
        <w:t>of an organi</w:t>
      </w:r>
      <w:r w:rsidR="002513EF">
        <w:rPr>
          <w:rFonts w:ascii="Arial" w:hAnsi="Arial" w:cs="Arial"/>
          <w:sz w:val="24"/>
          <w:szCs w:val="24"/>
        </w:rPr>
        <w:t>s</w:t>
      </w:r>
      <w:r w:rsidR="006D16C8">
        <w:rPr>
          <w:rFonts w:ascii="Arial" w:hAnsi="Arial" w:cs="Arial"/>
          <w:sz w:val="24"/>
          <w:szCs w:val="24"/>
        </w:rPr>
        <w:t xml:space="preserve">ation </w:t>
      </w:r>
      <w:r w:rsidR="002513EF">
        <w:rPr>
          <w:rFonts w:ascii="Arial" w:hAnsi="Arial" w:cs="Arial"/>
          <w:sz w:val="24"/>
          <w:szCs w:val="24"/>
        </w:rPr>
        <w:t>(</w:t>
      </w:r>
      <w:r>
        <w:rPr>
          <w:rFonts w:ascii="Arial" w:hAnsi="Arial" w:cs="Arial"/>
          <w:sz w:val="24"/>
          <w:szCs w:val="24"/>
        </w:rPr>
        <w:t xml:space="preserve">and </w:t>
      </w:r>
      <w:r w:rsidR="006D16C8">
        <w:rPr>
          <w:rFonts w:ascii="Arial" w:hAnsi="Arial" w:cs="Arial"/>
          <w:sz w:val="24"/>
          <w:szCs w:val="24"/>
        </w:rPr>
        <w:t xml:space="preserve">graded by </w:t>
      </w:r>
      <w:r w:rsidR="002513EF">
        <w:rPr>
          <w:rFonts w:ascii="Arial" w:hAnsi="Arial" w:cs="Arial"/>
          <w:sz w:val="24"/>
          <w:szCs w:val="24"/>
        </w:rPr>
        <w:t xml:space="preserve">Co-Respondent No 3 if the organisation </w:t>
      </w:r>
      <w:r w:rsidR="0079632D">
        <w:rPr>
          <w:rFonts w:ascii="Arial" w:hAnsi="Arial" w:cs="Arial"/>
          <w:sz w:val="24"/>
          <w:szCs w:val="24"/>
        </w:rPr>
        <w:t xml:space="preserve">just like Respondent </w:t>
      </w:r>
      <w:r w:rsidR="002513EF">
        <w:rPr>
          <w:rFonts w:ascii="Arial" w:hAnsi="Arial" w:cs="Arial"/>
          <w:sz w:val="24"/>
          <w:szCs w:val="24"/>
        </w:rPr>
        <w:t xml:space="preserve">is governed by </w:t>
      </w:r>
      <w:r w:rsidR="0079632D">
        <w:rPr>
          <w:rFonts w:ascii="Arial" w:hAnsi="Arial" w:cs="Arial"/>
          <w:sz w:val="24"/>
          <w:szCs w:val="24"/>
        </w:rPr>
        <w:t>Co-Respondent No 3</w:t>
      </w:r>
      <w:r w:rsidR="002513EF">
        <w:rPr>
          <w:rFonts w:ascii="Arial" w:hAnsi="Arial" w:cs="Arial"/>
          <w:sz w:val="24"/>
          <w:szCs w:val="24"/>
        </w:rPr>
        <w:t>)</w:t>
      </w:r>
      <w:r w:rsidR="00730F03">
        <w:rPr>
          <w:rFonts w:ascii="Arial" w:hAnsi="Arial" w:cs="Arial"/>
          <w:sz w:val="24"/>
          <w:szCs w:val="24"/>
        </w:rPr>
        <w:t xml:space="preserve">.  It is </w:t>
      </w:r>
      <w:r w:rsidR="00F23146">
        <w:rPr>
          <w:rFonts w:ascii="Arial" w:hAnsi="Arial" w:cs="Arial"/>
          <w:sz w:val="24"/>
          <w:szCs w:val="24"/>
        </w:rPr>
        <w:t xml:space="preserve">indeed </w:t>
      </w:r>
      <w:r w:rsidR="00730F03">
        <w:rPr>
          <w:rFonts w:ascii="Arial" w:hAnsi="Arial" w:cs="Arial"/>
          <w:sz w:val="24"/>
          <w:szCs w:val="24"/>
        </w:rPr>
        <w:t xml:space="preserve">not challenged that the Respondent is governed by the </w:t>
      </w:r>
      <w:r w:rsidR="006D16C8">
        <w:rPr>
          <w:rFonts w:ascii="Arial" w:hAnsi="Arial" w:cs="Arial"/>
          <w:sz w:val="24"/>
          <w:szCs w:val="24"/>
        </w:rPr>
        <w:t xml:space="preserve">recommendations of the PRB.  The ‘higher post’ or ‘higher office’ </w:t>
      </w:r>
      <w:r w:rsidR="00F23146">
        <w:rPr>
          <w:rFonts w:ascii="Arial" w:hAnsi="Arial" w:cs="Arial"/>
          <w:sz w:val="24"/>
          <w:szCs w:val="24"/>
        </w:rPr>
        <w:t>must</w:t>
      </w:r>
      <w:r w:rsidR="006D16C8">
        <w:rPr>
          <w:rFonts w:ascii="Arial" w:hAnsi="Arial" w:cs="Arial"/>
          <w:sz w:val="24"/>
          <w:szCs w:val="24"/>
        </w:rPr>
        <w:t xml:space="preserve"> thus have a salary on its own, be it a flat salary or a salary scale.  </w:t>
      </w:r>
      <w:r w:rsidR="00F23146">
        <w:rPr>
          <w:rFonts w:ascii="Arial" w:hAnsi="Arial" w:cs="Arial"/>
          <w:sz w:val="24"/>
          <w:szCs w:val="24"/>
        </w:rPr>
        <w:t>Despite the initial internal advertisements mentioned earlier, t</w:t>
      </w:r>
      <w:r w:rsidR="006D16C8">
        <w:rPr>
          <w:rFonts w:ascii="Arial" w:hAnsi="Arial" w:cs="Arial"/>
          <w:sz w:val="24"/>
          <w:szCs w:val="24"/>
        </w:rPr>
        <w:t xml:space="preserve">here </w:t>
      </w:r>
      <w:r w:rsidR="005B6CA8">
        <w:rPr>
          <w:rFonts w:ascii="Arial" w:hAnsi="Arial" w:cs="Arial"/>
          <w:sz w:val="24"/>
          <w:szCs w:val="24"/>
        </w:rPr>
        <w:t xml:space="preserve">is no evidence before us of any </w:t>
      </w:r>
      <w:r w:rsidR="006D16C8">
        <w:rPr>
          <w:rFonts w:ascii="Arial" w:hAnsi="Arial" w:cs="Arial"/>
          <w:sz w:val="24"/>
          <w:szCs w:val="24"/>
        </w:rPr>
        <w:t xml:space="preserve">salary (be it flat or in </w:t>
      </w:r>
      <w:r w:rsidR="005F0972">
        <w:rPr>
          <w:rFonts w:ascii="Arial" w:hAnsi="Arial" w:cs="Arial"/>
          <w:sz w:val="24"/>
          <w:szCs w:val="24"/>
        </w:rPr>
        <w:t xml:space="preserve">a </w:t>
      </w:r>
      <w:r w:rsidR="006D16C8">
        <w:rPr>
          <w:rFonts w:ascii="Arial" w:hAnsi="Arial" w:cs="Arial"/>
          <w:sz w:val="24"/>
          <w:szCs w:val="24"/>
        </w:rPr>
        <w:t xml:space="preserve">scale) prescribed for Officer in Charge at the Respondent.  The Tribunal thus cannot, even if it was minded to, award or declare that a change in nomenclature of the allowance paid to the disputants was null and void.  The quantum of the allowance </w:t>
      </w:r>
      <w:r w:rsidR="00632747">
        <w:rPr>
          <w:rFonts w:ascii="Arial" w:hAnsi="Arial" w:cs="Arial"/>
          <w:sz w:val="24"/>
          <w:szCs w:val="24"/>
        </w:rPr>
        <w:t xml:space="preserve">paid </w:t>
      </w:r>
      <w:r w:rsidR="006D16C8">
        <w:rPr>
          <w:rFonts w:ascii="Arial" w:hAnsi="Arial" w:cs="Arial"/>
          <w:sz w:val="24"/>
          <w:szCs w:val="24"/>
        </w:rPr>
        <w:t xml:space="preserve">remained the same and the Tribunal finds </w:t>
      </w:r>
      <w:r w:rsidR="00F960FE">
        <w:rPr>
          <w:rFonts w:ascii="Arial" w:hAnsi="Arial" w:cs="Arial"/>
          <w:sz w:val="24"/>
          <w:szCs w:val="24"/>
        </w:rPr>
        <w:t xml:space="preserve">no reason to intervene </w:t>
      </w:r>
      <w:r w:rsidR="00354685">
        <w:rPr>
          <w:rFonts w:ascii="Arial" w:hAnsi="Arial" w:cs="Arial"/>
          <w:sz w:val="24"/>
          <w:szCs w:val="24"/>
        </w:rPr>
        <w:t xml:space="preserve">on this score.  </w:t>
      </w:r>
      <w:r w:rsidR="00694346">
        <w:rPr>
          <w:rFonts w:ascii="Arial" w:hAnsi="Arial" w:cs="Arial"/>
          <w:sz w:val="24"/>
          <w:szCs w:val="24"/>
        </w:rPr>
        <w:t xml:space="preserve">The change in appellation of the allowance (for relevant disputants) </w:t>
      </w:r>
      <w:r w:rsidR="00694346" w:rsidRPr="00694346">
        <w:rPr>
          <w:rFonts w:ascii="Arial" w:hAnsi="Arial" w:cs="Arial"/>
          <w:i/>
          <w:iCs/>
          <w:sz w:val="24"/>
          <w:szCs w:val="24"/>
        </w:rPr>
        <w:t>per se</w:t>
      </w:r>
      <w:r w:rsidR="00694346">
        <w:rPr>
          <w:rFonts w:ascii="Arial" w:hAnsi="Arial" w:cs="Arial"/>
          <w:sz w:val="24"/>
          <w:szCs w:val="24"/>
        </w:rPr>
        <w:t xml:space="preserve"> does not amount to a “</w:t>
      </w:r>
      <w:r w:rsidR="00694346" w:rsidRPr="00694346">
        <w:rPr>
          <w:rFonts w:ascii="Arial" w:hAnsi="Arial" w:cs="Arial"/>
          <w:i/>
          <w:iCs/>
          <w:sz w:val="24"/>
          <w:szCs w:val="24"/>
        </w:rPr>
        <w:t>modification d`une condition</w:t>
      </w:r>
      <w:r w:rsidR="00F960FE" w:rsidRPr="00694346">
        <w:rPr>
          <w:rFonts w:ascii="Arial" w:hAnsi="Arial" w:cs="Arial"/>
          <w:i/>
          <w:iCs/>
          <w:sz w:val="24"/>
          <w:szCs w:val="24"/>
        </w:rPr>
        <w:t xml:space="preserve"> </w:t>
      </w:r>
      <w:r w:rsidR="00694346" w:rsidRPr="00694346">
        <w:rPr>
          <w:rFonts w:ascii="Arial" w:hAnsi="Arial" w:cs="Arial"/>
          <w:i/>
          <w:iCs/>
          <w:sz w:val="24"/>
          <w:szCs w:val="24"/>
        </w:rPr>
        <w:t>essentielle du contrat de travail</w:t>
      </w:r>
      <w:r w:rsidR="00694346">
        <w:rPr>
          <w:rFonts w:ascii="Arial" w:hAnsi="Arial" w:cs="Arial"/>
          <w:sz w:val="24"/>
          <w:szCs w:val="24"/>
        </w:rPr>
        <w:t>”</w:t>
      </w:r>
      <w:r w:rsidR="00F960FE">
        <w:rPr>
          <w:rFonts w:ascii="Arial" w:hAnsi="Arial" w:cs="Arial"/>
          <w:sz w:val="24"/>
          <w:szCs w:val="24"/>
        </w:rPr>
        <w:t xml:space="preserve"> </w:t>
      </w:r>
      <w:r w:rsidR="00694346">
        <w:rPr>
          <w:rFonts w:ascii="Arial" w:hAnsi="Arial" w:cs="Arial"/>
          <w:sz w:val="24"/>
          <w:szCs w:val="24"/>
        </w:rPr>
        <w:t xml:space="preserve">as </w:t>
      </w:r>
      <w:r w:rsidR="00D30CA0">
        <w:rPr>
          <w:rFonts w:ascii="Arial" w:hAnsi="Arial" w:cs="Arial"/>
          <w:sz w:val="24"/>
          <w:szCs w:val="24"/>
        </w:rPr>
        <w:t>c</w:t>
      </w:r>
      <w:r w:rsidR="00694346">
        <w:rPr>
          <w:rFonts w:ascii="Arial" w:hAnsi="Arial" w:cs="Arial"/>
          <w:sz w:val="24"/>
          <w:szCs w:val="24"/>
        </w:rPr>
        <w:t xml:space="preserve">ould, for example, be a </w:t>
      </w:r>
      <w:r w:rsidR="00632747">
        <w:rPr>
          <w:rFonts w:ascii="Arial" w:hAnsi="Arial" w:cs="Arial"/>
          <w:sz w:val="24"/>
          <w:szCs w:val="24"/>
        </w:rPr>
        <w:t>decrease</w:t>
      </w:r>
      <w:r w:rsidR="00694346">
        <w:rPr>
          <w:rFonts w:ascii="Arial" w:hAnsi="Arial" w:cs="Arial"/>
          <w:sz w:val="24"/>
          <w:szCs w:val="24"/>
        </w:rPr>
        <w:t xml:space="preserve"> in the qua</w:t>
      </w:r>
      <w:r w:rsidR="00F63922">
        <w:rPr>
          <w:rFonts w:ascii="Arial" w:hAnsi="Arial" w:cs="Arial"/>
          <w:sz w:val="24"/>
          <w:szCs w:val="24"/>
        </w:rPr>
        <w:t>n</w:t>
      </w:r>
      <w:r w:rsidR="00694346">
        <w:rPr>
          <w:rFonts w:ascii="Arial" w:hAnsi="Arial" w:cs="Arial"/>
          <w:sz w:val="24"/>
          <w:szCs w:val="24"/>
        </w:rPr>
        <w:t xml:space="preserve">tum of the allowance paid.  As highlighted above, the </w:t>
      </w:r>
      <w:r w:rsidR="00F63922">
        <w:rPr>
          <w:rFonts w:ascii="Arial" w:hAnsi="Arial" w:cs="Arial"/>
          <w:sz w:val="24"/>
          <w:szCs w:val="24"/>
        </w:rPr>
        <w:t xml:space="preserve">nature of </w:t>
      </w:r>
      <w:r w:rsidR="0003300A">
        <w:rPr>
          <w:rFonts w:ascii="Arial" w:hAnsi="Arial" w:cs="Arial"/>
          <w:sz w:val="24"/>
          <w:szCs w:val="24"/>
        </w:rPr>
        <w:t xml:space="preserve">an allowance </w:t>
      </w:r>
      <w:r w:rsidR="00F63922">
        <w:rPr>
          <w:rFonts w:ascii="Arial" w:hAnsi="Arial" w:cs="Arial"/>
          <w:sz w:val="24"/>
          <w:szCs w:val="24"/>
        </w:rPr>
        <w:t xml:space="preserve">and </w:t>
      </w:r>
      <w:r w:rsidR="0003300A">
        <w:rPr>
          <w:rFonts w:ascii="Arial" w:hAnsi="Arial" w:cs="Arial"/>
          <w:sz w:val="24"/>
          <w:szCs w:val="24"/>
        </w:rPr>
        <w:t xml:space="preserve">the </w:t>
      </w:r>
      <w:r w:rsidR="00F63922">
        <w:rPr>
          <w:rFonts w:ascii="Arial" w:hAnsi="Arial" w:cs="Arial"/>
          <w:sz w:val="24"/>
          <w:szCs w:val="24"/>
        </w:rPr>
        <w:t xml:space="preserve">reason why </w:t>
      </w:r>
      <w:r w:rsidR="0003300A">
        <w:rPr>
          <w:rFonts w:ascii="Arial" w:hAnsi="Arial" w:cs="Arial"/>
          <w:sz w:val="24"/>
          <w:szCs w:val="24"/>
        </w:rPr>
        <w:t xml:space="preserve">it </w:t>
      </w:r>
      <w:r w:rsidR="00F63922">
        <w:rPr>
          <w:rFonts w:ascii="Arial" w:hAnsi="Arial" w:cs="Arial"/>
          <w:sz w:val="24"/>
          <w:szCs w:val="24"/>
        </w:rPr>
        <w:t xml:space="preserve">is being paid </w:t>
      </w:r>
      <w:r w:rsidR="0003300A">
        <w:rPr>
          <w:rFonts w:ascii="Arial" w:hAnsi="Arial" w:cs="Arial"/>
          <w:sz w:val="24"/>
          <w:szCs w:val="24"/>
        </w:rPr>
        <w:t>are</w:t>
      </w:r>
      <w:r w:rsidR="00F63922">
        <w:rPr>
          <w:rFonts w:ascii="Arial" w:hAnsi="Arial" w:cs="Arial"/>
          <w:sz w:val="24"/>
          <w:szCs w:val="24"/>
        </w:rPr>
        <w:t xml:space="preserve"> more important and may lead to an allowance </w:t>
      </w:r>
      <w:r w:rsidR="00632747">
        <w:rPr>
          <w:rFonts w:ascii="Arial" w:hAnsi="Arial" w:cs="Arial"/>
          <w:sz w:val="24"/>
          <w:szCs w:val="24"/>
        </w:rPr>
        <w:t xml:space="preserve">to </w:t>
      </w:r>
      <w:r w:rsidR="00F63922">
        <w:rPr>
          <w:rFonts w:ascii="Arial" w:hAnsi="Arial" w:cs="Arial"/>
          <w:sz w:val="24"/>
          <w:szCs w:val="24"/>
        </w:rPr>
        <w:t xml:space="preserve">be </w:t>
      </w:r>
      <w:r w:rsidR="00632747">
        <w:rPr>
          <w:rFonts w:ascii="Arial" w:hAnsi="Arial" w:cs="Arial"/>
          <w:sz w:val="24"/>
          <w:szCs w:val="24"/>
        </w:rPr>
        <w:t xml:space="preserve">treated differently, as compared to the appellation </w:t>
      </w:r>
      <w:r w:rsidR="00F63922">
        <w:rPr>
          <w:rFonts w:ascii="Arial" w:hAnsi="Arial" w:cs="Arial"/>
          <w:sz w:val="24"/>
          <w:szCs w:val="24"/>
        </w:rPr>
        <w:t xml:space="preserve">which may be attributed </w:t>
      </w:r>
      <w:r w:rsidR="00694346">
        <w:rPr>
          <w:rFonts w:ascii="Arial" w:hAnsi="Arial" w:cs="Arial"/>
          <w:sz w:val="24"/>
          <w:szCs w:val="24"/>
        </w:rPr>
        <w:t xml:space="preserve">to </w:t>
      </w:r>
      <w:r w:rsidR="00F63922">
        <w:rPr>
          <w:rFonts w:ascii="Arial" w:hAnsi="Arial" w:cs="Arial"/>
          <w:sz w:val="24"/>
          <w:szCs w:val="24"/>
        </w:rPr>
        <w:t xml:space="preserve">it. </w:t>
      </w:r>
      <w:r w:rsidR="00694346">
        <w:rPr>
          <w:rFonts w:ascii="Arial" w:hAnsi="Arial" w:cs="Arial"/>
          <w:sz w:val="24"/>
          <w:szCs w:val="24"/>
        </w:rPr>
        <w:t xml:space="preserve"> </w:t>
      </w:r>
      <w:r w:rsidR="00F63922">
        <w:rPr>
          <w:rFonts w:ascii="Arial" w:hAnsi="Arial" w:cs="Arial"/>
          <w:sz w:val="24"/>
          <w:szCs w:val="24"/>
        </w:rPr>
        <w:t>The pension contribution</w:t>
      </w:r>
      <w:r w:rsidR="00845899">
        <w:rPr>
          <w:rFonts w:ascii="Arial" w:hAnsi="Arial" w:cs="Arial"/>
          <w:sz w:val="24"/>
          <w:szCs w:val="24"/>
        </w:rPr>
        <w:t>s</w:t>
      </w:r>
      <w:r w:rsidR="00F63922">
        <w:rPr>
          <w:rFonts w:ascii="Arial" w:hAnsi="Arial" w:cs="Arial"/>
          <w:sz w:val="24"/>
          <w:szCs w:val="24"/>
        </w:rPr>
        <w:t xml:space="preserve"> made by </w:t>
      </w:r>
      <w:r w:rsidR="00B158D5">
        <w:rPr>
          <w:rFonts w:ascii="Arial" w:hAnsi="Arial" w:cs="Arial"/>
          <w:sz w:val="24"/>
          <w:szCs w:val="24"/>
        </w:rPr>
        <w:t>t</w:t>
      </w:r>
      <w:r w:rsidR="00F63922">
        <w:rPr>
          <w:rFonts w:ascii="Arial" w:hAnsi="Arial" w:cs="Arial"/>
          <w:sz w:val="24"/>
          <w:szCs w:val="24"/>
        </w:rPr>
        <w:t xml:space="preserve">he Respondent </w:t>
      </w:r>
      <w:r w:rsidR="00F63922" w:rsidRPr="00B158D5">
        <w:rPr>
          <w:rFonts w:ascii="Arial" w:hAnsi="Arial" w:cs="Arial"/>
          <w:b/>
          <w:sz w:val="24"/>
          <w:szCs w:val="24"/>
        </w:rPr>
        <w:t>and</w:t>
      </w:r>
      <w:r w:rsidR="00F63922">
        <w:rPr>
          <w:rFonts w:ascii="Arial" w:hAnsi="Arial" w:cs="Arial"/>
          <w:sz w:val="24"/>
          <w:szCs w:val="24"/>
        </w:rPr>
        <w:t xml:space="preserve"> </w:t>
      </w:r>
      <w:r w:rsidR="00632747">
        <w:rPr>
          <w:rFonts w:ascii="Arial" w:hAnsi="Arial" w:cs="Arial"/>
          <w:sz w:val="24"/>
          <w:szCs w:val="24"/>
        </w:rPr>
        <w:t xml:space="preserve">each of </w:t>
      </w:r>
      <w:r w:rsidR="00F63922">
        <w:rPr>
          <w:rFonts w:ascii="Arial" w:hAnsi="Arial" w:cs="Arial"/>
          <w:sz w:val="24"/>
          <w:szCs w:val="24"/>
        </w:rPr>
        <w:t>the relevant disputants on the allowance paid to the</w:t>
      </w:r>
      <w:r w:rsidR="00845899">
        <w:rPr>
          <w:rFonts w:ascii="Arial" w:hAnsi="Arial" w:cs="Arial"/>
          <w:sz w:val="24"/>
          <w:szCs w:val="24"/>
        </w:rPr>
        <w:t xml:space="preserve"> </w:t>
      </w:r>
      <w:r w:rsidR="00632747">
        <w:rPr>
          <w:rFonts w:ascii="Arial" w:hAnsi="Arial" w:cs="Arial"/>
          <w:sz w:val="24"/>
          <w:szCs w:val="24"/>
        </w:rPr>
        <w:t xml:space="preserve">said </w:t>
      </w:r>
      <w:r w:rsidR="00845899">
        <w:rPr>
          <w:rFonts w:ascii="Arial" w:hAnsi="Arial" w:cs="Arial"/>
          <w:sz w:val="24"/>
          <w:szCs w:val="24"/>
        </w:rPr>
        <w:t>disputants</w:t>
      </w:r>
      <w:r w:rsidR="00F63922">
        <w:rPr>
          <w:rFonts w:ascii="Arial" w:hAnsi="Arial" w:cs="Arial"/>
          <w:sz w:val="24"/>
          <w:szCs w:val="24"/>
        </w:rPr>
        <w:t xml:space="preserve"> raise much more concern</w:t>
      </w:r>
      <w:r w:rsidR="00845899">
        <w:rPr>
          <w:rFonts w:ascii="Arial" w:hAnsi="Arial" w:cs="Arial"/>
          <w:sz w:val="24"/>
          <w:szCs w:val="24"/>
        </w:rPr>
        <w:t>s</w:t>
      </w:r>
      <w:r w:rsidR="00F63922">
        <w:rPr>
          <w:rFonts w:ascii="Arial" w:hAnsi="Arial" w:cs="Arial"/>
          <w:sz w:val="24"/>
          <w:szCs w:val="24"/>
        </w:rPr>
        <w:t xml:space="preserve"> and issues.  </w:t>
      </w:r>
      <w:r w:rsidR="00845899">
        <w:rPr>
          <w:rFonts w:ascii="Arial" w:hAnsi="Arial" w:cs="Arial"/>
          <w:sz w:val="24"/>
          <w:szCs w:val="24"/>
        </w:rPr>
        <w:t>Be that as it may, this is not the dispute before the Tribunal as per the terms of reference of t</w:t>
      </w:r>
      <w:r w:rsidR="00F63922">
        <w:rPr>
          <w:rFonts w:ascii="Arial" w:hAnsi="Arial" w:cs="Arial"/>
          <w:sz w:val="24"/>
          <w:szCs w:val="24"/>
        </w:rPr>
        <w:t>h</w:t>
      </w:r>
      <w:r w:rsidR="00F960FE">
        <w:rPr>
          <w:rFonts w:ascii="Arial" w:hAnsi="Arial" w:cs="Arial"/>
          <w:sz w:val="24"/>
          <w:szCs w:val="24"/>
        </w:rPr>
        <w:t xml:space="preserve">e point in dispute </w:t>
      </w:r>
      <w:r w:rsidR="00845899">
        <w:rPr>
          <w:rFonts w:ascii="Arial" w:hAnsi="Arial" w:cs="Arial"/>
          <w:sz w:val="24"/>
          <w:szCs w:val="24"/>
        </w:rPr>
        <w:t>N</w:t>
      </w:r>
      <w:r w:rsidR="00F960FE">
        <w:rPr>
          <w:rFonts w:ascii="Arial" w:hAnsi="Arial" w:cs="Arial"/>
          <w:sz w:val="24"/>
          <w:szCs w:val="24"/>
        </w:rPr>
        <w:t>o. 3</w:t>
      </w:r>
      <w:r w:rsidR="00845899">
        <w:rPr>
          <w:rFonts w:ascii="Arial" w:hAnsi="Arial" w:cs="Arial"/>
          <w:sz w:val="24"/>
          <w:szCs w:val="24"/>
        </w:rPr>
        <w:t>.</w:t>
      </w:r>
    </w:p>
    <w:p w14:paraId="5328132C" w14:textId="39E43DDD" w:rsidR="00A24D98" w:rsidRDefault="00845899" w:rsidP="00A24D98">
      <w:pPr>
        <w:jc w:val="both"/>
        <w:rPr>
          <w:rFonts w:ascii="Arial" w:hAnsi="Arial" w:cs="Arial"/>
          <w:sz w:val="24"/>
          <w:szCs w:val="24"/>
        </w:rPr>
      </w:pPr>
      <w:r>
        <w:rPr>
          <w:rFonts w:ascii="Arial" w:hAnsi="Arial" w:cs="Arial"/>
          <w:sz w:val="24"/>
          <w:szCs w:val="24"/>
        </w:rPr>
        <w:t>Also, the Tribunal has ruled in a series of cases that it does not give awards which are of a declaratory nature</w:t>
      </w:r>
      <w:r w:rsidR="00A24D98">
        <w:rPr>
          <w:rFonts w:ascii="Arial" w:hAnsi="Arial" w:cs="Arial"/>
          <w:sz w:val="24"/>
          <w:szCs w:val="24"/>
        </w:rPr>
        <w:t xml:space="preserve">.  In the case of </w:t>
      </w:r>
      <w:r w:rsidR="002B011A" w:rsidRPr="002B011A">
        <w:rPr>
          <w:rFonts w:ascii="Arial" w:hAnsi="Arial" w:cs="Arial"/>
          <w:b/>
          <w:bCs/>
          <w:sz w:val="24"/>
          <w:szCs w:val="24"/>
        </w:rPr>
        <w:t xml:space="preserve">Mr Ringanaden Sawmynaden And Mauritius Cane Industry Authority, </w:t>
      </w:r>
      <w:r w:rsidR="002B011A">
        <w:rPr>
          <w:rFonts w:ascii="Arial" w:hAnsi="Arial" w:cs="Arial"/>
          <w:b/>
          <w:bCs/>
          <w:sz w:val="24"/>
          <w:szCs w:val="24"/>
        </w:rPr>
        <w:t>ERT/</w:t>
      </w:r>
      <w:r w:rsidR="002B011A" w:rsidRPr="002B011A">
        <w:rPr>
          <w:rFonts w:ascii="Arial" w:hAnsi="Arial" w:cs="Arial"/>
          <w:b/>
          <w:bCs/>
          <w:sz w:val="24"/>
          <w:szCs w:val="24"/>
        </w:rPr>
        <w:t>RN</w:t>
      </w:r>
      <w:r w:rsidR="002B011A">
        <w:rPr>
          <w:rFonts w:ascii="Arial" w:hAnsi="Arial" w:cs="Arial"/>
          <w:b/>
          <w:bCs/>
          <w:sz w:val="24"/>
          <w:szCs w:val="24"/>
        </w:rPr>
        <w:t xml:space="preserve"> </w:t>
      </w:r>
      <w:r w:rsidR="002B011A" w:rsidRPr="002B011A">
        <w:rPr>
          <w:rFonts w:ascii="Arial" w:hAnsi="Arial" w:cs="Arial"/>
          <w:b/>
          <w:bCs/>
          <w:sz w:val="24"/>
          <w:szCs w:val="24"/>
        </w:rPr>
        <w:t>20/19</w:t>
      </w:r>
      <w:r w:rsidR="002B011A">
        <w:rPr>
          <w:rFonts w:ascii="Arial" w:hAnsi="Arial" w:cs="Arial"/>
          <w:sz w:val="24"/>
          <w:szCs w:val="24"/>
        </w:rPr>
        <w:t>,</w:t>
      </w:r>
      <w:r w:rsidR="00A24D98">
        <w:rPr>
          <w:rFonts w:ascii="Arial" w:hAnsi="Arial" w:cs="Arial"/>
          <w:sz w:val="24"/>
          <w:szCs w:val="24"/>
        </w:rPr>
        <w:t xml:space="preserve"> the Tribunal stated the following: “</w:t>
      </w:r>
      <w:r w:rsidR="00A24D98" w:rsidRPr="00A24D98">
        <w:rPr>
          <w:rFonts w:ascii="Arial" w:hAnsi="Arial" w:cs="Arial"/>
          <w:i/>
          <w:iCs/>
          <w:sz w:val="24"/>
          <w:szCs w:val="24"/>
        </w:rPr>
        <w:t>The Tribunal has stated in numerous cases (</w:t>
      </w:r>
      <w:r w:rsidR="00A24D98" w:rsidRPr="00A24D98">
        <w:rPr>
          <w:rFonts w:ascii="Arial" w:hAnsi="Arial" w:cs="Arial"/>
          <w:b/>
          <w:i/>
          <w:iCs/>
          <w:sz w:val="24"/>
          <w:szCs w:val="24"/>
        </w:rPr>
        <w:t>vide</w:t>
      </w:r>
      <w:r w:rsidR="00A24D98" w:rsidRPr="00A24D98">
        <w:rPr>
          <w:rFonts w:ascii="Arial" w:hAnsi="Arial" w:cs="Arial"/>
          <w:i/>
          <w:iCs/>
          <w:sz w:val="24"/>
          <w:szCs w:val="24"/>
        </w:rPr>
        <w:t xml:space="preserve"> </w:t>
      </w:r>
      <w:r w:rsidR="00A24D98" w:rsidRPr="00A24D98">
        <w:rPr>
          <w:rFonts w:ascii="Arial" w:hAnsi="Arial" w:cs="Arial"/>
          <w:b/>
          <w:i/>
          <w:iCs/>
          <w:sz w:val="24"/>
          <w:szCs w:val="24"/>
        </w:rPr>
        <w:t>Mr Ugadiran Mooneeapen (above)</w:t>
      </w:r>
      <w:r w:rsidR="00A24D98">
        <w:rPr>
          <w:rFonts w:ascii="Arial" w:hAnsi="Arial" w:cs="Arial"/>
          <w:b/>
          <w:i/>
          <w:iCs/>
          <w:sz w:val="24"/>
          <w:szCs w:val="24"/>
        </w:rPr>
        <w:t xml:space="preserve"> </w:t>
      </w:r>
      <w:r w:rsidR="00A24D98" w:rsidRPr="00A24D98">
        <w:rPr>
          <w:rFonts w:ascii="Arial" w:hAnsi="Arial" w:cs="Arial"/>
          <w:bCs/>
          <w:sz w:val="24"/>
          <w:szCs w:val="24"/>
        </w:rPr>
        <w:t>[Mr Ugadiran Mooneeapen And The Mauritius Institute of Training and Development, RN 35/12</w:t>
      </w:r>
      <w:r w:rsidR="002B011A">
        <w:rPr>
          <w:rFonts w:ascii="Arial" w:hAnsi="Arial" w:cs="Arial"/>
          <w:bCs/>
          <w:sz w:val="24"/>
          <w:szCs w:val="24"/>
        </w:rPr>
        <w:t xml:space="preserve">] </w:t>
      </w:r>
      <w:r w:rsidR="00A24D98" w:rsidRPr="00A24D98">
        <w:rPr>
          <w:rFonts w:ascii="Arial" w:hAnsi="Arial" w:cs="Arial"/>
          <w:b/>
          <w:i/>
          <w:iCs/>
          <w:sz w:val="24"/>
          <w:szCs w:val="24"/>
        </w:rPr>
        <w:t>; Mr Abdool Rashid Johar And Cargo Handling Corporation Ltd, RN 93/12; Mr Dhan Khednee And National Transport Corporation, RN 52/14; Mr Satianund Nunkoo And Beach Authority, RN 121/17</w:t>
      </w:r>
      <w:r w:rsidR="00A24D98" w:rsidRPr="00A24D98">
        <w:rPr>
          <w:rFonts w:ascii="Arial" w:hAnsi="Arial" w:cs="Arial"/>
          <w:i/>
          <w:iCs/>
          <w:sz w:val="24"/>
          <w:szCs w:val="24"/>
        </w:rPr>
        <w:t xml:space="preserve">) that it does not deliver awards which are of a </w:t>
      </w:r>
      <w:r w:rsidR="00A24D98" w:rsidRPr="00A24D98">
        <w:rPr>
          <w:rFonts w:ascii="Arial" w:hAnsi="Arial" w:cs="Arial"/>
          <w:b/>
          <w:i/>
          <w:iCs/>
          <w:sz w:val="24"/>
          <w:szCs w:val="24"/>
        </w:rPr>
        <w:t>declaratory nature</w:t>
      </w:r>
      <w:r w:rsidR="00A24D98" w:rsidRPr="00A24D98">
        <w:rPr>
          <w:rFonts w:ascii="Arial" w:hAnsi="Arial" w:cs="Arial"/>
          <w:i/>
          <w:iCs/>
          <w:sz w:val="24"/>
          <w:szCs w:val="24"/>
        </w:rPr>
        <w:t>.  The Tribunal delivers awards which are binding on parties (Section 72 of the Act)</w:t>
      </w:r>
      <w:r w:rsidR="00A24D98">
        <w:rPr>
          <w:rFonts w:ascii="Arial" w:hAnsi="Arial" w:cs="Arial"/>
          <w:sz w:val="24"/>
          <w:szCs w:val="24"/>
        </w:rPr>
        <w:t>.”</w:t>
      </w:r>
    </w:p>
    <w:p w14:paraId="4D29A18B" w14:textId="73BB3098" w:rsidR="00CE317C" w:rsidRDefault="002B011A" w:rsidP="003C5495">
      <w:pPr>
        <w:jc w:val="both"/>
        <w:rPr>
          <w:rFonts w:ascii="Arial" w:hAnsi="Arial" w:cs="Arial"/>
          <w:sz w:val="24"/>
          <w:szCs w:val="24"/>
        </w:rPr>
      </w:pPr>
      <w:r>
        <w:rPr>
          <w:rFonts w:ascii="Arial" w:hAnsi="Arial" w:cs="Arial"/>
          <w:sz w:val="24"/>
          <w:szCs w:val="24"/>
        </w:rPr>
        <w:t>T</w:t>
      </w:r>
      <w:r w:rsidR="00845899">
        <w:rPr>
          <w:rFonts w:ascii="Arial" w:hAnsi="Arial" w:cs="Arial"/>
          <w:sz w:val="24"/>
          <w:szCs w:val="24"/>
        </w:rPr>
        <w:t xml:space="preserve">he point in dispute No. 3 </w:t>
      </w:r>
      <w:r w:rsidR="00F960FE">
        <w:rPr>
          <w:rFonts w:ascii="Arial" w:hAnsi="Arial" w:cs="Arial"/>
          <w:sz w:val="24"/>
          <w:szCs w:val="24"/>
        </w:rPr>
        <w:t xml:space="preserve">is thus also set aside for all disputants.  </w:t>
      </w:r>
      <w:r w:rsidR="006D16C8">
        <w:rPr>
          <w:rFonts w:ascii="Arial" w:hAnsi="Arial" w:cs="Arial"/>
          <w:sz w:val="24"/>
          <w:szCs w:val="24"/>
        </w:rPr>
        <w:t xml:space="preserve">  </w:t>
      </w:r>
    </w:p>
    <w:p w14:paraId="2F5FCD79" w14:textId="23D68E66" w:rsidR="00043B58" w:rsidRDefault="00F960FE" w:rsidP="003C5495">
      <w:pPr>
        <w:jc w:val="both"/>
        <w:rPr>
          <w:rFonts w:ascii="Arial" w:hAnsi="Arial" w:cs="Arial"/>
          <w:sz w:val="24"/>
          <w:szCs w:val="24"/>
        </w:rPr>
      </w:pPr>
      <w:r>
        <w:rPr>
          <w:rFonts w:ascii="Arial" w:hAnsi="Arial" w:cs="Arial"/>
          <w:sz w:val="24"/>
          <w:szCs w:val="24"/>
        </w:rPr>
        <w:t>As regards point in dispute no. 4</w:t>
      </w:r>
      <w:r w:rsidR="00AD2FEB">
        <w:rPr>
          <w:rFonts w:ascii="Arial" w:hAnsi="Arial" w:cs="Arial"/>
          <w:sz w:val="24"/>
          <w:szCs w:val="24"/>
        </w:rPr>
        <w:t xml:space="preserve">, it is not disputed that the disputants were all paid the allowance.  </w:t>
      </w:r>
      <w:r w:rsidR="001125F3">
        <w:rPr>
          <w:rFonts w:ascii="Arial" w:hAnsi="Arial" w:cs="Arial"/>
          <w:sz w:val="24"/>
          <w:szCs w:val="24"/>
        </w:rPr>
        <w:t>It is also not challenged that the Respondent is a ‘statutory body’ for the purposes of The Statutory Bodies Pension Funds Act.  T</w:t>
      </w:r>
      <w:r w:rsidR="002B079C">
        <w:rPr>
          <w:rFonts w:ascii="Arial" w:hAnsi="Arial" w:cs="Arial"/>
          <w:sz w:val="24"/>
          <w:szCs w:val="24"/>
        </w:rPr>
        <w:t>he relevant provision</w:t>
      </w:r>
      <w:r w:rsidR="00615E04">
        <w:rPr>
          <w:rFonts w:ascii="Arial" w:hAnsi="Arial" w:cs="Arial"/>
          <w:sz w:val="24"/>
          <w:szCs w:val="24"/>
        </w:rPr>
        <w:t>s</w:t>
      </w:r>
      <w:r w:rsidR="002B079C">
        <w:rPr>
          <w:rFonts w:ascii="Arial" w:hAnsi="Arial" w:cs="Arial"/>
          <w:sz w:val="24"/>
          <w:szCs w:val="24"/>
        </w:rPr>
        <w:t xml:space="preserve"> which will guide the Tribunal on this issue </w:t>
      </w:r>
      <w:r w:rsidR="00615E04">
        <w:rPr>
          <w:rFonts w:ascii="Arial" w:hAnsi="Arial" w:cs="Arial"/>
          <w:sz w:val="24"/>
          <w:szCs w:val="24"/>
        </w:rPr>
        <w:t>include</w:t>
      </w:r>
      <w:r w:rsidR="002B079C">
        <w:rPr>
          <w:rFonts w:ascii="Arial" w:hAnsi="Arial" w:cs="Arial"/>
          <w:sz w:val="24"/>
          <w:szCs w:val="24"/>
        </w:rPr>
        <w:t xml:space="preserve"> </w:t>
      </w:r>
      <w:r w:rsidR="00632747">
        <w:rPr>
          <w:rFonts w:ascii="Arial" w:hAnsi="Arial" w:cs="Arial"/>
          <w:sz w:val="24"/>
          <w:szCs w:val="24"/>
        </w:rPr>
        <w:t>section</w:t>
      </w:r>
      <w:r w:rsidR="00615E04">
        <w:rPr>
          <w:rFonts w:ascii="Arial" w:hAnsi="Arial" w:cs="Arial"/>
          <w:sz w:val="24"/>
          <w:szCs w:val="24"/>
        </w:rPr>
        <w:t>s</w:t>
      </w:r>
      <w:r w:rsidR="00632747">
        <w:rPr>
          <w:rFonts w:ascii="Arial" w:hAnsi="Arial" w:cs="Arial"/>
          <w:sz w:val="24"/>
          <w:szCs w:val="24"/>
        </w:rPr>
        <w:t xml:space="preserve"> </w:t>
      </w:r>
      <w:r w:rsidR="00615E04">
        <w:rPr>
          <w:rFonts w:ascii="Arial" w:hAnsi="Arial" w:cs="Arial"/>
          <w:sz w:val="24"/>
          <w:szCs w:val="24"/>
        </w:rPr>
        <w:t>2</w:t>
      </w:r>
      <w:r w:rsidR="00840C1F">
        <w:rPr>
          <w:rFonts w:ascii="Arial" w:hAnsi="Arial" w:cs="Arial"/>
          <w:sz w:val="24"/>
          <w:szCs w:val="24"/>
        </w:rPr>
        <w:t>, 8</w:t>
      </w:r>
      <w:r w:rsidR="00615E04">
        <w:rPr>
          <w:rFonts w:ascii="Arial" w:hAnsi="Arial" w:cs="Arial"/>
          <w:sz w:val="24"/>
          <w:szCs w:val="24"/>
        </w:rPr>
        <w:t xml:space="preserve"> and 9 </w:t>
      </w:r>
      <w:r w:rsidR="00632747">
        <w:rPr>
          <w:rFonts w:ascii="Arial" w:hAnsi="Arial" w:cs="Arial"/>
          <w:sz w:val="24"/>
          <w:szCs w:val="24"/>
        </w:rPr>
        <w:t>of The Statutory Bodies Pension Funds Act</w:t>
      </w:r>
      <w:r w:rsidR="00615E04">
        <w:rPr>
          <w:rFonts w:ascii="Arial" w:hAnsi="Arial" w:cs="Arial"/>
          <w:sz w:val="24"/>
          <w:szCs w:val="24"/>
        </w:rPr>
        <w:t xml:space="preserve"> and regulation 4 of The Statutory Bodies Pension Funds Regulations (which is the c</w:t>
      </w:r>
      <w:r w:rsidR="00896D6A">
        <w:rPr>
          <w:rFonts w:ascii="Arial" w:hAnsi="Arial" w:cs="Arial"/>
          <w:sz w:val="24"/>
          <w:szCs w:val="24"/>
        </w:rPr>
        <w:t xml:space="preserve">orresponding provision </w:t>
      </w:r>
      <w:r w:rsidR="00615E04">
        <w:rPr>
          <w:rFonts w:ascii="Arial" w:hAnsi="Arial" w:cs="Arial"/>
          <w:sz w:val="24"/>
          <w:szCs w:val="24"/>
        </w:rPr>
        <w:t>of</w:t>
      </w:r>
      <w:r w:rsidR="00896D6A">
        <w:rPr>
          <w:rFonts w:ascii="Arial" w:hAnsi="Arial" w:cs="Arial"/>
          <w:sz w:val="24"/>
          <w:szCs w:val="24"/>
        </w:rPr>
        <w:t xml:space="preserve"> </w:t>
      </w:r>
      <w:r w:rsidR="002B079C">
        <w:rPr>
          <w:rFonts w:ascii="Arial" w:hAnsi="Arial" w:cs="Arial"/>
          <w:sz w:val="24"/>
          <w:szCs w:val="24"/>
        </w:rPr>
        <w:t xml:space="preserve">paragraph 15.29 </w:t>
      </w:r>
      <w:r w:rsidR="007866D0">
        <w:rPr>
          <w:rFonts w:ascii="Arial" w:hAnsi="Arial" w:cs="Arial"/>
          <w:sz w:val="24"/>
          <w:szCs w:val="24"/>
        </w:rPr>
        <w:t>in</w:t>
      </w:r>
      <w:r w:rsidR="002B079C">
        <w:rPr>
          <w:rFonts w:ascii="Arial" w:hAnsi="Arial" w:cs="Arial"/>
          <w:sz w:val="24"/>
          <w:szCs w:val="24"/>
        </w:rPr>
        <w:t xml:space="preserve"> the PRB Report 2016 </w:t>
      </w:r>
      <w:r w:rsidR="007866D0">
        <w:rPr>
          <w:rFonts w:ascii="Arial" w:hAnsi="Arial" w:cs="Arial"/>
          <w:sz w:val="24"/>
          <w:szCs w:val="24"/>
        </w:rPr>
        <w:t xml:space="preserve">(Volume 1) </w:t>
      </w:r>
      <w:r w:rsidR="00896D6A">
        <w:rPr>
          <w:rFonts w:ascii="Arial" w:hAnsi="Arial" w:cs="Arial"/>
          <w:sz w:val="24"/>
          <w:szCs w:val="24"/>
        </w:rPr>
        <w:t xml:space="preserve">even though the latter provision </w:t>
      </w:r>
      <w:r w:rsidR="00615E04">
        <w:rPr>
          <w:rFonts w:ascii="Arial" w:hAnsi="Arial" w:cs="Arial"/>
          <w:sz w:val="24"/>
          <w:szCs w:val="24"/>
        </w:rPr>
        <w:t>a</w:t>
      </w:r>
      <w:r w:rsidR="00896D6A">
        <w:rPr>
          <w:rFonts w:ascii="Arial" w:hAnsi="Arial" w:cs="Arial"/>
          <w:sz w:val="24"/>
          <w:szCs w:val="24"/>
        </w:rPr>
        <w:t xml:space="preserve">pplies for public officers who </w:t>
      </w:r>
      <w:r w:rsidR="007C5660">
        <w:rPr>
          <w:rFonts w:ascii="Arial" w:hAnsi="Arial" w:cs="Arial"/>
          <w:sz w:val="24"/>
          <w:szCs w:val="24"/>
        </w:rPr>
        <w:t xml:space="preserve">have been </w:t>
      </w:r>
      <w:r w:rsidR="00896D6A">
        <w:rPr>
          <w:rFonts w:ascii="Arial" w:hAnsi="Arial" w:cs="Arial"/>
          <w:sz w:val="24"/>
          <w:szCs w:val="24"/>
        </w:rPr>
        <w:t>appointed to act in or ha</w:t>
      </w:r>
      <w:r w:rsidR="007C5660">
        <w:rPr>
          <w:rFonts w:ascii="Arial" w:hAnsi="Arial" w:cs="Arial"/>
          <w:sz w:val="24"/>
          <w:szCs w:val="24"/>
        </w:rPr>
        <w:t>ve been assigned duties by the appropriate Service Commission or under relevant delegation of power</w:t>
      </w:r>
      <w:r w:rsidR="00615E04">
        <w:rPr>
          <w:rFonts w:ascii="Arial" w:hAnsi="Arial" w:cs="Arial"/>
          <w:sz w:val="24"/>
          <w:szCs w:val="24"/>
        </w:rPr>
        <w:t>)</w:t>
      </w:r>
      <w:r w:rsidR="007C5660">
        <w:rPr>
          <w:rFonts w:ascii="Arial" w:hAnsi="Arial" w:cs="Arial"/>
          <w:sz w:val="24"/>
          <w:szCs w:val="24"/>
        </w:rPr>
        <w:t xml:space="preserve">.  These provisions </w:t>
      </w:r>
      <w:r w:rsidR="00615E04">
        <w:rPr>
          <w:rFonts w:ascii="Arial" w:hAnsi="Arial" w:cs="Arial"/>
          <w:sz w:val="24"/>
          <w:szCs w:val="24"/>
        </w:rPr>
        <w:t>(relevant part</w:t>
      </w:r>
      <w:r w:rsidR="00F72DAC">
        <w:rPr>
          <w:rFonts w:ascii="Arial" w:hAnsi="Arial" w:cs="Arial"/>
          <w:sz w:val="24"/>
          <w:szCs w:val="24"/>
        </w:rPr>
        <w:t>s</w:t>
      </w:r>
      <w:r w:rsidR="00615E04">
        <w:rPr>
          <w:rFonts w:ascii="Arial" w:hAnsi="Arial" w:cs="Arial"/>
          <w:sz w:val="24"/>
          <w:szCs w:val="24"/>
        </w:rPr>
        <w:t xml:space="preserve">) </w:t>
      </w:r>
      <w:r w:rsidR="002B079C">
        <w:rPr>
          <w:rFonts w:ascii="Arial" w:hAnsi="Arial" w:cs="Arial"/>
          <w:sz w:val="24"/>
          <w:szCs w:val="24"/>
        </w:rPr>
        <w:t xml:space="preserve">read as follows: </w:t>
      </w:r>
    </w:p>
    <w:p w14:paraId="47B939A4" w14:textId="1D29ABC0" w:rsidR="00F72DAC" w:rsidRPr="00F72DAC" w:rsidRDefault="00F72DAC" w:rsidP="00F72DAC">
      <w:pPr>
        <w:jc w:val="both"/>
        <w:rPr>
          <w:rFonts w:ascii="Arial" w:hAnsi="Arial" w:cs="Arial"/>
          <w:b/>
          <w:i/>
          <w:sz w:val="24"/>
          <w:szCs w:val="24"/>
        </w:rPr>
      </w:pPr>
      <w:r w:rsidRPr="00F72DAC">
        <w:rPr>
          <w:rFonts w:ascii="Arial" w:hAnsi="Arial" w:cs="Arial"/>
          <w:b/>
          <w:i/>
          <w:sz w:val="24"/>
          <w:szCs w:val="24"/>
        </w:rPr>
        <w:t>The Statutory Bodies Pension Funds</w:t>
      </w:r>
      <w:r>
        <w:rPr>
          <w:rFonts w:ascii="Arial" w:hAnsi="Arial" w:cs="Arial"/>
          <w:b/>
          <w:i/>
          <w:sz w:val="24"/>
          <w:szCs w:val="24"/>
        </w:rPr>
        <w:t xml:space="preserve"> Act</w:t>
      </w:r>
    </w:p>
    <w:p w14:paraId="0650F435" w14:textId="45E5346D" w:rsidR="00F72DAC" w:rsidRPr="00F72DAC" w:rsidRDefault="00F72DAC" w:rsidP="00F72DAC">
      <w:pPr>
        <w:jc w:val="both"/>
        <w:rPr>
          <w:rFonts w:ascii="Arial" w:hAnsi="Arial" w:cs="Arial"/>
          <w:b/>
          <w:i/>
          <w:sz w:val="24"/>
          <w:szCs w:val="24"/>
        </w:rPr>
      </w:pPr>
      <w:r w:rsidRPr="00F72DAC">
        <w:rPr>
          <w:rFonts w:ascii="Arial" w:hAnsi="Arial" w:cs="Arial"/>
          <w:b/>
          <w:i/>
          <w:sz w:val="24"/>
          <w:szCs w:val="24"/>
        </w:rPr>
        <w:t>2. Interpretation</w:t>
      </w:r>
    </w:p>
    <w:p w14:paraId="49088017" w14:textId="77777777" w:rsidR="00633065" w:rsidRDefault="00F72DAC" w:rsidP="00F72DAC">
      <w:pPr>
        <w:jc w:val="both"/>
        <w:rPr>
          <w:rFonts w:ascii="Arial" w:hAnsi="Arial" w:cs="Arial"/>
          <w:i/>
          <w:sz w:val="24"/>
          <w:szCs w:val="24"/>
        </w:rPr>
      </w:pPr>
      <w:r>
        <w:rPr>
          <w:rFonts w:ascii="Arial" w:hAnsi="Arial" w:cs="Arial"/>
          <w:i/>
          <w:sz w:val="24"/>
          <w:szCs w:val="24"/>
        </w:rPr>
        <w:t xml:space="preserve">(…) </w:t>
      </w:r>
      <w:r w:rsidRPr="00BD4111">
        <w:rPr>
          <w:rFonts w:ascii="Arial" w:hAnsi="Arial" w:cs="Arial"/>
          <w:i/>
          <w:sz w:val="24"/>
          <w:szCs w:val="24"/>
        </w:rPr>
        <w:t>"</w:t>
      </w:r>
      <w:r w:rsidR="00633065">
        <w:rPr>
          <w:rFonts w:ascii="Arial" w:hAnsi="Arial" w:cs="Arial"/>
          <w:i/>
          <w:sz w:val="24"/>
          <w:szCs w:val="24"/>
        </w:rPr>
        <w:t>p</w:t>
      </w:r>
      <w:r w:rsidRPr="00BD4111">
        <w:rPr>
          <w:rFonts w:ascii="Arial" w:hAnsi="Arial" w:cs="Arial"/>
          <w:i/>
          <w:sz w:val="24"/>
          <w:szCs w:val="24"/>
        </w:rPr>
        <w:t xml:space="preserve">ensionable emoluments"- (a) includes salary, car benefit, personal pensionable allowance, house allowance, the estimated value of free quarters or rent allowances as may be prescribed and any allowance in the nature of a cost of living allowance or additional remuneration, by whatever name called; </w:t>
      </w:r>
      <w:r w:rsidR="00633065">
        <w:rPr>
          <w:rFonts w:ascii="Arial" w:hAnsi="Arial" w:cs="Arial"/>
          <w:i/>
          <w:sz w:val="24"/>
          <w:szCs w:val="24"/>
        </w:rPr>
        <w:t>but</w:t>
      </w:r>
    </w:p>
    <w:p w14:paraId="701EB58F" w14:textId="6626D509" w:rsidR="00F72DAC" w:rsidRDefault="00F72DAC" w:rsidP="00F72DAC">
      <w:pPr>
        <w:jc w:val="both"/>
        <w:rPr>
          <w:rFonts w:ascii="Arial" w:hAnsi="Arial" w:cs="Arial"/>
          <w:i/>
          <w:sz w:val="24"/>
          <w:szCs w:val="24"/>
        </w:rPr>
      </w:pPr>
      <w:r w:rsidRPr="00BD4111">
        <w:rPr>
          <w:rFonts w:ascii="Arial" w:hAnsi="Arial" w:cs="Arial"/>
          <w:i/>
          <w:sz w:val="24"/>
          <w:szCs w:val="24"/>
        </w:rPr>
        <w:t xml:space="preserve">(b) does not include duty allowance, entertainment allowance or any other allowance paid to an officer at the time of his retirement. </w:t>
      </w:r>
    </w:p>
    <w:p w14:paraId="7AC79C92" w14:textId="77777777" w:rsidR="00633065" w:rsidRDefault="00F72DAC" w:rsidP="00F72DAC">
      <w:pPr>
        <w:jc w:val="both"/>
        <w:rPr>
          <w:rFonts w:ascii="Arial" w:hAnsi="Arial" w:cs="Arial"/>
          <w:i/>
          <w:sz w:val="24"/>
          <w:szCs w:val="24"/>
        </w:rPr>
      </w:pPr>
      <w:r w:rsidRPr="00BD4111">
        <w:rPr>
          <w:rFonts w:ascii="Arial" w:hAnsi="Arial" w:cs="Arial"/>
          <w:i/>
          <w:sz w:val="24"/>
          <w:szCs w:val="24"/>
        </w:rPr>
        <w:t xml:space="preserve">“pensionable office” – (a) means an office held by an officer; </w:t>
      </w:r>
      <w:r w:rsidR="00633065">
        <w:rPr>
          <w:rFonts w:ascii="Arial" w:hAnsi="Arial" w:cs="Arial"/>
          <w:i/>
          <w:sz w:val="24"/>
          <w:szCs w:val="24"/>
        </w:rPr>
        <w:t xml:space="preserve">and </w:t>
      </w:r>
    </w:p>
    <w:p w14:paraId="65283332" w14:textId="56CE993B" w:rsidR="00F72DAC" w:rsidRDefault="00F72DAC" w:rsidP="00F72DAC">
      <w:pPr>
        <w:jc w:val="both"/>
        <w:rPr>
          <w:rFonts w:ascii="Arial" w:hAnsi="Arial" w:cs="Arial"/>
          <w:i/>
          <w:sz w:val="24"/>
          <w:szCs w:val="24"/>
        </w:rPr>
      </w:pPr>
      <w:r w:rsidRPr="00BD4111">
        <w:rPr>
          <w:rFonts w:ascii="Arial" w:hAnsi="Arial" w:cs="Arial"/>
          <w:i/>
          <w:sz w:val="24"/>
          <w:szCs w:val="24"/>
        </w:rPr>
        <w:t xml:space="preserve">(b) in relation to a local authority, includes an office in the establishment of the local authority or an office which has been declared as such by the local authority with the approval of the Local Government Service Commission and published in the Gazette; </w:t>
      </w:r>
    </w:p>
    <w:p w14:paraId="7921A2C9" w14:textId="601A3420" w:rsidR="00840C1F" w:rsidRDefault="00840C1F" w:rsidP="00F72DAC">
      <w:pPr>
        <w:tabs>
          <w:tab w:val="left" w:pos="6250"/>
        </w:tabs>
        <w:jc w:val="both"/>
        <w:rPr>
          <w:rFonts w:ascii="Arial" w:hAnsi="Arial" w:cs="Arial"/>
          <w:b/>
          <w:i/>
          <w:sz w:val="24"/>
          <w:szCs w:val="24"/>
        </w:rPr>
      </w:pPr>
      <w:r>
        <w:rPr>
          <w:rFonts w:ascii="Arial" w:hAnsi="Arial" w:cs="Arial"/>
          <w:b/>
          <w:i/>
          <w:sz w:val="24"/>
          <w:szCs w:val="24"/>
        </w:rPr>
        <w:t>8. Amount of pension benefit</w:t>
      </w:r>
    </w:p>
    <w:p w14:paraId="7F4BC588" w14:textId="77777777" w:rsidR="00840C1F" w:rsidRDefault="00840C1F" w:rsidP="00F72DAC">
      <w:pPr>
        <w:tabs>
          <w:tab w:val="left" w:pos="6250"/>
        </w:tabs>
        <w:jc w:val="both"/>
        <w:rPr>
          <w:rFonts w:ascii="Arial" w:hAnsi="Arial" w:cs="Arial"/>
          <w:i/>
          <w:sz w:val="24"/>
          <w:szCs w:val="24"/>
        </w:rPr>
      </w:pPr>
      <w:r w:rsidRPr="00840C1F">
        <w:rPr>
          <w:rFonts w:ascii="Arial" w:hAnsi="Arial" w:cs="Arial"/>
          <w:i/>
          <w:sz w:val="24"/>
          <w:szCs w:val="24"/>
        </w:rPr>
        <w:t xml:space="preserve">The </w:t>
      </w:r>
      <w:r>
        <w:rPr>
          <w:rFonts w:ascii="Arial" w:hAnsi="Arial" w:cs="Arial"/>
          <w:i/>
          <w:sz w:val="24"/>
          <w:szCs w:val="24"/>
        </w:rPr>
        <w:t>amount of pension benefit to which an officer is eligible shall be computed-</w:t>
      </w:r>
    </w:p>
    <w:p w14:paraId="006171DD" w14:textId="5505A207" w:rsidR="00840C1F" w:rsidRPr="00840C1F" w:rsidRDefault="00840C1F" w:rsidP="00840C1F">
      <w:pPr>
        <w:pStyle w:val="ListParagraph"/>
        <w:numPr>
          <w:ilvl w:val="0"/>
          <w:numId w:val="10"/>
        </w:numPr>
        <w:tabs>
          <w:tab w:val="left" w:pos="6250"/>
        </w:tabs>
        <w:jc w:val="both"/>
        <w:rPr>
          <w:rFonts w:ascii="Arial" w:hAnsi="Arial" w:cs="Arial"/>
          <w:i/>
          <w:sz w:val="24"/>
          <w:szCs w:val="24"/>
        </w:rPr>
      </w:pPr>
      <w:r w:rsidRPr="00840C1F">
        <w:rPr>
          <w:rFonts w:ascii="Arial" w:hAnsi="Arial" w:cs="Arial"/>
          <w:i/>
          <w:sz w:val="24"/>
          <w:szCs w:val="24"/>
        </w:rPr>
        <w:t>in respect of an officer appointed before 1 January 2013, by reference to the annual pensionable emoluments drawn by him at the date of his retirement; or</w:t>
      </w:r>
    </w:p>
    <w:p w14:paraId="2F86C401" w14:textId="4423B324" w:rsidR="00840C1F" w:rsidRPr="00840C1F" w:rsidRDefault="00840C1F" w:rsidP="00840C1F">
      <w:pPr>
        <w:pStyle w:val="ListParagraph"/>
        <w:numPr>
          <w:ilvl w:val="0"/>
          <w:numId w:val="10"/>
        </w:numPr>
        <w:tabs>
          <w:tab w:val="left" w:pos="6250"/>
        </w:tabs>
        <w:jc w:val="both"/>
        <w:rPr>
          <w:rFonts w:ascii="Arial" w:hAnsi="Arial" w:cs="Arial"/>
          <w:i/>
          <w:sz w:val="24"/>
          <w:szCs w:val="24"/>
        </w:rPr>
      </w:pPr>
      <w:r>
        <w:rPr>
          <w:rFonts w:ascii="Arial" w:hAnsi="Arial" w:cs="Arial"/>
          <w:i/>
          <w:sz w:val="24"/>
          <w:szCs w:val="24"/>
        </w:rPr>
        <w:t xml:space="preserve">in respect of an officer appointed on or after 1 January 2013, in such manner as may be prescribed. </w:t>
      </w:r>
      <w:r w:rsidRPr="00840C1F">
        <w:rPr>
          <w:rFonts w:ascii="Arial" w:hAnsi="Arial" w:cs="Arial"/>
          <w:i/>
          <w:sz w:val="24"/>
          <w:szCs w:val="24"/>
        </w:rPr>
        <w:t xml:space="preserve"> </w:t>
      </w:r>
    </w:p>
    <w:p w14:paraId="5240F5EE" w14:textId="77777777" w:rsidR="00F72DAC" w:rsidRPr="00585AF1" w:rsidRDefault="00F72DAC" w:rsidP="00F72DAC">
      <w:pPr>
        <w:tabs>
          <w:tab w:val="left" w:pos="6250"/>
        </w:tabs>
        <w:jc w:val="both"/>
        <w:rPr>
          <w:rFonts w:ascii="Arial" w:hAnsi="Arial" w:cs="Arial"/>
          <w:b/>
          <w:i/>
          <w:sz w:val="24"/>
          <w:szCs w:val="24"/>
        </w:rPr>
      </w:pPr>
      <w:r w:rsidRPr="00585AF1">
        <w:rPr>
          <w:rFonts w:ascii="Arial" w:hAnsi="Arial" w:cs="Arial"/>
          <w:b/>
          <w:i/>
          <w:sz w:val="24"/>
          <w:szCs w:val="24"/>
        </w:rPr>
        <w:t xml:space="preserve">9. Grant of pension benefit or gratuity </w:t>
      </w:r>
      <w:r>
        <w:rPr>
          <w:rFonts w:ascii="Arial" w:hAnsi="Arial" w:cs="Arial"/>
          <w:b/>
          <w:i/>
          <w:sz w:val="24"/>
          <w:szCs w:val="24"/>
        </w:rPr>
        <w:tab/>
      </w:r>
    </w:p>
    <w:p w14:paraId="21279377" w14:textId="77777777" w:rsidR="00F72DAC" w:rsidRDefault="00F72DAC" w:rsidP="00F72DAC">
      <w:pPr>
        <w:jc w:val="both"/>
        <w:rPr>
          <w:rFonts w:ascii="Arial" w:hAnsi="Arial" w:cs="Arial"/>
          <w:i/>
          <w:sz w:val="24"/>
          <w:szCs w:val="24"/>
        </w:rPr>
      </w:pPr>
      <w:r w:rsidRPr="00585AF1">
        <w:rPr>
          <w:rFonts w:ascii="Arial" w:hAnsi="Arial" w:cs="Arial"/>
          <w:i/>
          <w:sz w:val="24"/>
          <w:szCs w:val="24"/>
        </w:rPr>
        <w:t>An officer shall, subject to this Act, be granted a pension benefit or gratuity in such circumstances and in such manner as may be prescribed</w:t>
      </w:r>
      <w:r>
        <w:rPr>
          <w:rFonts w:ascii="Arial" w:hAnsi="Arial" w:cs="Arial"/>
          <w:i/>
          <w:sz w:val="24"/>
          <w:szCs w:val="24"/>
        </w:rPr>
        <w:t>.</w:t>
      </w:r>
    </w:p>
    <w:p w14:paraId="005079F6" w14:textId="77777777" w:rsidR="00F72DAC" w:rsidRDefault="00F72DAC" w:rsidP="007C5660">
      <w:pPr>
        <w:jc w:val="both"/>
        <w:rPr>
          <w:rFonts w:ascii="Arial" w:hAnsi="Arial" w:cs="Arial"/>
          <w:b/>
          <w:i/>
          <w:sz w:val="24"/>
          <w:szCs w:val="24"/>
        </w:rPr>
      </w:pPr>
    </w:p>
    <w:p w14:paraId="5A0A8B7E" w14:textId="2BBB07E3" w:rsidR="00615E04" w:rsidRPr="00615E04" w:rsidRDefault="00615E04" w:rsidP="007C5660">
      <w:pPr>
        <w:jc w:val="both"/>
        <w:rPr>
          <w:b/>
          <w:i/>
        </w:rPr>
      </w:pPr>
      <w:r w:rsidRPr="00615E04">
        <w:rPr>
          <w:rFonts w:ascii="Arial" w:hAnsi="Arial" w:cs="Arial"/>
          <w:b/>
          <w:i/>
          <w:sz w:val="24"/>
          <w:szCs w:val="24"/>
        </w:rPr>
        <w:t>Statutory Bodies Pension Funds Regulations</w:t>
      </w:r>
    </w:p>
    <w:p w14:paraId="300B50AE" w14:textId="2EF57E97" w:rsidR="006A359A" w:rsidRPr="00615E04" w:rsidRDefault="006A359A" w:rsidP="007C5660">
      <w:pPr>
        <w:jc w:val="both"/>
        <w:rPr>
          <w:rFonts w:ascii="Arial" w:hAnsi="Arial" w:cs="Arial"/>
          <w:b/>
          <w:i/>
          <w:sz w:val="24"/>
          <w:szCs w:val="24"/>
        </w:rPr>
      </w:pPr>
      <w:r w:rsidRPr="00615E04">
        <w:rPr>
          <w:rFonts w:ascii="Arial" w:hAnsi="Arial" w:cs="Arial"/>
          <w:b/>
          <w:i/>
          <w:sz w:val="24"/>
          <w:szCs w:val="24"/>
        </w:rPr>
        <w:t>4. Computation of pension and gratuity</w:t>
      </w:r>
    </w:p>
    <w:p w14:paraId="6BF323CB" w14:textId="1ABF74C3" w:rsidR="00615E04" w:rsidRDefault="00615E04" w:rsidP="007C5660">
      <w:pPr>
        <w:jc w:val="both"/>
        <w:rPr>
          <w:rFonts w:ascii="Arial" w:hAnsi="Arial" w:cs="Arial"/>
          <w:i/>
          <w:sz w:val="24"/>
          <w:szCs w:val="24"/>
        </w:rPr>
      </w:pPr>
      <w:r>
        <w:rPr>
          <w:rFonts w:ascii="Arial" w:hAnsi="Arial" w:cs="Arial"/>
          <w:i/>
          <w:sz w:val="24"/>
          <w:szCs w:val="24"/>
        </w:rPr>
        <w:t>4</w:t>
      </w:r>
      <w:r w:rsidR="006A359A" w:rsidRPr="00615E04">
        <w:rPr>
          <w:rFonts w:ascii="Arial" w:hAnsi="Arial" w:cs="Arial"/>
          <w:i/>
          <w:sz w:val="24"/>
          <w:szCs w:val="24"/>
        </w:rPr>
        <w:t xml:space="preserve">(7) Where an officer has been appointed to act in or assigned the duties of </w:t>
      </w:r>
      <w:r>
        <w:rPr>
          <w:rFonts w:ascii="Arial" w:hAnsi="Arial" w:cs="Arial"/>
          <w:i/>
          <w:sz w:val="24"/>
          <w:szCs w:val="24"/>
        </w:rPr>
        <w:t>–</w:t>
      </w:r>
      <w:r w:rsidR="006A359A" w:rsidRPr="00615E04">
        <w:rPr>
          <w:rFonts w:ascii="Arial" w:hAnsi="Arial" w:cs="Arial"/>
          <w:i/>
          <w:sz w:val="24"/>
          <w:szCs w:val="24"/>
        </w:rPr>
        <w:t xml:space="preserve"> </w:t>
      </w:r>
    </w:p>
    <w:p w14:paraId="3DEF1543" w14:textId="77777777" w:rsidR="00615E04" w:rsidRDefault="006A359A" w:rsidP="007C5660">
      <w:pPr>
        <w:jc w:val="both"/>
        <w:rPr>
          <w:rFonts w:ascii="Arial" w:hAnsi="Arial" w:cs="Arial"/>
          <w:i/>
          <w:sz w:val="24"/>
          <w:szCs w:val="24"/>
        </w:rPr>
      </w:pPr>
      <w:r w:rsidRPr="00615E04">
        <w:rPr>
          <w:rFonts w:ascii="Arial" w:hAnsi="Arial" w:cs="Arial"/>
          <w:i/>
          <w:sz w:val="24"/>
          <w:szCs w:val="24"/>
        </w:rPr>
        <w:t xml:space="preserve">(a) a higher office in a position of Accounting Head or Chief Executive, the salary of which is not less than 101,000 rupees a month; or </w:t>
      </w:r>
    </w:p>
    <w:p w14:paraId="252A7642" w14:textId="77777777" w:rsidR="00615E04" w:rsidRDefault="006A359A" w:rsidP="007C5660">
      <w:pPr>
        <w:jc w:val="both"/>
        <w:rPr>
          <w:rFonts w:ascii="Arial" w:hAnsi="Arial" w:cs="Arial"/>
          <w:i/>
          <w:sz w:val="24"/>
          <w:szCs w:val="24"/>
        </w:rPr>
      </w:pPr>
      <w:r w:rsidRPr="00615E04">
        <w:rPr>
          <w:rFonts w:ascii="Arial" w:hAnsi="Arial" w:cs="Arial"/>
          <w:i/>
          <w:sz w:val="24"/>
          <w:szCs w:val="24"/>
        </w:rPr>
        <w:t xml:space="preserve">(b) a higher office than that specified in subparagraph (a) in the same cadre, </w:t>
      </w:r>
    </w:p>
    <w:p w14:paraId="6028BE2E" w14:textId="302017FA" w:rsidR="00615E04" w:rsidRDefault="006A359A" w:rsidP="007C5660">
      <w:pPr>
        <w:jc w:val="both"/>
        <w:rPr>
          <w:rFonts w:ascii="Arial" w:hAnsi="Arial" w:cs="Arial"/>
          <w:i/>
          <w:sz w:val="24"/>
          <w:szCs w:val="24"/>
        </w:rPr>
      </w:pPr>
      <w:r w:rsidRPr="00615E04">
        <w:rPr>
          <w:rFonts w:ascii="Arial" w:hAnsi="Arial" w:cs="Arial"/>
          <w:i/>
          <w:sz w:val="24"/>
          <w:szCs w:val="24"/>
        </w:rPr>
        <w:t xml:space="preserve">and retires or is subsequently reverted to his substantive office, the amount of pension or gratuity for which the officer is eligible shall be computed by reference to the annual pensionable emoluments attached to the higher office or, in case he is drawing part of the allowance, the annual aggregate pensionable emoluments, provided that </w:t>
      </w:r>
      <w:r w:rsidR="00615E04">
        <w:rPr>
          <w:rFonts w:ascii="Arial" w:hAnsi="Arial" w:cs="Arial"/>
          <w:i/>
          <w:sz w:val="24"/>
          <w:szCs w:val="24"/>
        </w:rPr>
        <w:t>–</w:t>
      </w:r>
      <w:r w:rsidRPr="00615E04">
        <w:rPr>
          <w:rFonts w:ascii="Arial" w:hAnsi="Arial" w:cs="Arial"/>
          <w:i/>
          <w:sz w:val="24"/>
          <w:szCs w:val="24"/>
        </w:rPr>
        <w:t xml:space="preserve"> </w:t>
      </w:r>
    </w:p>
    <w:p w14:paraId="5A449E05" w14:textId="4FAA98FF" w:rsidR="00615E04" w:rsidRDefault="006A359A" w:rsidP="007C5660">
      <w:pPr>
        <w:jc w:val="both"/>
        <w:rPr>
          <w:rFonts w:ascii="Arial" w:hAnsi="Arial" w:cs="Arial"/>
          <w:i/>
          <w:sz w:val="24"/>
          <w:szCs w:val="24"/>
        </w:rPr>
      </w:pPr>
      <w:r w:rsidRPr="00615E04">
        <w:rPr>
          <w:rFonts w:ascii="Arial" w:hAnsi="Arial" w:cs="Arial"/>
          <w:i/>
          <w:sz w:val="24"/>
          <w:szCs w:val="24"/>
        </w:rPr>
        <w:t xml:space="preserve">(i) he has </w:t>
      </w:r>
      <w:r w:rsidR="00615E04">
        <w:rPr>
          <w:rFonts w:ascii="Arial" w:hAnsi="Arial" w:cs="Arial"/>
          <w:i/>
          <w:sz w:val="24"/>
          <w:szCs w:val="24"/>
        </w:rPr>
        <w:t>–</w:t>
      </w:r>
      <w:r w:rsidRPr="00615E04">
        <w:rPr>
          <w:rFonts w:ascii="Arial" w:hAnsi="Arial" w:cs="Arial"/>
          <w:i/>
          <w:sz w:val="24"/>
          <w:szCs w:val="24"/>
        </w:rPr>
        <w:t xml:space="preserve"> </w:t>
      </w:r>
    </w:p>
    <w:p w14:paraId="5EBC5583" w14:textId="77777777" w:rsidR="00615E04" w:rsidRDefault="006A359A" w:rsidP="007C5660">
      <w:pPr>
        <w:jc w:val="both"/>
        <w:rPr>
          <w:rFonts w:ascii="Arial" w:hAnsi="Arial" w:cs="Arial"/>
          <w:i/>
          <w:sz w:val="24"/>
          <w:szCs w:val="24"/>
        </w:rPr>
      </w:pPr>
      <w:r w:rsidRPr="00615E04">
        <w:rPr>
          <w:rFonts w:ascii="Arial" w:hAnsi="Arial" w:cs="Arial"/>
          <w:i/>
          <w:sz w:val="24"/>
          <w:szCs w:val="24"/>
        </w:rPr>
        <w:t xml:space="preserve">(A) performed the duties of the higher office for a continuous period of not less than 12 months; </w:t>
      </w:r>
    </w:p>
    <w:p w14:paraId="220D7FA4" w14:textId="77777777" w:rsidR="00615E04" w:rsidRDefault="006A359A" w:rsidP="007C5660">
      <w:pPr>
        <w:jc w:val="both"/>
        <w:rPr>
          <w:rFonts w:ascii="Arial" w:hAnsi="Arial" w:cs="Arial"/>
          <w:i/>
          <w:sz w:val="24"/>
          <w:szCs w:val="24"/>
        </w:rPr>
      </w:pPr>
      <w:r w:rsidRPr="00615E04">
        <w:rPr>
          <w:rFonts w:ascii="Arial" w:hAnsi="Arial" w:cs="Arial"/>
          <w:i/>
          <w:sz w:val="24"/>
          <w:szCs w:val="24"/>
        </w:rPr>
        <w:t xml:space="preserve">(B) not been reverted to his substantive office on the grounds of inefficiency or misconduct or at his own request; and </w:t>
      </w:r>
    </w:p>
    <w:p w14:paraId="76C9D25F" w14:textId="6897D90D" w:rsidR="00615E04" w:rsidRDefault="006A359A" w:rsidP="007C5660">
      <w:pPr>
        <w:jc w:val="both"/>
        <w:rPr>
          <w:rFonts w:ascii="Arial" w:hAnsi="Arial" w:cs="Arial"/>
          <w:i/>
          <w:sz w:val="24"/>
          <w:szCs w:val="24"/>
        </w:rPr>
      </w:pPr>
      <w:r w:rsidRPr="00615E04">
        <w:rPr>
          <w:rFonts w:ascii="Arial" w:hAnsi="Arial" w:cs="Arial"/>
          <w:i/>
          <w:sz w:val="24"/>
          <w:szCs w:val="24"/>
        </w:rPr>
        <w:t xml:space="preserve">(C) at the time of retirement or reversion </w:t>
      </w:r>
      <w:r w:rsidR="00615E04">
        <w:rPr>
          <w:rFonts w:ascii="Arial" w:hAnsi="Arial" w:cs="Arial"/>
          <w:i/>
          <w:sz w:val="24"/>
          <w:szCs w:val="24"/>
        </w:rPr>
        <w:t>–</w:t>
      </w:r>
      <w:r w:rsidRPr="00615E04">
        <w:rPr>
          <w:rFonts w:ascii="Arial" w:hAnsi="Arial" w:cs="Arial"/>
          <w:i/>
          <w:sz w:val="24"/>
          <w:szCs w:val="24"/>
        </w:rPr>
        <w:t xml:space="preserve"> </w:t>
      </w:r>
    </w:p>
    <w:p w14:paraId="246EC754" w14:textId="77777777" w:rsidR="00615E04" w:rsidRDefault="006A359A" w:rsidP="001041F1">
      <w:pPr>
        <w:ind w:left="993" w:hanging="273"/>
        <w:jc w:val="both"/>
        <w:rPr>
          <w:rFonts w:ascii="Arial" w:hAnsi="Arial" w:cs="Arial"/>
          <w:i/>
          <w:sz w:val="24"/>
          <w:szCs w:val="24"/>
        </w:rPr>
      </w:pPr>
      <w:r w:rsidRPr="00615E04">
        <w:rPr>
          <w:rFonts w:ascii="Arial" w:hAnsi="Arial" w:cs="Arial"/>
          <w:i/>
          <w:sz w:val="24"/>
          <w:szCs w:val="24"/>
        </w:rPr>
        <w:t xml:space="preserve">(I) performed the duties of the higher office and reached the age of 50 before 1 July 2008; </w:t>
      </w:r>
    </w:p>
    <w:p w14:paraId="4B8D58C2" w14:textId="77777777" w:rsidR="00F72DAC" w:rsidRDefault="006A359A" w:rsidP="001041F1">
      <w:pPr>
        <w:ind w:left="1134" w:hanging="414"/>
        <w:jc w:val="both"/>
        <w:rPr>
          <w:rFonts w:ascii="Arial" w:hAnsi="Arial" w:cs="Arial"/>
          <w:i/>
          <w:sz w:val="24"/>
          <w:szCs w:val="24"/>
        </w:rPr>
      </w:pPr>
      <w:r w:rsidRPr="00615E04">
        <w:rPr>
          <w:rFonts w:ascii="Arial" w:hAnsi="Arial" w:cs="Arial"/>
          <w:i/>
          <w:sz w:val="24"/>
          <w:szCs w:val="24"/>
        </w:rPr>
        <w:t xml:space="preserve">(II) where he was in post as at 30 June 2008, reached the age at which he may retire with the approval of the statutory body, as specified in the Third Schedule; or </w:t>
      </w:r>
    </w:p>
    <w:p w14:paraId="08AF2DAF" w14:textId="77777777" w:rsidR="00F72DAC" w:rsidRDefault="006A359A" w:rsidP="001041F1">
      <w:pPr>
        <w:ind w:left="1134" w:hanging="414"/>
        <w:jc w:val="both"/>
        <w:rPr>
          <w:rFonts w:ascii="Arial" w:hAnsi="Arial" w:cs="Arial"/>
          <w:i/>
          <w:sz w:val="24"/>
          <w:szCs w:val="24"/>
        </w:rPr>
      </w:pPr>
      <w:r w:rsidRPr="00615E04">
        <w:rPr>
          <w:rFonts w:ascii="Arial" w:hAnsi="Arial" w:cs="Arial"/>
          <w:i/>
          <w:sz w:val="24"/>
          <w:szCs w:val="24"/>
        </w:rPr>
        <w:t xml:space="preserve">(III) where he is appointed in the service on or after 1 July 2008, reached the age of 55; or </w:t>
      </w:r>
    </w:p>
    <w:p w14:paraId="44CC2244" w14:textId="77777777" w:rsidR="00F72DAC" w:rsidRDefault="006A359A" w:rsidP="001041F1">
      <w:pPr>
        <w:ind w:left="284" w:hanging="284"/>
        <w:jc w:val="both"/>
        <w:rPr>
          <w:rFonts w:ascii="Arial" w:hAnsi="Arial" w:cs="Arial"/>
          <w:i/>
          <w:sz w:val="24"/>
          <w:szCs w:val="24"/>
        </w:rPr>
      </w:pPr>
      <w:r w:rsidRPr="00615E04">
        <w:rPr>
          <w:rFonts w:ascii="Arial" w:hAnsi="Arial" w:cs="Arial"/>
          <w:i/>
          <w:sz w:val="24"/>
          <w:szCs w:val="24"/>
        </w:rPr>
        <w:t xml:space="preserve">(ii) he has successfully performed the duties of the higher office for a minimum period of 6 months and has reached compulsory retirement age. </w:t>
      </w:r>
    </w:p>
    <w:p w14:paraId="5875E440" w14:textId="2FB514E3" w:rsidR="00F72DAC" w:rsidRDefault="006A359A" w:rsidP="00F72DAC">
      <w:pPr>
        <w:jc w:val="both"/>
        <w:rPr>
          <w:rFonts w:ascii="Arial" w:hAnsi="Arial" w:cs="Arial"/>
          <w:i/>
          <w:sz w:val="24"/>
          <w:szCs w:val="24"/>
        </w:rPr>
      </w:pPr>
      <w:r w:rsidRPr="00615E04">
        <w:rPr>
          <w:rFonts w:ascii="Arial" w:hAnsi="Arial" w:cs="Arial"/>
          <w:i/>
          <w:sz w:val="24"/>
          <w:szCs w:val="24"/>
        </w:rPr>
        <w:t xml:space="preserve">(8) Where an officer has been appointed to act in or assigned the duties of a higher office, other than an office referred to in paragraph (7), and retires or is subsequently reverted to his substantive office, the amount of pension or gratuity for which the officer is eligible shall be computed by reference to the annual pensionable emoluments attached to the higher office or, in case he is drawing part of the allowance, the annual aggregate pensionable emoluments, provided that </w:t>
      </w:r>
      <w:r w:rsidR="00F72DAC">
        <w:rPr>
          <w:rFonts w:ascii="Arial" w:hAnsi="Arial" w:cs="Arial"/>
          <w:i/>
          <w:sz w:val="24"/>
          <w:szCs w:val="24"/>
        </w:rPr>
        <w:t>–</w:t>
      </w:r>
      <w:r w:rsidRPr="00615E04">
        <w:rPr>
          <w:rFonts w:ascii="Arial" w:hAnsi="Arial" w:cs="Arial"/>
          <w:i/>
          <w:sz w:val="24"/>
          <w:szCs w:val="24"/>
        </w:rPr>
        <w:t xml:space="preserve"> </w:t>
      </w:r>
    </w:p>
    <w:p w14:paraId="50EF248D" w14:textId="77777777" w:rsidR="00F72DAC" w:rsidRDefault="006A359A" w:rsidP="00F72DAC">
      <w:pPr>
        <w:ind w:left="1134" w:hanging="414"/>
        <w:jc w:val="both"/>
        <w:rPr>
          <w:rFonts w:ascii="Arial" w:hAnsi="Arial" w:cs="Arial"/>
          <w:i/>
          <w:sz w:val="24"/>
          <w:szCs w:val="24"/>
        </w:rPr>
      </w:pPr>
      <w:r w:rsidRPr="00615E04">
        <w:rPr>
          <w:rFonts w:ascii="Arial" w:hAnsi="Arial" w:cs="Arial"/>
          <w:i/>
          <w:sz w:val="24"/>
          <w:szCs w:val="24"/>
        </w:rPr>
        <w:t xml:space="preserve">(a) he has performed the duties of the higher office for a continuous period of at least 2 years or an aggregate period of at least 2 years within a period of 3 years; </w:t>
      </w:r>
    </w:p>
    <w:p w14:paraId="785C7AD5" w14:textId="77777777" w:rsidR="00F72DAC" w:rsidRDefault="006A359A" w:rsidP="00F72DAC">
      <w:pPr>
        <w:ind w:left="1134" w:hanging="414"/>
        <w:jc w:val="both"/>
        <w:rPr>
          <w:rFonts w:ascii="Arial" w:hAnsi="Arial" w:cs="Arial"/>
          <w:i/>
          <w:sz w:val="24"/>
          <w:szCs w:val="24"/>
        </w:rPr>
      </w:pPr>
      <w:r w:rsidRPr="00615E04">
        <w:rPr>
          <w:rFonts w:ascii="Arial" w:hAnsi="Arial" w:cs="Arial"/>
          <w:i/>
          <w:sz w:val="24"/>
          <w:szCs w:val="24"/>
        </w:rPr>
        <w:t xml:space="preserve">(b) he has not been reverted to his substantive office on the grounds of inefficiency or misconduct or at his own request; and </w:t>
      </w:r>
    </w:p>
    <w:p w14:paraId="71F5FAFC" w14:textId="5A736268" w:rsidR="00F72DAC" w:rsidRDefault="006A359A" w:rsidP="00F72DAC">
      <w:pPr>
        <w:ind w:left="1276" w:hanging="556"/>
        <w:jc w:val="both"/>
        <w:rPr>
          <w:rFonts w:ascii="Arial" w:hAnsi="Arial" w:cs="Arial"/>
          <w:i/>
          <w:sz w:val="24"/>
          <w:szCs w:val="24"/>
        </w:rPr>
      </w:pPr>
      <w:r w:rsidRPr="00615E04">
        <w:rPr>
          <w:rFonts w:ascii="Arial" w:hAnsi="Arial" w:cs="Arial"/>
          <w:i/>
          <w:sz w:val="24"/>
          <w:szCs w:val="24"/>
        </w:rPr>
        <w:t xml:space="preserve">(c) </w:t>
      </w:r>
      <w:r w:rsidR="00F72DAC">
        <w:rPr>
          <w:rFonts w:ascii="Arial" w:hAnsi="Arial" w:cs="Arial"/>
          <w:i/>
          <w:sz w:val="24"/>
          <w:szCs w:val="24"/>
        </w:rPr>
        <w:t xml:space="preserve"> </w:t>
      </w:r>
      <w:r w:rsidRPr="00615E04">
        <w:rPr>
          <w:rFonts w:ascii="Arial" w:hAnsi="Arial" w:cs="Arial"/>
          <w:i/>
          <w:sz w:val="24"/>
          <w:szCs w:val="24"/>
        </w:rPr>
        <w:t xml:space="preserve">at the time of retirement or reversion </w:t>
      </w:r>
      <w:r w:rsidR="00F72DAC">
        <w:rPr>
          <w:rFonts w:ascii="Arial" w:hAnsi="Arial" w:cs="Arial"/>
          <w:i/>
          <w:sz w:val="24"/>
          <w:szCs w:val="24"/>
        </w:rPr>
        <w:t>–</w:t>
      </w:r>
      <w:r w:rsidRPr="00615E04">
        <w:rPr>
          <w:rFonts w:ascii="Arial" w:hAnsi="Arial" w:cs="Arial"/>
          <w:i/>
          <w:sz w:val="24"/>
          <w:szCs w:val="24"/>
        </w:rPr>
        <w:t xml:space="preserve"> </w:t>
      </w:r>
    </w:p>
    <w:p w14:paraId="2CB07806" w14:textId="77777777" w:rsidR="00F72DAC" w:rsidRDefault="006A359A" w:rsidP="00F72DAC">
      <w:pPr>
        <w:ind w:left="1701" w:hanging="261"/>
        <w:jc w:val="both"/>
        <w:rPr>
          <w:rFonts w:ascii="Arial" w:hAnsi="Arial" w:cs="Arial"/>
          <w:i/>
          <w:sz w:val="24"/>
          <w:szCs w:val="24"/>
        </w:rPr>
      </w:pPr>
      <w:r w:rsidRPr="00615E04">
        <w:rPr>
          <w:rFonts w:ascii="Arial" w:hAnsi="Arial" w:cs="Arial"/>
          <w:i/>
          <w:sz w:val="24"/>
          <w:szCs w:val="24"/>
        </w:rPr>
        <w:t xml:space="preserve">(i) he has performed the duties of the higher office and reached the age of 50 before 1 July 2008; </w:t>
      </w:r>
    </w:p>
    <w:p w14:paraId="5C5A1B89" w14:textId="77777777" w:rsidR="00F72DAC" w:rsidRDefault="006A359A" w:rsidP="00F72DAC">
      <w:pPr>
        <w:ind w:left="1843" w:hanging="403"/>
        <w:jc w:val="both"/>
        <w:rPr>
          <w:rFonts w:ascii="Arial" w:hAnsi="Arial" w:cs="Arial"/>
          <w:i/>
          <w:sz w:val="24"/>
          <w:szCs w:val="24"/>
        </w:rPr>
      </w:pPr>
      <w:r w:rsidRPr="00615E04">
        <w:rPr>
          <w:rFonts w:ascii="Arial" w:hAnsi="Arial" w:cs="Arial"/>
          <w:i/>
          <w:sz w:val="24"/>
          <w:szCs w:val="24"/>
        </w:rPr>
        <w:t xml:space="preserve">(ii) where he was in post as at 30 June 2008, he has reached the age at which he may retire with the approval of the statutory body, as specified in the Third Schedule; or </w:t>
      </w:r>
    </w:p>
    <w:p w14:paraId="3D22FB41" w14:textId="15E5B5E2" w:rsidR="006A359A" w:rsidRPr="00615E04" w:rsidRDefault="006A359A" w:rsidP="00F72DAC">
      <w:pPr>
        <w:ind w:left="1843" w:hanging="403"/>
        <w:jc w:val="both"/>
        <w:rPr>
          <w:rFonts w:ascii="Arial" w:hAnsi="Arial" w:cs="Arial"/>
          <w:b/>
          <w:i/>
          <w:sz w:val="24"/>
          <w:szCs w:val="24"/>
        </w:rPr>
      </w:pPr>
      <w:r w:rsidRPr="00615E04">
        <w:rPr>
          <w:rFonts w:ascii="Arial" w:hAnsi="Arial" w:cs="Arial"/>
          <w:i/>
          <w:sz w:val="24"/>
          <w:szCs w:val="24"/>
        </w:rPr>
        <w:t>(iii) where he is appointed in the service on or after 1 July 2008, he has reached the age of 55</w:t>
      </w:r>
      <w:r w:rsidR="00F72DAC">
        <w:rPr>
          <w:rFonts w:ascii="Arial" w:hAnsi="Arial" w:cs="Arial"/>
          <w:i/>
          <w:sz w:val="24"/>
          <w:szCs w:val="24"/>
        </w:rPr>
        <w:t>. (…)</w:t>
      </w:r>
    </w:p>
    <w:p w14:paraId="27FAB161" w14:textId="7FFD1B9A" w:rsidR="002B011A" w:rsidRDefault="002B079C" w:rsidP="003C5495">
      <w:pPr>
        <w:jc w:val="both"/>
        <w:rPr>
          <w:rFonts w:ascii="Arial" w:hAnsi="Arial" w:cs="Arial"/>
          <w:sz w:val="24"/>
          <w:szCs w:val="24"/>
        </w:rPr>
      </w:pPr>
      <w:r>
        <w:rPr>
          <w:rFonts w:ascii="Arial" w:hAnsi="Arial" w:cs="Arial"/>
          <w:sz w:val="24"/>
          <w:szCs w:val="24"/>
        </w:rPr>
        <w:t xml:space="preserve">On the same reasoning adopted by the Tribunal under point in dispute </w:t>
      </w:r>
      <w:r w:rsidR="007935BC">
        <w:rPr>
          <w:rFonts w:ascii="Arial" w:hAnsi="Arial" w:cs="Arial"/>
          <w:sz w:val="24"/>
          <w:szCs w:val="24"/>
        </w:rPr>
        <w:t>n</w:t>
      </w:r>
      <w:r>
        <w:rPr>
          <w:rFonts w:ascii="Arial" w:hAnsi="Arial" w:cs="Arial"/>
          <w:sz w:val="24"/>
          <w:szCs w:val="24"/>
        </w:rPr>
        <w:t xml:space="preserve">o. 3 above, the Tribunal has no alternative than to find that since Officer in Charge was not an established post at the Respondent at the relevant periods, the disputants had not been assigned the duties of a </w:t>
      </w:r>
      <w:r w:rsidRPr="002B079C">
        <w:rPr>
          <w:rFonts w:ascii="Arial" w:hAnsi="Arial" w:cs="Arial"/>
          <w:sz w:val="24"/>
          <w:szCs w:val="24"/>
          <w:u w:val="single"/>
        </w:rPr>
        <w:t>higher office</w:t>
      </w:r>
      <w:r>
        <w:rPr>
          <w:rFonts w:ascii="Arial" w:hAnsi="Arial" w:cs="Arial"/>
          <w:sz w:val="24"/>
          <w:szCs w:val="24"/>
          <w:u w:val="single"/>
        </w:rPr>
        <w:t>.</w:t>
      </w:r>
      <w:r w:rsidRPr="002B079C">
        <w:rPr>
          <w:rFonts w:ascii="Arial" w:hAnsi="Arial" w:cs="Arial"/>
          <w:sz w:val="24"/>
          <w:szCs w:val="24"/>
        </w:rPr>
        <w:t xml:space="preserve">  </w:t>
      </w:r>
      <w:r>
        <w:rPr>
          <w:rFonts w:ascii="Arial" w:hAnsi="Arial" w:cs="Arial"/>
          <w:sz w:val="24"/>
          <w:szCs w:val="24"/>
        </w:rPr>
        <w:t xml:space="preserve">(underlining is ours) </w:t>
      </w:r>
      <w:r w:rsidRPr="002B079C">
        <w:rPr>
          <w:rFonts w:ascii="Arial" w:hAnsi="Arial" w:cs="Arial"/>
          <w:sz w:val="24"/>
          <w:szCs w:val="24"/>
        </w:rPr>
        <w:t>They were merely paid an allowance for s</w:t>
      </w:r>
      <w:r>
        <w:rPr>
          <w:rFonts w:ascii="Arial" w:hAnsi="Arial" w:cs="Arial"/>
          <w:sz w:val="24"/>
          <w:szCs w:val="24"/>
        </w:rPr>
        <w:t xml:space="preserve">houldering higher duties </w:t>
      </w:r>
      <w:r w:rsidR="004E5670">
        <w:rPr>
          <w:rFonts w:ascii="Arial" w:hAnsi="Arial" w:cs="Arial"/>
          <w:sz w:val="24"/>
          <w:szCs w:val="24"/>
        </w:rPr>
        <w:t xml:space="preserve">but these duties did not pertain to an established post with its own </w:t>
      </w:r>
      <w:r>
        <w:rPr>
          <w:rFonts w:ascii="Arial" w:hAnsi="Arial" w:cs="Arial"/>
          <w:sz w:val="24"/>
          <w:szCs w:val="24"/>
        </w:rPr>
        <w:t xml:space="preserve">emoluments </w:t>
      </w:r>
      <w:r w:rsidR="004E5670">
        <w:rPr>
          <w:rFonts w:ascii="Arial" w:hAnsi="Arial" w:cs="Arial"/>
          <w:sz w:val="24"/>
          <w:szCs w:val="24"/>
        </w:rPr>
        <w:t xml:space="preserve">determined by </w:t>
      </w:r>
      <w:r w:rsidR="007866D0">
        <w:rPr>
          <w:rFonts w:ascii="Arial" w:hAnsi="Arial" w:cs="Arial"/>
          <w:sz w:val="24"/>
          <w:szCs w:val="24"/>
        </w:rPr>
        <w:t>Co-Respondent No 3</w:t>
      </w:r>
      <w:r w:rsidR="004E5670">
        <w:rPr>
          <w:rFonts w:ascii="Arial" w:hAnsi="Arial" w:cs="Arial"/>
          <w:sz w:val="24"/>
          <w:szCs w:val="24"/>
        </w:rPr>
        <w:t xml:space="preserve">.  </w:t>
      </w:r>
      <w:r w:rsidR="0083122B">
        <w:rPr>
          <w:rFonts w:ascii="Arial" w:hAnsi="Arial" w:cs="Arial"/>
          <w:sz w:val="24"/>
          <w:szCs w:val="24"/>
        </w:rPr>
        <w:t xml:space="preserve">Moreover, the </w:t>
      </w:r>
      <w:r w:rsidR="007C7930">
        <w:rPr>
          <w:rFonts w:ascii="Arial" w:hAnsi="Arial" w:cs="Arial"/>
          <w:sz w:val="24"/>
          <w:szCs w:val="24"/>
        </w:rPr>
        <w:t xml:space="preserve">letters of assignment of duties do not mention that the allowance paid will be pensionable.  The disputants were requested, as per the letters of assignment of duties (Docs I to O), to sign a copy of their letter and return same if they accepted the assignment of duties on the terms and conditions set out in the letters.  </w:t>
      </w:r>
    </w:p>
    <w:p w14:paraId="4ABF8A7A" w14:textId="7A1E2ED1" w:rsidR="00AD2FEB" w:rsidRDefault="00BC2BE9" w:rsidP="003C5495">
      <w:pPr>
        <w:jc w:val="both"/>
        <w:rPr>
          <w:rFonts w:ascii="Arial" w:hAnsi="Arial" w:cs="Arial"/>
          <w:sz w:val="24"/>
          <w:szCs w:val="24"/>
        </w:rPr>
      </w:pPr>
      <w:r>
        <w:rPr>
          <w:rFonts w:ascii="Arial" w:hAnsi="Arial" w:cs="Arial"/>
          <w:sz w:val="24"/>
          <w:szCs w:val="24"/>
        </w:rPr>
        <w:t>Based o</w:t>
      </w:r>
      <w:r w:rsidR="002B011A">
        <w:rPr>
          <w:rFonts w:ascii="Arial" w:hAnsi="Arial" w:cs="Arial"/>
          <w:sz w:val="24"/>
          <w:szCs w:val="24"/>
        </w:rPr>
        <w:t xml:space="preserve">n </w:t>
      </w:r>
      <w:r>
        <w:rPr>
          <w:rFonts w:ascii="Arial" w:hAnsi="Arial" w:cs="Arial"/>
          <w:sz w:val="24"/>
          <w:szCs w:val="24"/>
        </w:rPr>
        <w:t xml:space="preserve">the </w:t>
      </w:r>
      <w:r w:rsidR="00EE1FC8">
        <w:rPr>
          <w:rFonts w:ascii="Arial" w:hAnsi="Arial" w:cs="Arial"/>
          <w:sz w:val="24"/>
          <w:szCs w:val="24"/>
        </w:rPr>
        <w:t xml:space="preserve">relevant </w:t>
      </w:r>
      <w:r>
        <w:rPr>
          <w:rFonts w:ascii="Arial" w:hAnsi="Arial" w:cs="Arial"/>
          <w:sz w:val="24"/>
          <w:szCs w:val="24"/>
        </w:rPr>
        <w:t>statutory provisions</w:t>
      </w:r>
      <w:r w:rsidR="007866D0">
        <w:rPr>
          <w:rFonts w:ascii="Arial" w:hAnsi="Arial" w:cs="Arial"/>
          <w:sz w:val="24"/>
          <w:szCs w:val="24"/>
        </w:rPr>
        <w:t xml:space="preserve">, </w:t>
      </w:r>
      <w:r w:rsidR="001125F3">
        <w:rPr>
          <w:rFonts w:ascii="Arial" w:hAnsi="Arial" w:cs="Arial"/>
          <w:sz w:val="24"/>
          <w:szCs w:val="24"/>
        </w:rPr>
        <w:t xml:space="preserve">relevant </w:t>
      </w:r>
      <w:r w:rsidR="007866D0">
        <w:rPr>
          <w:rFonts w:ascii="Arial" w:hAnsi="Arial" w:cs="Arial"/>
          <w:sz w:val="24"/>
          <w:szCs w:val="24"/>
        </w:rPr>
        <w:t xml:space="preserve">recommendations of the PRB </w:t>
      </w:r>
      <w:r w:rsidR="00EE1FC8">
        <w:rPr>
          <w:rFonts w:ascii="Arial" w:hAnsi="Arial" w:cs="Arial"/>
          <w:sz w:val="24"/>
          <w:szCs w:val="24"/>
        </w:rPr>
        <w:t>and</w:t>
      </w:r>
      <w:r>
        <w:rPr>
          <w:rFonts w:ascii="Arial" w:hAnsi="Arial" w:cs="Arial"/>
          <w:sz w:val="24"/>
          <w:szCs w:val="24"/>
        </w:rPr>
        <w:t xml:space="preserve"> </w:t>
      </w:r>
      <w:r w:rsidR="007866D0">
        <w:rPr>
          <w:rFonts w:ascii="Arial" w:hAnsi="Arial" w:cs="Arial"/>
          <w:sz w:val="24"/>
          <w:szCs w:val="24"/>
        </w:rPr>
        <w:t>the absence of an established post of Officer in Charge at the Respondent</w:t>
      </w:r>
      <w:r>
        <w:rPr>
          <w:rFonts w:ascii="Arial" w:hAnsi="Arial" w:cs="Arial"/>
          <w:sz w:val="24"/>
          <w:szCs w:val="24"/>
        </w:rPr>
        <w:t>, the Tribunal cannot intervene</w:t>
      </w:r>
      <w:r w:rsidR="00EE1FC8">
        <w:rPr>
          <w:rFonts w:ascii="Arial" w:hAnsi="Arial" w:cs="Arial"/>
          <w:sz w:val="24"/>
          <w:szCs w:val="24"/>
        </w:rPr>
        <w:t xml:space="preserve"> in the present matter</w:t>
      </w:r>
      <w:r>
        <w:rPr>
          <w:rFonts w:ascii="Arial" w:hAnsi="Arial" w:cs="Arial"/>
          <w:sz w:val="24"/>
          <w:szCs w:val="24"/>
        </w:rPr>
        <w:t xml:space="preserve">, </w:t>
      </w:r>
      <w:r w:rsidR="00385658">
        <w:rPr>
          <w:rFonts w:ascii="Arial" w:hAnsi="Arial" w:cs="Arial"/>
          <w:sz w:val="24"/>
          <w:szCs w:val="24"/>
        </w:rPr>
        <w:t>despite</w:t>
      </w:r>
      <w:r>
        <w:rPr>
          <w:rFonts w:ascii="Arial" w:hAnsi="Arial" w:cs="Arial"/>
          <w:sz w:val="24"/>
          <w:szCs w:val="24"/>
        </w:rPr>
        <w:t xml:space="preserve"> </w:t>
      </w:r>
      <w:r w:rsidR="00DA4141">
        <w:rPr>
          <w:rFonts w:ascii="Arial" w:hAnsi="Arial" w:cs="Arial"/>
          <w:sz w:val="24"/>
          <w:szCs w:val="24"/>
        </w:rPr>
        <w:t>several</w:t>
      </w:r>
      <w:r>
        <w:rPr>
          <w:rFonts w:ascii="Arial" w:hAnsi="Arial" w:cs="Arial"/>
          <w:sz w:val="24"/>
          <w:szCs w:val="24"/>
        </w:rPr>
        <w:t xml:space="preserve"> disturbing features</w:t>
      </w:r>
      <w:r w:rsidR="001E7A25">
        <w:rPr>
          <w:rFonts w:ascii="Arial" w:hAnsi="Arial" w:cs="Arial"/>
          <w:sz w:val="24"/>
          <w:szCs w:val="24"/>
        </w:rPr>
        <w:t xml:space="preserve"> which have attracted our </w:t>
      </w:r>
      <w:r w:rsidR="00EE1FC8">
        <w:rPr>
          <w:rFonts w:ascii="Arial" w:hAnsi="Arial" w:cs="Arial"/>
          <w:sz w:val="24"/>
          <w:szCs w:val="24"/>
        </w:rPr>
        <w:t>attention,</w:t>
      </w:r>
      <w:r>
        <w:rPr>
          <w:rFonts w:ascii="Arial" w:hAnsi="Arial" w:cs="Arial"/>
          <w:sz w:val="24"/>
          <w:szCs w:val="24"/>
        </w:rPr>
        <w:t xml:space="preserve"> </w:t>
      </w:r>
      <w:r w:rsidR="00385658">
        <w:rPr>
          <w:rFonts w:ascii="Arial" w:hAnsi="Arial" w:cs="Arial"/>
          <w:sz w:val="24"/>
          <w:szCs w:val="24"/>
        </w:rPr>
        <w:t>to g</w:t>
      </w:r>
      <w:r>
        <w:rPr>
          <w:rFonts w:ascii="Arial" w:hAnsi="Arial" w:cs="Arial"/>
          <w:sz w:val="24"/>
          <w:szCs w:val="24"/>
        </w:rPr>
        <w:t xml:space="preserve">rant an award </w:t>
      </w:r>
      <w:r w:rsidR="00EE1FC8">
        <w:rPr>
          <w:rFonts w:ascii="Arial" w:hAnsi="Arial" w:cs="Arial"/>
          <w:sz w:val="24"/>
          <w:szCs w:val="24"/>
        </w:rPr>
        <w:t xml:space="preserve">in favour of the disputants and </w:t>
      </w:r>
      <w:r>
        <w:rPr>
          <w:rFonts w:ascii="Arial" w:hAnsi="Arial" w:cs="Arial"/>
          <w:sz w:val="24"/>
          <w:szCs w:val="24"/>
        </w:rPr>
        <w:t xml:space="preserve">which would become </w:t>
      </w:r>
      <w:r w:rsidR="004549A6">
        <w:rPr>
          <w:rFonts w:ascii="Arial" w:hAnsi="Arial" w:cs="Arial"/>
          <w:sz w:val="24"/>
          <w:szCs w:val="24"/>
        </w:rPr>
        <w:t xml:space="preserve">(or be deemed to be) </w:t>
      </w:r>
      <w:r>
        <w:rPr>
          <w:rFonts w:ascii="Arial" w:hAnsi="Arial" w:cs="Arial"/>
          <w:sz w:val="24"/>
          <w:szCs w:val="24"/>
        </w:rPr>
        <w:t xml:space="preserve">an implied term of the contract of employment </w:t>
      </w:r>
      <w:r w:rsidR="007935BC">
        <w:rPr>
          <w:rFonts w:ascii="Arial" w:hAnsi="Arial" w:cs="Arial"/>
          <w:sz w:val="24"/>
          <w:szCs w:val="24"/>
        </w:rPr>
        <w:t>between</w:t>
      </w:r>
      <w:r>
        <w:rPr>
          <w:rFonts w:ascii="Arial" w:hAnsi="Arial" w:cs="Arial"/>
          <w:sz w:val="24"/>
          <w:szCs w:val="24"/>
        </w:rPr>
        <w:t xml:space="preserve"> each of the disputants</w:t>
      </w:r>
      <w:r w:rsidR="007935BC">
        <w:rPr>
          <w:rFonts w:ascii="Arial" w:hAnsi="Arial" w:cs="Arial"/>
          <w:sz w:val="24"/>
          <w:szCs w:val="24"/>
        </w:rPr>
        <w:t xml:space="preserve"> and Respondent</w:t>
      </w:r>
      <w:r>
        <w:rPr>
          <w:rFonts w:ascii="Arial" w:hAnsi="Arial" w:cs="Arial"/>
          <w:sz w:val="24"/>
          <w:szCs w:val="24"/>
        </w:rPr>
        <w:t xml:space="preserve">.  </w:t>
      </w:r>
      <w:r w:rsidR="00EE1FC8">
        <w:rPr>
          <w:rFonts w:ascii="Arial" w:hAnsi="Arial" w:cs="Arial"/>
          <w:sz w:val="24"/>
          <w:szCs w:val="24"/>
        </w:rPr>
        <w:t>T</w:t>
      </w:r>
      <w:r w:rsidR="00DA4141">
        <w:rPr>
          <w:rFonts w:ascii="Arial" w:hAnsi="Arial" w:cs="Arial"/>
          <w:sz w:val="24"/>
          <w:szCs w:val="24"/>
        </w:rPr>
        <w:t xml:space="preserve">o hold otherwise </w:t>
      </w:r>
      <w:r w:rsidR="00EE1FC8">
        <w:rPr>
          <w:rFonts w:ascii="Arial" w:hAnsi="Arial" w:cs="Arial"/>
          <w:sz w:val="24"/>
          <w:szCs w:val="24"/>
        </w:rPr>
        <w:t xml:space="preserve">may be interpreted as being tantamount to usurping the powers of other relevant bodies.  </w:t>
      </w:r>
      <w:r w:rsidR="004E5670">
        <w:rPr>
          <w:rFonts w:ascii="Arial" w:hAnsi="Arial" w:cs="Arial"/>
          <w:sz w:val="24"/>
          <w:szCs w:val="24"/>
        </w:rPr>
        <w:t xml:space="preserve">The Tribunal </w:t>
      </w:r>
      <w:r w:rsidR="00AC0DB6">
        <w:rPr>
          <w:rFonts w:ascii="Arial" w:hAnsi="Arial" w:cs="Arial"/>
          <w:sz w:val="24"/>
          <w:szCs w:val="24"/>
        </w:rPr>
        <w:t xml:space="preserve">cannot award that </w:t>
      </w:r>
      <w:r w:rsidR="00E5067C">
        <w:rPr>
          <w:rFonts w:ascii="Arial" w:hAnsi="Arial" w:cs="Arial"/>
          <w:sz w:val="24"/>
          <w:szCs w:val="24"/>
        </w:rPr>
        <w:t>the allowance paid to the disputants</w:t>
      </w:r>
      <w:r w:rsidR="0042740D">
        <w:rPr>
          <w:rFonts w:ascii="Arial" w:hAnsi="Arial" w:cs="Arial"/>
          <w:sz w:val="24"/>
          <w:szCs w:val="24"/>
        </w:rPr>
        <w:t>,</w:t>
      </w:r>
      <w:r w:rsidR="00E5067C">
        <w:rPr>
          <w:rFonts w:ascii="Arial" w:hAnsi="Arial" w:cs="Arial"/>
          <w:sz w:val="24"/>
          <w:szCs w:val="24"/>
        </w:rPr>
        <w:t xml:space="preserve"> </w:t>
      </w:r>
      <w:r w:rsidR="00E5067C" w:rsidRPr="00B17F0F">
        <w:rPr>
          <w:rFonts w:ascii="Arial" w:hAnsi="Arial" w:cs="Arial"/>
          <w:sz w:val="24"/>
          <w:szCs w:val="24"/>
        </w:rPr>
        <w:t xml:space="preserve">as matters stand </w:t>
      </w:r>
      <w:r w:rsidR="00AC0DB6" w:rsidRPr="00B17F0F">
        <w:rPr>
          <w:rFonts w:ascii="Arial" w:hAnsi="Arial" w:cs="Arial"/>
          <w:sz w:val="24"/>
          <w:szCs w:val="24"/>
        </w:rPr>
        <w:t xml:space="preserve">and whereby the post of Officer in Charge </w:t>
      </w:r>
      <w:r w:rsidR="0042740D" w:rsidRPr="00B17F0F">
        <w:rPr>
          <w:rFonts w:ascii="Arial" w:hAnsi="Arial" w:cs="Arial"/>
          <w:sz w:val="24"/>
          <w:szCs w:val="24"/>
        </w:rPr>
        <w:t xml:space="preserve">(for </w:t>
      </w:r>
      <w:r w:rsidR="00B17F0F">
        <w:rPr>
          <w:rFonts w:ascii="Arial" w:hAnsi="Arial" w:cs="Arial"/>
          <w:sz w:val="24"/>
          <w:szCs w:val="24"/>
        </w:rPr>
        <w:t>Pre-Vocational</w:t>
      </w:r>
      <w:r w:rsidR="0042740D" w:rsidRPr="00B17F0F">
        <w:rPr>
          <w:rFonts w:ascii="Arial" w:hAnsi="Arial" w:cs="Arial"/>
          <w:sz w:val="24"/>
          <w:szCs w:val="24"/>
        </w:rPr>
        <w:t xml:space="preserve"> Centres) </w:t>
      </w:r>
      <w:r w:rsidR="00AC0DB6" w:rsidRPr="00B17F0F">
        <w:rPr>
          <w:rFonts w:ascii="Arial" w:hAnsi="Arial" w:cs="Arial"/>
          <w:sz w:val="24"/>
          <w:szCs w:val="24"/>
        </w:rPr>
        <w:t>was n</w:t>
      </w:r>
      <w:r w:rsidR="007935BC">
        <w:rPr>
          <w:rFonts w:ascii="Arial" w:hAnsi="Arial" w:cs="Arial"/>
          <w:sz w:val="24"/>
          <w:szCs w:val="24"/>
        </w:rPr>
        <w:t>ot</w:t>
      </w:r>
      <w:r w:rsidR="00AC0DB6" w:rsidRPr="00B17F0F">
        <w:rPr>
          <w:rFonts w:ascii="Arial" w:hAnsi="Arial" w:cs="Arial"/>
          <w:sz w:val="24"/>
          <w:szCs w:val="24"/>
        </w:rPr>
        <w:t xml:space="preserve"> put on </w:t>
      </w:r>
      <w:r w:rsidR="0042740D" w:rsidRPr="00B17F0F">
        <w:rPr>
          <w:rFonts w:ascii="Arial" w:hAnsi="Arial" w:cs="Arial"/>
          <w:sz w:val="24"/>
          <w:szCs w:val="24"/>
        </w:rPr>
        <w:t xml:space="preserve">the </w:t>
      </w:r>
      <w:r w:rsidR="00AC0DB6" w:rsidRPr="00B17F0F">
        <w:rPr>
          <w:rFonts w:ascii="Arial" w:hAnsi="Arial" w:cs="Arial"/>
          <w:sz w:val="24"/>
          <w:szCs w:val="24"/>
        </w:rPr>
        <w:t xml:space="preserve">establishment </w:t>
      </w:r>
      <w:r w:rsidR="0042740D" w:rsidRPr="00B17F0F">
        <w:rPr>
          <w:rFonts w:ascii="Arial" w:hAnsi="Arial" w:cs="Arial"/>
          <w:sz w:val="24"/>
          <w:szCs w:val="24"/>
        </w:rPr>
        <w:t>of Respondent</w:t>
      </w:r>
      <w:r w:rsidR="0042740D">
        <w:rPr>
          <w:rFonts w:ascii="Arial" w:hAnsi="Arial" w:cs="Arial"/>
          <w:sz w:val="24"/>
          <w:szCs w:val="24"/>
        </w:rPr>
        <w:t xml:space="preserve">, </w:t>
      </w:r>
      <w:r w:rsidR="00257D09">
        <w:rPr>
          <w:rFonts w:ascii="Arial" w:hAnsi="Arial" w:cs="Arial"/>
          <w:sz w:val="24"/>
          <w:szCs w:val="24"/>
        </w:rPr>
        <w:t>should be computed for the purposes of the lump sum and pension payable to the disputants.</w:t>
      </w:r>
      <w:r w:rsidR="00E5067C">
        <w:rPr>
          <w:rFonts w:ascii="Arial" w:hAnsi="Arial" w:cs="Arial"/>
          <w:sz w:val="24"/>
          <w:szCs w:val="24"/>
        </w:rPr>
        <w:t xml:space="preserve"> </w:t>
      </w:r>
      <w:r w:rsidR="00257D09">
        <w:rPr>
          <w:rFonts w:ascii="Arial" w:hAnsi="Arial" w:cs="Arial"/>
          <w:sz w:val="24"/>
          <w:szCs w:val="24"/>
        </w:rPr>
        <w:t xml:space="preserve"> </w:t>
      </w:r>
      <w:r w:rsidR="0042740D">
        <w:rPr>
          <w:rFonts w:ascii="Arial" w:hAnsi="Arial" w:cs="Arial"/>
          <w:sz w:val="24"/>
          <w:szCs w:val="24"/>
        </w:rPr>
        <w:t>Though the allowance formed part of the salar</w:t>
      </w:r>
      <w:r w:rsidR="00EE1FC8">
        <w:rPr>
          <w:rFonts w:ascii="Arial" w:hAnsi="Arial" w:cs="Arial"/>
          <w:sz w:val="24"/>
          <w:szCs w:val="24"/>
        </w:rPr>
        <w:t xml:space="preserve">ies earned by </w:t>
      </w:r>
      <w:r w:rsidR="0042740D">
        <w:rPr>
          <w:rFonts w:ascii="Arial" w:hAnsi="Arial" w:cs="Arial"/>
          <w:sz w:val="24"/>
          <w:szCs w:val="24"/>
        </w:rPr>
        <w:t xml:space="preserve">the disputants for quite some time, the Tribunal cannot make a blanket declaration that it should form part of the salary of each disputant for </w:t>
      </w:r>
      <w:r w:rsidR="0042740D" w:rsidRPr="00DA4141">
        <w:rPr>
          <w:rFonts w:ascii="Arial" w:hAnsi="Arial" w:cs="Arial"/>
          <w:b/>
          <w:bCs/>
          <w:sz w:val="24"/>
          <w:szCs w:val="24"/>
        </w:rPr>
        <w:t>all</w:t>
      </w:r>
      <w:r w:rsidR="0042740D">
        <w:rPr>
          <w:rFonts w:ascii="Arial" w:hAnsi="Arial" w:cs="Arial"/>
          <w:sz w:val="24"/>
          <w:szCs w:val="24"/>
        </w:rPr>
        <w:t xml:space="preserve"> purposes.  </w:t>
      </w:r>
      <w:r w:rsidR="004E5670">
        <w:rPr>
          <w:rFonts w:ascii="Arial" w:hAnsi="Arial" w:cs="Arial"/>
          <w:sz w:val="24"/>
          <w:szCs w:val="24"/>
        </w:rPr>
        <w:t>For all the reasons given above, the Tribunal cannot intervene to grant an award as per the prayer</w:t>
      </w:r>
      <w:r w:rsidR="00E64CF9">
        <w:rPr>
          <w:rFonts w:ascii="Arial" w:hAnsi="Arial" w:cs="Arial"/>
          <w:sz w:val="24"/>
          <w:szCs w:val="24"/>
        </w:rPr>
        <w:t>s</w:t>
      </w:r>
      <w:r w:rsidR="004E5670">
        <w:rPr>
          <w:rFonts w:ascii="Arial" w:hAnsi="Arial" w:cs="Arial"/>
          <w:sz w:val="24"/>
          <w:szCs w:val="24"/>
        </w:rPr>
        <w:t xml:space="preserve"> in point in dispute </w:t>
      </w:r>
      <w:r w:rsidR="007935BC">
        <w:rPr>
          <w:rFonts w:ascii="Arial" w:hAnsi="Arial" w:cs="Arial"/>
          <w:sz w:val="24"/>
          <w:szCs w:val="24"/>
        </w:rPr>
        <w:t>n</w:t>
      </w:r>
      <w:r w:rsidR="004E5670">
        <w:rPr>
          <w:rFonts w:ascii="Arial" w:hAnsi="Arial" w:cs="Arial"/>
          <w:sz w:val="24"/>
          <w:szCs w:val="24"/>
        </w:rPr>
        <w:t>o 4.</w:t>
      </w:r>
      <w:r w:rsidR="00257D09">
        <w:rPr>
          <w:rFonts w:ascii="Arial" w:hAnsi="Arial" w:cs="Arial"/>
          <w:sz w:val="24"/>
          <w:szCs w:val="24"/>
        </w:rPr>
        <w:t xml:space="preserve">  Point in dispute No. 4 is thus also set aside.</w:t>
      </w:r>
      <w:r w:rsidR="004E5670">
        <w:rPr>
          <w:rFonts w:ascii="Arial" w:hAnsi="Arial" w:cs="Arial"/>
          <w:sz w:val="24"/>
          <w:szCs w:val="24"/>
        </w:rPr>
        <w:t xml:space="preserve">    </w:t>
      </w:r>
      <w:r w:rsidR="002B079C">
        <w:rPr>
          <w:rFonts w:ascii="Arial" w:hAnsi="Arial" w:cs="Arial"/>
          <w:sz w:val="24"/>
          <w:szCs w:val="24"/>
        </w:rPr>
        <w:t xml:space="preserve"> </w:t>
      </w:r>
      <w:r w:rsidR="002B079C" w:rsidRPr="002B079C">
        <w:rPr>
          <w:rFonts w:ascii="Arial" w:hAnsi="Arial" w:cs="Arial"/>
          <w:sz w:val="24"/>
          <w:szCs w:val="24"/>
        </w:rPr>
        <w:t xml:space="preserve">  </w:t>
      </w:r>
    </w:p>
    <w:p w14:paraId="7DF1B9FD" w14:textId="24B0C2C7" w:rsidR="00E24F58" w:rsidRDefault="00257D09" w:rsidP="003C5495">
      <w:pPr>
        <w:jc w:val="both"/>
        <w:rPr>
          <w:rFonts w:ascii="Arial" w:hAnsi="Arial" w:cs="Arial"/>
          <w:sz w:val="24"/>
          <w:szCs w:val="24"/>
        </w:rPr>
      </w:pPr>
      <w:r>
        <w:rPr>
          <w:rFonts w:ascii="Arial" w:hAnsi="Arial" w:cs="Arial"/>
          <w:sz w:val="24"/>
          <w:szCs w:val="24"/>
        </w:rPr>
        <w:t xml:space="preserve">However, the Tribunal </w:t>
      </w:r>
      <w:r w:rsidR="002A7768">
        <w:rPr>
          <w:rFonts w:ascii="Arial" w:hAnsi="Arial" w:cs="Arial"/>
          <w:sz w:val="24"/>
          <w:szCs w:val="24"/>
        </w:rPr>
        <w:t xml:space="preserve">cannot leave matters as they are in the present matter.  We are in the realm of employment relations matters where good and harmonious relations are </w:t>
      </w:r>
      <w:r w:rsidR="002A7768" w:rsidRPr="002A7768">
        <w:rPr>
          <w:rFonts w:ascii="Arial" w:hAnsi="Arial" w:cs="Arial"/>
          <w:i/>
          <w:iCs/>
          <w:sz w:val="24"/>
          <w:szCs w:val="24"/>
        </w:rPr>
        <w:t>sine qua non</w:t>
      </w:r>
      <w:r w:rsidR="002A7768">
        <w:rPr>
          <w:rFonts w:ascii="Arial" w:hAnsi="Arial" w:cs="Arial"/>
          <w:i/>
          <w:iCs/>
          <w:sz w:val="24"/>
          <w:szCs w:val="24"/>
        </w:rPr>
        <w:t xml:space="preserve">.  </w:t>
      </w:r>
      <w:r w:rsidR="002A7768" w:rsidRPr="002A7768">
        <w:rPr>
          <w:rFonts w:ascii="Arial" w:hAnsi="Arial" w:cs="Arial"/>
          <w:sz w:val="24"/>
          <w:szCs w:val="24"/>
        </w:rPr>
        <w:t xml:space="preserve">Bearing in </w:t>
      </w:r>
      <w:r w:rsidR="002A7768">
        <w:rPr>
          <w:rFonts w:ascii="Arial" w:hAnsi="Arial" w:cs="Arial"/>
          <w:sz w:val="24"/>
          <w:szCs w:val="24"/>
        </w:rPr>
        <w:t>m</w:t>
      </w:r>
      <w:r w:rsidR="002A7768" w:rsidRPr="002A7768">
        <w:rPr>
          <w:rFonts w:ascii="Arial" w:hAnsi="Arial" w:cs="Arial"/>
          <w:sz w:val="24"/>
          <w:szCs w:val="24"/>
        </w:rPr>
        <w:t>i</w:t>
      </w:r>
      <w:r w:rsidR="002A7768">
        <w:rPr>
          <w:rFonts w:ascii="Arial" w:hAnsi="Arial" w:cs="Arial"/>
          <w:sz w:val="24"/>
          <w:szCs w:val="24"/>
        </w:rPr>
        <w:t xml:space="preserve">nd the principles </w:t>
      </w:r>
      <w:r w:rsidR="00385658">
        <w:rPr>
          <w:rFonts w:ascii="Arial" w:hAnsi="Arial" w:cs="Arial"/>
          <w:sz w:val="24"/>
          <w:szCs w:val="24"/>
        </w:rPr>
        <w:t xml:space="preserve">specifically </w:t>
      </w:r>
      <w:r w:rsidR="002A7768">
        <w:rPr>
          <w:rFonts w:ascii="Arial" w:hAnsi="Arial" w:cs="Arial"/>
          <w:sz w:val="24"/>
          <w:szCs w:val="24"/>
        </w:rPr>
        <w:t>provided under section 97 of the A</w:t>
      </w:r>
      <w:r>
        <w:rPr>
          <w:rFonts w:ascii="Arial" w:hAnsi="Arial" w:cs="Arial"/>
          <w:sz w:val="24"/>
          <w:szCs w:val="24"/>
        </w:rPr>
        <w:t>ct</w:t>
      </w:r>
      <w:r w:rsidR="002A7768">
        <w:rPr>
          <w:rFonts w:ascii="Arial" w:hAnsi="Arial" w:cs="Arial"/>
          <w:sz w:val="24"/>
          <w:szCs w:val="24"/>
        </w:rPr>
        <w:t xml:space="preserve">, such as, principles of natural justice and </w:t>
      </w:r>
      <w:r w:rsidR="004B00FC">
        <w:rPr>
          <w:rFonts w:ascii="Arial" w:hAnsi="Arial" w:cs="Arial"/>
          <w:sz w:val="24"/>
          <w:szCs w:val="24"/>
        </w:rPr>
        <w:t xml:space="preserve">the </w:t>
      </w:r>
      <w:r w:rsidR="002A7768">
        <w:rPr>
          <w:rFonts w:ascii="Arial" w:hAnsi="Arial" w:cs="Arial"/>
          <w:sz w:val="24"/>
          <w:szCs w:val="24"/>
        </w:rPr>
        <w:t xml:space="preserve">principles </w:t>
      </w:r>
      <w:r w:rsidR="004B00FC">
        <w:rPr>
          <w:rFonts w:ascii="Arial" w:hAnsi="Arial" w:cs="Arial"/>
          <w:sz w:val="24"/>
          <w:szCs w:val="24"/>
        </w:rPr>
        <w:t xml:space="preserve">and best practices of </w:t>
      </w:r>
      <w:r w:rsidR="002A7768">
        <w:rPr>
          <w:rFonts w:ascii="Arial" w:hAnsi="Arial" w:cs="Arial"/>
          <w:sz w:val="24"/>
          <w:szCs w:val="24"/>
        </w:rPr>
        <w:t xml:space="preserve">good employment </w:t>
      </w:r>
      <w:r w:rsidR="004B00FC">
        <w:rPr>
          <w:rFonts w:ascii="Arial" w:hAnsi="Arial" w:cs="Arial"/>
          <w:sz w:val="24"/>
          <w:szCs w:val="24"/>
        </w:rPr>
        <w:t>relations</w:t>
      </w:r>
      <w:r w:rsidR="002A7768">
        <w:rPr>
          <w:rFonts w:ascii="Arial" w:hAnsi="Arial" w:cs="Arial"/>
          <w:sz w:val="24"/>
          <w:szCs w:val="24"/>
        </w:rPr>
        <w:t xml:space="preserve">, the Tribunal wishes to highlight that the </w:t>
      </w:r>
      <w:r>
        <w:rPr>
          <w:rFonts w:ascii="Arial" w:hAnsi="Arial" w:cs="Arial"/>
          <w:sz w:val="24"/>
          <w:szCs w:val="24"/>
        </w:rPr>
        <w:t xml:space="preserve">lengthy </w:t>
      </w:r>
      <w:r w:rsidR="00E4553E">
        <w:rPr>
          <w:rFonts w:ascii="Arial" w:hAnsi="Arial" w:cs="Arial"/>
          <w:sz w:val="24"/>
          <w:szCs w:val="24"/>
        </w:rPr>
        <w:t xml:space="preserve">proceedings </w:t>
      </w:r>
      <w:r w:rsidR="002A7768">
        <w:rPr>
          <w:rFonts w:ascii="Arial" w:hAnsi="Arial" w:cs="Arial"/>
          <w:sz w:val="24"/>
          <w:szCs w:val="24"/>
        </w:rPr>
        <w:t>and</w:t>
      </w:r>
      <w:r w:rsidR="00E4553E">
        <w:rPr>
          <w:rFonts w:ascii="Arial" w:hAnsi="Arial" w:cs="Arial"/>
          <w:sz w:val="24"/>
          <w:szCs w:val="24"/>
        </w:rPr>
        <w:t xml:space="preserve"> substantive </w:t>
      </w:r>
      <w:r>
        <w:rPr>
          <w:rFonts w:ascii="Arial" w:hAnsi="Arial" w:cs="Arial"/>
          <w:sz w:val="24"/>
          <w:szCs w:val="24"/>
        </w:rPr>
        <w:t xml:space="preserve">evidence </w:t>
      </w:r>
      <w:r w:rsidR="002A7768">
        <w:rPr>
          <w:rFonts w:ascii="Arial" w:hAnsi="Arial" w:cs="Arial"/>
          <w:sz w:val="24"/>
          <w:szCs w:val="24"/>
        </w:rPr>
        <w:t>a</w:t>
      </w:r>
      <w:r w:rsidR="00E4553E">
        <w:rPr>
          <w:rFonts w:ascii="Arial" w:hAnsi="Arial" w:cs="Arial"/>
          <w:sz w:val="24"/>
          <w:szCs w:val="24"/>
        </w:rPr>
        <w:t xml:space="preserve">dduced </w:t>
      </w:r>
      <w:r w:rsidR="002A7768">
        <w:rPr>
          <w:rFonts w:ascii="Arial" w:hAnsi="Arial" w:cs="Arial"/>
          <w:sz w:val="24"/>
          <w:szCs w:val="24"/>
        </w:rPr>
        <w:t>in the present matter have allowed</w:t>
      </w:r>
      <w:r w:rsidR="00E4553E">
        <w:rPr>
          <w:rFonts w:ascii="Arial" w:hAnsi="Arial" w:cs="Arial"/>
          <w:sz w:val="24"/>
          <w:szCs w:val="24"/>
        </w:rPr>
        <w:t xml:space="preserve"> important matters </w:t>
      </w:r>
      <w:r w:rsidR="002A7768">
        <w:rPr>
          <w:rFonts w:ascii="Arial" w:hAnsi="Arial" w:cs="Arial"/>
          <w:sz w:val="24"/>
          <w:szCs w:val="24"/>
        </w:rPr>
        <w:t xml:space="preserve">to come to the surface </w:t>
      </w:r>
      <w:r w:rsidR="00E4553E">
        <w:rPr>
          <w:rFonts w:ascii="Arial" w:hAnsi="Arial" w:cs="Arial"/>
          <w:sz w:val="24"/>
          <w:szCs w:val="24"/>
        </w:rPr>
        <w:t xml:space="preserve">which, according to us, deserve to be </w:t>
      </w:r>
      <w:r w:rsidR="005245F3">
        <w:rPr>
          <w:rFonts w:ascii="Arial" w:hAnsi="Arial" w:cs="Arial"/>
          <w:sz w:val="24"/>
          <w:szCs w:val="24"/>
        </w:rPr>
        <w:t xml:space="preserve">duly </w:t>
      </w:r>
      <w:r w:rsidR="00E4553E">
        <w:rPr>
          <w:rFonts w:ascii="Arial" w:hAnsi="Arial" w:cs="Arial"/>
          <w:sz w:val="24"/>
          <w:szCs w:val="24"/>
        </w:rPr>
        <w:t>considered by the appropriate authorities</w:t>
      </w:r>
      <w:r w:rsidR="005245F3">
        <w:rPr>
          <w:rFonts w:ascii="Arial" w:hAnsi="Arial" w:cs="Arial"/>
          <w:sz w:val="24"/>
          <w:szCs w:val="24"/>
        </w:rPr>
        <w:t xml:space="preserve">.  </w:t>
      </w:r>
      <w:r w:rsidR="00E24F58">
        <w:rPr>
          <w:rFonts w:ascii="Arial" w:hAnsi="Arial" w:cs="Arial"/>
          <w:sz w:val="24"/>
          <w:szCs w:val="24"/>
        </w:rPr>
        <w:t>The evidence adduced ha</w:t>
      </w:r>
      <w:r w:rsidR="004B00FC">
        <w:rPr>
          <w:rFonts w:ascii="Arial" w:hAnsi="Arial" w:cs="Arial"/>
          <w:sz w:val="24"/>
          <w:szCs w:val="24"/>
        </w:rPr>
        <w:t>s</w:t>
      </w:r>
      <w:r w:rsidR="00E24F58">
        <w:rPr>
          <w:rFonts w:ascii="Arial" w:hAnsi="Arial" w:cs="Arial"/>
          <w:sz w:val="24"/>
          <w:szCs w:val="24"/>
        </w:rPr>
        <w:t xml:space="preserve"> shown </w:t>
      </w:r>
      <w:r w:rsidR="002A7768">
        <w:rPr>
          <w:rFonts w:ascii="Arial" w:hAnsi="Arial" w:cs="Arial"/>
          <w:sz w:val="24"/>
          <w:szCs w:val="24"/>
        </w:rPr>
        <w:t xml:space="preserve">a series of shortcomings </w:t>
      </w:r>
      <w:r w:rsidR="00E24F58">
        <w:rPr>
          <w:rFonts w:ascii="Arial" w:hAnsi="Arial" w:cs="Arial"/>
          <w:sz w:val="24"/>
          <w:szCs w:val="24"/>
        </w:rPr>
        <w:t>on the part of the Respondent</w:t>
      </w:r>
      <w:r w:rsidR="00EB11D4">
        <w:rPr>
          <w:rFonts w:ascii="Arial" w:hAnsi="Arial" w:cs="Arial"/>
          <w:sz w:val="24"/>
          <w:szCs w:val="24"/>
        </w:rPr>
        <w:t xml:space="preserve"> which led to th</w:t>
      </w:r>
      <w:r w:rsidR="00B04B5A">
        <w:rPr>
          <w:rFonts w:ascii="Arial" w:hAnsi="Arial" w:cs="Arial"/>
          <w:sz w:val="24"/>
          <w:szCs w:val="24"/>
        </w:rPr>
        <w:t>e</w:t>
      </w:r>
      <w:r w:rsidR="00EB11D4">
        <w:rPr>
          <w:rFonts w:ascii="Arial" w:hAnsi="Arial" w:cs="Arial"/>
          <w:sz w:val="24"/>
          <w:szCs w:val="24"/>
        </w:rPr>
        <w:t xml:space="preserve"> present </w:t>
      </w:r>
      <w:r w:rsidR="00B04B5A">
        <w:rPr>
          <w:rFonts w:ascii="Arial" w:hAnsi="Arial" w:cs="Arial"/>
          <w:sz w:val="24"/>
          <w:szCs w:val="24"/>
        </w:rPr>
        <w:t>disputes</w:t>
      </w:r>
      <w:r w:rsidR="00E24F58">
        <w:rPr>
          <w:rFonts w:ascii="Arial" w:hAnsi="Arial" w:cs="Arial"/>
          <w:sz w:val="24"/>
          <w:szCs w:val="24"/>
        </w:rPr>
        <w:t xml:space="preserve">.  We </w:t>
      </w:r>
      <w:r w:rsidR="002A7768">
        <w:rPr>
          <w:rFonts w:ascii="Arial" w:hAnsi="Arial" w:cs="Arial"/>
          <w:sz w:val="24"/>
          <w:szCs w:val="24"/>
        </w:rPr>
        <w:t xml:space="preserve">will </w:t>
      </w:r>
      <w:r w:rsidR="00B04B5A">
        <w:rPr>
          <w:rFonts w:ascii="Arial" w:hAnsi="Arial" w:cs="Arial"/>
          <w:sz w:val="24"/>
          <w:szCs w:val="24"/>
        </w:rPr>
        <w:t>merely highlight</w:t>
      </w:r>
      <w:r w:rsidR="000E5869">
        <w:rPr>
          <w:rFonts w:ascii="Arial" w:hAnsi="Arial" w:cs="Arial"/>
          <w:sz w:val="24"/>
          <w:szCs w:val="24"/>
        </w:rPr>
        <w:t xml:space="preserve"> the following: </w:t>
      </w:r>
      <w:r w:rsidR="00E24F58">
        <w:rPr>
          <w:rFonts w:ascii="Arial" w:hAnsi="Arial" w:cs="Arial"/>
          <w:sz w:val="24"/>
          <w:szCs w:val="24"/>
        </w:rPr>
        <w:t xml:space="preserve"> </w:t>
      </w:r>
    </w:p>
    <w:p w14:paraId="6BB807E8" w14:textId="38184963" w:rsidR="0000103F" w:rsidRDefault="0000103F" w:rsidP="00A7254D">
      <w:pPr>
        <w:pStyle w:val="ListParagraph"/>
        <w:numPr>
          <w:ilvl w:val="0"/>
          <w:numId w:val="9"/>
        </w:numPr>
        <w:ind w:left="993" w:hanging="851"/>
        <w:jc w:val="both"/>
        <w:rPr>
          <w:rFonts w:ascii="Arial" w:hAnsi="Arial" w:cs="Arial"/>
          <w:sz w:val="24"/>
          <w:szCs w:val="24"/>
        </w:rPr>
      </w:pPr>
      <w:r>
        <w:rPr>
          <w:rFonts w:ascii="Arial" w:hAnsi="Arial" w:cs="Arial"/>
          <w:sz w:val="24"/>
          <w:szCs w:val="24"/>
        </w:rPr>
        <w:t>t</w:t>
      </w:r>
      <w:r w:rsidR="004B00FC">
        <w:rPr>
          <w:rFonts w:ascii="Arial" w:hAnsi="Arial" w:cs="Arial"/>
          <w:sz w:val="24"/>
          <w:szCs w:val="24"/>
        </w:rPr>
        <w:t xml:space="preserve">he internal advertisements issued by the Respondent </w:t>
      </w:r>
      <w:r w:rsidR="002A4339">
        <w:rPr>
          <w:rFonts w:ascii="Arial" w:hAnsi="Arial" w:cs="Arial"/>
          <w:sz w:val="24"/>
          <w:szCs w:val="24"/>
        </w:rPr>
        <w:t xml:space="preserve">including </w:t>
      </w:r>
      <w:r w:rsidR="004B00FC">
        <w:rPr>
          <w:rFonts w:ascii="Arial" w:hAnsi="Arial" w:cs="Arial"/>
          <w:sz w:val="24"/>
          <w:szCs w:val="24"/>
        </w:rPr>
        <w:t>for the “post” of Officer in Charge</w:t>
      </w:r>
      <w:r w:rsidR="002A4339">
        <w:rPr>
          <w:rFonts w:ascii="Arial" w:hAnsi="Arial" w:cs="Arial"/>
          <w:sz w:val="24"/>
          <w:szCs w:val="24"/>
        </w:rPr>
        <w:t xml:space="preserve"> (For Training Centres conducting NTC Foundation Course),  Officer in Charge – (NTC Foundation Course) or Officer in Charge (as per Annexes 2(b), 2(d) and 2(e) respectively to the Statement of Case of Disputant No 1) where the remuneration was given as “A competitive package will be offered to the selected candidate” in the first case and “As per PRB Report 2008” in the second and third cases;</w:t>
      </w:r>
    </w:p>
    <w:p w14:paraId="3FA809C0" w14:textId="49B738CD" w:rsidR="00E24F58" w:rsidRDefault="0000103F" w:rsidP="00A7254D">
      <w:pPr>
        <w:pStyle w:val="ListParagraph"/>
        <w:numPr>
          <w:ilvl w:val="0"/>
          <w:numId w:val="9"/>
        </w:numPr>
        <w:tabs>
          <w:tab w:val="left" w:pos="360"/>
        </w:tabs>
        <w:ind w:left="993" w:hanging="851"/>
        <w:jc w:val="both"/>
        <w:rPr>
          <w:rFonts w:ascii="Arial" w:hAnsi="Arial" w:cs="Arial"/>
          <w:sz w:val="24"/>
          <w:szCs w:val="24"/>
        </w:rPr>
      </w:pPr>
      <w:r>
        <w:rPr>
          <w:rFonts w:ascii="Arial" w:hAnsi="Arial" w:cs="Arial"/>
          <w:sz w:val="24"/>
          <w:szCs w:val="24"/>
        </w:rPr>
        <w:t>the internal advertisements are more consonant with a selection process proper as opposed to a designation of officers;</w:t>
      </w:r>
      <w:r w:rsidR="002A4339">
        <w:rPr>
          <w:rFonts w:ascii="Arial" w:hAnsi="Arial" w:cs="Arial"/>
          <w:sz w:val="24"/>
          <w:szCs w:val="24"/>
        </w:rPr>
        <w:t xml:space="preserve">  </w:t>
      </w:r>
      <w:r w:rsidR="004B00FC">
        <w:rPr>
          <w:rFonts w:ascii="Arial" w:hAnsi="Arial" w:cs="Arial"/>
          <w:sz w:val="24"/>
          <w:szCs w:val="24"/>
        </w:rPr>
        <w:t xml:space="preserve"> </w:t>
      </w:r>
    </w:p>
    <w:p w14:paraId="4839CD56" w14:textId="093F93ED" w:rsidR="00E24F58" w:rsidRDefault="00F17CD7" w:rsidP="00A7254D">
      <w:pPr>
        <w:pStyle w:val="ListParagraph"/>
        <w:numPr>
          <w:ilvl w:val="0"/>
          <w:numId w:val="9"/>
        </w:numPr>
        <w:ind w:left="993" w:hanging="851"/>
        <w:jc w:val="both"/>
        <w:rPr>
          <w:rFonts w:ascii="Arial" w:hAnsi="Arial" w:cs="Arial"/>
          <w:sz w:val="24"/>
          <w:szCs w:val="24"/>
        </w:rPr>
      </w:pPr>
      <w:r>
        <w:rPr>
          <w:rFonts w:ascii="Arial" w:hAnsi="Arial" w:cs="Arial"/>
          <w:sz w:val="24"/>
          <w:szCs w:val="24"/>
        </w:rPr>
        <w:t>the payslips of the relevant disputants referr</w:t>
      </w:r>
      <w:r w:rsidR="00CF6141">
        <w:rPr>
          <w:rFonts w:ascii="Arial" w:hAnsi="Arial" w:cs="Arial"/>
          <w:sz w:val="24"/>
          <w:szCs w:val="24"/>
        </w:rPr>
        <w:t>ed</w:t>
      </w:r>
      <w:r>
        <w:rPr>
          <w:rFonts w:ascii="Arial" w:hAnsi="Arial" w:cs="Arial"/>
          <w:sz w:val="24"/>
          <w:szCs w:val="24"/>
        </w:rPr>
        <w:t xml:space="preserve"> </w:t>
      </w:r>
      <w:r w:rsidR="00CF6141">
        <w:rPr>
          <w:rFonts w:ascii="Arial" w:hAnsi="Arial" w:cs="Arial"/>
          <w:sz w:val="24"/>
          <w:szCs w:val="24"/>
        </w:rPr>
        <w:t xml:space="preserve">for several years </w:t>
      </w:r>
      <w:r w:rsidR="00BC116E">
        <w:rPr>
          <w:rFonts w:ascii="Arial" w:hAnsi="Arial" w:cs="Arial"/>
          <w:sz w:val="24"/>
          <w:szCs w:val="24"/>
        </w:rPr>
        <w:t xml:space="preserve">in certain cases </w:t>
      </w:r>
      <w:r>
        <w:rPr>
          <w:rFonts w:ascii="Arial" w:hAnsi="Arial" w:cs="Arial"/>
          <w:sz w:val="24"/>
          <w:szCs w:val="24"/>
        </w:rPr>
        <w:t xml:space="preserve">to Acting/Responsibility Allowance before </w:t>
      </w:r>
      <w:r w:rsidR="00B04B5A">
        <w:rPr>
          <w:rFonts w:ascii="Arial" w:hAnsi="Arial" w:cs="Arial"/>
          <w:sz w:val="24"/>
          <w:szCs w:val="24"/>
        </w:rPr>
        <w:t>this appellation was finally replaced by</w:t>
      </w:r>
      <w:r>
        <w:rPr>
          <w:rFonts w:ascii="Arial" w:hAnsi="Arial" w:cs="Arial"/>
          <w:sz w:val="24"/>
          <w:szCs w:val="24"/>
        </w:rPr>
        <w:t xml:space="preserve"> adhoc allowance;</w:t>
      </w:r>
    </w:p>
    <w:p w14:paraId="1DF5EB90" w14:textId="70952816" w:rsidR="00E24F58" w:rsidRDefault="00F17CD7" w:rsidP="00A7254D">
      <w:pPr>
        <w:pStyle w:val="ListParagraph"/>
        <w:numPr>
          <w:ilvl w:val="0"/>
          <w:numId w:val="9"/>
        </w:numPr>
        <w:ind w:left="993" w:hanging="851"/>
        <w:jc w:val="both"/>
        <w:rPr>
          <w:rFonts w:ascii="Arial" w:hAnsi="Arial" w:cs="Arial"/>
          <w:sz w:val="24"/>
          <w:szCs w:val="24"/>
        </w:rPr>
      </w:pPr>
      <w:r>
        <w:rPr>
          <w:rFonts w:ascii="Arial" w:hAnsi="Arial" w:cs="Arial"/>
          <w:sz w:val="24"/>
          <w:szCs w:val="24"/>
        </w:rPr>
        <w:t>both t</w:t>
      </w:r>
      <w:r w:rsidR="00E24F58">
        <w:rPr>
          <w:rFonts w:ascii="Arial" w:hAnsi="Arial" w:cs="Arial"/>
          <w:sz w:val="24"/>
          <w:szCs w:val="24"/>
        </w:rPr>
        <w:t xml:space="preserve">he Respondent </w:t>
      </w:r>
      <w:r>
        <w:rPr>
          <w:rFonts w:ascii="Arial" w:hAnsi="Arial" w:cs="Arial"/>
          <w:sz w:val="24"/>
          <w:szCs w:val="24"/>
        </w:rPr>
        <w:t xml:space="preserve">and the relevant disputants </w:t>
      </w:r>
      <w:r w:rsidR="00E24F58">
        <w:rPr>
          <w:rFonts w:ascii="Arial" w:hAnsi="Arial" w:cs="Arial"/>
          <w:sz w:val="24"/>
          <w:szCs w:val="24"/>
        </w:rPr>
        <w:t>w</w:t>
      </w:r>
      <w:r>
        <w:rPr>
          <w:rFonts w:ascii="Arial" w:hAnsi="Arial" w:cs="Arial"/>
          <w:sz w:val="24"/>
          <w:szCs w:val="24"/>
        </w:rPr>
        <w:t>ere</w:t>
      </w:r>
      <w:r w:rsidR="00E24F58">
        <w:rPr>
          <w:rFonts w:ascii="Arial" w:hAnsi="Arial" w:cs="Arial"/>
          <w:sz w:val="24"/>
          <w:szCs w:val="24"/>
        </w:rPr>
        <w:t xml:space="preserve"> making contribution</w:t>
      </w:r>
      <w:r>
        <w:rPr>
          <w:rFonts w:ascii="Arial" w:hAnsi="Arial" w:cs="Arial"/>
          <w:sz w:val="24"/>
          <w:szCs w:val="24"/>
        </w:rPr>
        <w:t>s</w:t>
      </w:r>
      <w:r w:rsidR="00E24F58">
        <w:rPr>
          <w:rFonts w:ascii="Arial" w:hAnsi="Arial" w:cs="Arial"/>
          <w:sz w:val="24"/>
          <w:szCs w:val="24"/>
        </w:rPr>
        <w:t xml:space="preserve"> </w:t>
      </w:r>
      <w:r w:rsidR="00307745">
        <w:rPr>
          <w:rFonts w:ascii="Arial" w:hAnsi="Arial" w:cs="Arial"/>
          <w:sz w:val="24"/>
          <w:szCs w:val="24"/>
        </w:rPr>
        <w:t xml:space="preserve">(thus leading to the salaries of relevant disputants </w:t>
      </w:r>
      <w:r w:rsidR="00880E26">
        <w:rPr>
          <w:rFonts w:ascii="Arial" w:hAnsi="Arial" w:cs="Arial"/>
          <w:sz w:val="24"/>
          <w:szCs w:val="24"/>
        </w:rPr>
        <w:t xml:space="preserve">having </w:t>
      </w:r>
      <w:r w:rsidR="00307745">
        <w:rPr>
          <w:rFonts w:ascii="Arial" w:hAnsi="Arial" w:cs="Arial"/>
          <w:sz w:val="24"/>
          <w:szCs w:val="24"/>
        </w:rPr>
        <w:t>be</w:t>
      </w:r>
      <w:r w:rsidR="00880E26">
        <w:rPr>
          <w:rFonts w:ascii="Arial" w:hAnsi="Arial" w:cs="Arial"/>
          <w:sz w:val="24"/>
          <w:szCs w:val="24"/>
        </w:rPr>
        <w:t>en</w:t>
      </w:r>
      <w:r w:rsidR="00307745">
        <w:rPr>
          <w:rFonts w:ascii="Arial" w:hAnsi="Arial" w:cs="Arial"/>
          <w:sz w:val="24"/>
          <w:szCs w:val="24"/>
        </w:rPr>
        <w:t xml:space="preserve"> wrongly debited for years</w:t>
      </w:r>
      <w:r w:rsidR="00880E26">
        <w:rPr>
          <w:rFonts w:ascii="Arial" w:hAnsi="Arial" w:cs="Arial"/>
          <w:sz w:val="24"/>
          <w:szCs w:val="24"/>
        </w:rPr>
        <w:t xml:space="preserve"> by the Respondent) </w:t>
      </w:r>
      <w:r w:rsidR="00E24F58">
        <w:rPr>
          <w:rFonts w:ascii="Arial" w:hAnsi="Arial" w:cs="Arial"/>
          <w:sz w:val="24"/>
          <w:szCs w:val="24"/>
        </w:rPr>
        <w:t>on the allowance</w:t>
      </w:r>
      <w:r>
        <w:rPr>
          <w:rFonts w:ascii="Arial" w:hAnsi="Arial" w:cs="Arial"/>
          <w:sz w:val="24"/>
          <w:szCs w:val="24"/>
        </w:rPr>
        <w:t>s</w:t>
      </w:r>
      <w:r w:rsidR="00E24F58">
        <w:rPr>
          <w:rFonts w:ascii="Arial" w:hAnsi="Arial" w:cs="Arial"/>
          <w:sz w:val="24"/>
          <w:szCs w:val="24"/>
        </w:rPr>
        <w:t xml:space="preserve"> </w:t>
      </w:r>
      <w:r>
        <w:rPr>
          <w:rFonts w:ascii="Arial" w:hAnsi="Arial" w:cs="Arial"/>
          <w:sz w:val="24"/>
          <w:szCs w:val="24"/>
        </w:rPr>
        <w:t>paid to the disputants to Co-Respondent No</w:t>
      </w:r>
      <w:r w:rsidR="00307745">
        <w:rPr>
          <w:rFonts w:ascii="Arial" w:hAnsi="Arial" w:cs="Arial"/>
          <w:sz w:val="24"/>
          <w:szCs w:val="24"/>
        </w:rPr>
        <w:t>. 4</w:t>
      </w:r>
      <w:r>
        <w:rPr>
          <w:rFonts w:ascii="Arial" w:hAnsi="Arial" w:cs="Arial"/>
          <w:sz w:val="24"/>
          <w:szCs w:val="24"/>
        </w:rPr>
        <w:t xml:space="preserve"> </w:t>
      </w:r>
      <w:r w:rsidR="00E24F58">
        <w:rPr>
          <w:rFonts w:ascii="Arial" w:hAnsi="Arial" w:cs="Arial"/>
          <w:sz w:val="24"/>
          <w:szCs w:val="24"/>
        </w:rPr>
        <w:t>for pension purposes</w:t>
      </w:r>
      <w:r>
        <w:rPr>
          <w:rFonts w:ascii="Arial" w:hAnsi="Arial" w:cs="Arial"/>
          <w:sz w:val="24"/>
          <w:szCs w:val="24"/>
        </w:rPr>
        <w:t>;</w:t>
      </w:r>
      <w:r w:rsidR="00E24F58">
        <w:rPr>
          <w:rFonts w:ascii="Arial" w:hAnsi="Arial" w:cs="Arial"/>
          <w:sz w:val="24"/>
          <w:szCs w:val="24"/>
        </w:rPr>
        <w:t xml:space="preserve"> </w:t>
      </w:r>
    </w:p>
    <w:p w14:paraId="2F4A3143" w14:textId="3C3764F1" w:rsidR="00CB5052" w:rsidRDefault="00880E26" w:rsidP="00A7254D">
      <w:pPr>
        <w:pStyle w:val="ListParagraph"/>
        <w:numPr>
          <w:ilvl w:val="0"/>
          <w:numId w:val="9"/>
        </w:numPr>
        <w:ind w:left="993" w:hanging="851"/>
        <w:jc w:val="both"/>
        <w:rPr>
          <w:rFonts w:ascii="Arial" w:hAnsi="Arial" w:cs="Arial"/>
          <w:sz w:val="24"/>
          <w:szCs w:val="24"/>
        </w:rPr>
      </w:pPr>
      <w:r>
        <w:rPr>
          <w:rFonts w:ascii="Arial" w:hAnsi="Arial" w:cs="Arial"/>
          <w:sz w:val="24"/>
          <w:szCs w:val="24"/>
        </w:rPr>
        <w:t>th</w:t>
      </w:r>
      <w:r w:rsidR="00CB5052">
        <w:rPr>
          <w:rFonts w:ascii="Arial" w:hAnsi="Arial" w:cs="Arial"/>
          <w:sz w:val="24"/>
          <w:szCs w:val="24"/>
        </w:rPr>
        <w:t>e Respondent c</w:t>
      </w:r>
      <w:r w:rsidR="00F47715">
        <w:rPr>
          <w:rFonts w:ascii="Arial" w:hAnsi="Arial" w:cs="Arial"/>
          <w:sz w:val="24"/>
          <w:szCs w:val="24"/>
        </w:rPr>
        <w:t>reated</w:t>
      </w:r>
      <w:r>
        <w:rPr>
          <w:rFonts w:ascii="Arial" w:hAnsi="Arial" w:cs="Arial"/>
          <w:sz w:val="24"/>
          <w:szCs w:val="24"/>
        </w:rPr>
        <w:t xml:space="preserve"> a situation </w:t>
      </w:r>
      <w:r w:rsidR="00CB5052">
        <w:rPr>
          <w:rFonts w:ascii="Arial" w:hAnsi="Arial" w:cs="Arial"/>
          <w:sz w:val="24"/>
          <w:szCs w:val="24"/>
        </w:rPr>
        <w:t xml:space="preserve">which </w:t>
      </w:r>
      <w:r w:rsidR="00F47715">
        <w:rPr>
          <w:rFonts w:ascii="Arial" w:hAnsi="Arial" w:cs="Arial"/>
          <w:sz w:val="24"/>
          <w:szCs w:val="24"/>
        </w:rPr>
        <w:t>led to</w:t>
      </w:r>
      <w:r w:rsidR="00CB5052">
        <w:rPr>
          <w:rFonts w:ascii="Arial" w:hAnsi="Arial" w:cs="Arial"/>
          <w:sz w:val="24"/>
          <w:szCs w:val="24"/>
        </w:rPr>
        <w:t xml:space="preserve"> </w:t>
      </w:r>
      <w:r w:rsidR="00A11592">
        <w:rPr>
          <w:rFonts w:ascii="Arial" w:hAnsi="Arial" w:cs="Arial"/>
          <w:sz w:val="24"/>
          <w:szCs w:val="24"/>
        </w:rPr>
        <w:t xml:space="preserve">something very much akin to </w:t>
      </w:r>
      <w:r w:rsidR="00CB5052">
        <w:rPr>
          <w:rFonts w:ascii="Arial" w:hAnsi="Arial" w:cs="Arial"/>
          <w:sz w:val="24"/>
          <w:szCs w:val="24"/>
        </w:rPr>
        <w:t xml:space="preserve">a </w:t>
      </w:r>
      <w:r w:rsidR="00CB5052" w:rsidRPr="007639CA">
        <w:rPr>
          <w:rFonts w:ascii="Arial" w:hAnsi="Arial" w:cs="Arial"/>
          <w:sz w:val="24"/>
          <w:szCs w:val="24"/>
        </w:rPr>
        <w:t>legitimate expectation</w:t>
      </w:r>
      <w:r w:rsidR="00CB5052">
        <w:rPr>
          <w:rFonts w:ascii="Arial" w:hAnsi="Arial" w:cs="Arial"/>
          <w:sz w:val="24"/>
          <w:szCs w:val="24"/>
        </w:rPr>
        <w:t xml:space="preserve"> </w:t>
      </w:r>
      <w:r w:rsidR="007639CA">
        <w:rPr>
          <w:rFonts w:ascii="Arial" w:hAnsi="Arial" w:cs="Arial"/>
          <w:sz w:val="24"/>
          <w:szCs w:val="24"/>
        </w:rPr>
        <w:t>on behalf of</w:t>
      </w:r>
      <w:r w:rsidR="00CB5052">
        <w:rPr>
          <w:rFonts w:ascii="Arial" w:hAnsi="Arial" w:cs="Arial"/>
          <w:sz w:val="24"/>
          <w:szCs w:val="24"/>
        </w:rPr>
        <w:t xml:space="preserve"> </w:t>
      </w:r>
      <w:r>
        <w:rPr>
          <w:rFonts w:ascii="Arial" w:hAnsi="Arial" w:cs="Arial"/>
          <w:sz w:val="24"/>
          <w:szCs w:val="24"/>
        </w:rPr>
        <w:t>the relevant d</w:t>
      </w:r>
      <w:r w:rsidR="00CB5052">
        <w:rPr>
          <w:rFonts w:ascii="Arial" w:hAnsi="Arial" w:cs="Arial"/>
          <w:sz w:val="24"/>
          <w:szCs w:val="24"/>
        </w:rPr>
        <w:t xml:space="preserve">isputants that the allowance they were being paid </w:t>
      </w:r>
      <w:r w:rsidR="00B04B5A">
        <w:rPr>
          <w:rFonts w:ascii="Arial" w:hAnsi="Arial" w:cs="Arial"/>
          <w:sz w:val="24"/>
          <w:szCs w:val="24"/>
        </w:rPr>
        <w:t xml:space="preserve">could </w:t>
      </w:r>
      <w:r>
        <w:rPr>
          <w:rFonts w:ascii="Arial" w:hAnsi="Arial" w:cs="Arial"/>
          <w:sz w:val="24"/>
          <w:szCs w:val="24"/>
        </w:rPr>
        <w:t xml:space="preserve">be considered as being </w:t>
      </w:r>
      <w:r w:rsidR="00CB5052">
        <w:rPr>
          <w:rFonts w:ascii="Arial" w:hAnsi="Arial" w:cs="Arial"/>
          <w:sz w:val="24"/>
          <w:szCs w:val="24"/>
        </w:rPr>
        <w:t>pensionable</w:t>
      </w:r>
      <w:r w:rsidR="00F47715">
        <w:rPr>
          <w:rFonts w:ascii="Arial" w:hAnsi="Arial" w:cs="Arial"/>
          <w:sz w:val="24"/>
          <w:szCs w:val="24"/>
        </w:rPr>
        <w:t>;</w:t>
      </w:r>
    </w:p>
    <w:p w14:paraId="7DC10911" w14:textId="218A82D0" w:rsidR="00060719" w:rsidRPr="00F47715" w:rsidRDefault="00F47715" w:rsidP="00A7254D">
      <w:pPr>
        <w:pStyle w:val="ListParagraph"/>
        <w:numPr>
          <w:ilvl w:val="0"/>
          <w:numId w:val="9"/>
        </w:numPr>
        <w:ind w:left="993" w:hanging="851"/>
        <w:jc w:val="both"/>
        <w:rPr>
          <w:rFonts w:ascii="Arial" w:hAnsi="Arial" w:cs="Arial"/>
          <w:sz w:val="24"/>
          <w:szCs w:val="24"/>
        </w:rPr>
      </w:pPr>
      <w:r>
        <w:rPr>
          <w:rFonts w:ascii="Arial" w:hAnsi="Arial" w:cs="Arial"/>
          <w:sz w:val="24"/>
          <w:szCs w:val="24"/>
        </w:rPr>
        <w:t xml:space="preserve"> </w:t>
      </w:r>
      <w:r w:rsidRPr="00F47715">
        <w:rPr>
          <w:rFonts w:ascii="Arial" w:hAnsi="Arial" w:cs="Arial"/>
          <w:sz w:val="24"/>
          <w:szCs w:val="24"/>
        </w:rPr>
        <w:t xml:space="preserve">the </w:t>
      </w:r>
      <w:r w:rsidR="00B04309" w:rsidRPr="00F47715">
        <w:rPr>
          <w:rFonts w:ascii="Arial" w:hAnsi="Arial" w:cs="Arial"/>
          <w:sz w:val="24"/>
          <w:szCs w:val="24"/>
        </w:rPr>
        <w:t>representative of Respondent conceded clearly that at some point in time the</w:t>
      </w:r>
      <w:r>
        <w:rPr>
          <w:rFonts w:ascii="Arial" w:hAnsi="Arial" w:cs="Arial"/>
          <w:sz w:val="24"/>
          <w:szCs w:val="24"/>
        </w:rPr>
        <w:t xml:space="preserve"> Respondent</w:t>
      </w:r>
      <w:r w:rsidR="00B04309" w:rsidRPr="00F47715">
        <w:rPr>
          <w:rFonts w:ascii="Arial" w:hAnsi="Arial" w:cs="Arial"/>
          <w:sz w:val="24"/>
          <w:szCs w:val="24"/>
        </w:rPr>
        <w:t xml:space="preserve"> did </w:t>
      </w:r>
      <w:r w:rsidR="00060719" w:rsidRPr="00F47715">
        <w:rPr>
          <w:rFonts w:ascii="Arial" w:hAnsi="Arial" w:cs="Arial"/>
          <w:sz w:val="24"/>
          <w:szCs w:val="24"/>
        </w:rPr>
        <w:t xml:space="preserve">consider </w:t>
      </w:r>
      <w:r>
        <w:rPr>
          <w:rFonts w:ascii="Arial" w:hAnsi="Arial" w:cs="Arial"/>
          <w:sz w:val="24"/>
          <w:szCs w:val="24"/>
        </w:rPr>
        <w:t xml:space="preserve">and proposed to </w:t>
      </w:r>
      <w:r w:rsidR="00060719" w:rsidRPr="00F47715">
        <w:rPr>
          <w:rFonts w:ascii="Arial" w:hAnsi="Arial" w:cs="Arial"/>
          <w:sz w:val="24"/>
          <w:szCs w:val="24"/>
        </w:rPr>
        <w:t xml:space="preserve">put the post of </w:t>
      </w:r>
      <w:r w:rsidR="00641EF6">
        <w:rPr>
          <w:rFonts w:ascii="Arial" w:hAnsi="Arial" w:cs="Arial"/>
          <w:sz w:val="24"/>
          <w:szCs w:val="24"/>
        </w:rPr>
        <w:t>Head Pre-Vocational  Centre</w:t>
      </w:r>
      <w:r w:rsidR="00060719" w:rsidRPr="00F47715">
        <w:rPr>
          <w:rFonts w:ascii="Arial" w:hAnsi="Arial" w:cs="Arial"/>
          <w:sz w:val="24"/>
          <w:szCs w:val="24"/>
        </w:rPr>
        <w:t xml:space="preserve"> on the establishment of the Respondent </w:t>
      </w:r>
      <w:r w:rsidR="00CA11A9">
        <w:rPr>
          <w:rFonts w:ascii="Arial" w:hAnsi="Arial" w:cs="Arial"/>
          <w:sz w:val="24"/>
          <w:szCs w:val="24"/>
        </w:rPr>
        <w:t xml:space="preserve">(thereby showing that </w:t>
      </w:r>
      <w:r w:rsidR="00641EF6">
        <w:rPr>
          <w:rFonts w:ascii="Arial" w:hAnsi="Arial" w:cs="Arial"/>
          <w:sz w:val="24"/>
          <w:szCs w:val="24"/>
        </w:rPr>
        <w:t>such</w:t>
      </w:r>
      <w:r w:rsidR="00CA11A9">
        <w:rPr>
          <w:rFonts w:ascii="Arial" w:hAnsi="Arial" w:cs="Arial"/>
          <w:sz w:val="24"/>
          <w:szCs w:val="24"/>
        </w:rPr>
        <w:t xml:space="preserve"> responsibilities were not or no longer considered as being temporary </w:t>
      </w:r>
      <w:r w:rsidR="00FB47A3">
        <w:rPr>
          <w:rFonts w:ascii="Arial" w:hAnsi="Arial" w:cs="Arial"/>
          <w:sz w:val="24"/>
          <w:szCs w:val="24"/>
        </w:rPr>
        <w:t xml:space="preserve">in nature </w:t>
      </w:r>
      <w:r w:rsidR="00CA11A9">
        <w:rPr>
          <w:rFonts w:ascii="Arial" w:hAnsi="Arial" w:cs="Arial"/>
          <w:sz w:val="24"/>
          <w:szCs w:val="24"/>
        </w:rPr>
        <w:t xml:space="preserve">but </w:t>
      </w:r>
      <w:r w:rsidR="00FB47A3">
        <w:rPr>
          <w:rFonts w:ascii="Arial" w:hAnsi="Arial" w:cs="Arial"/>
          <w:sz w:val="24"/>
          <w:szCs w:val="24"/>
        </w:rPr>
        <w:t>of such nature as would warrant the creation of a proper</w:t>
      </w:r>
      <w:r w:rsidR="00CF6141">
        <w:rPr>
          <w:rFonts w:ascii="Arial" w:hAnsi="Arial" w:cs="Arial"/>
          <w:sz w:val="24"/>
          <w:szCs w:val="24"/>
        </w:rPr>
        <w:t xml:space="preserve"> post</w:t>
      </w:r>
      <w:r w:rsidR="00FB47A3">
        <w:rPr>
          <w:rFonts w:ascii="Arial" w:hAnsi="Arial" w:cs="Arial"/>
          <w:sz w:val="24"/>
          <w:szCs w:val="24"/>
        </w:rPr>
        <w:t>)</w:t>
      </w:r>
      <w:r w:rsidR="00CA11A9">
        <w:rPr>
          <w:rFonts w:ascii="Arial" w:hAnsi="Arial" w:cs="Arial"/>
          <w:sz w:val="24"/>
          <w:szCs w:val="24"/>
        </w:rPr>
        <w:t xml:space="preserve"> </w:t>
      </w:r>
      <w:r w:rsidR="00060719" w:rsidRPr="00F47715">
        <w:rPr>
          <w:rFonts w:ascii="Arial" w:hAnsi="Arial" w:cs="Arial"/>
          <w:sz w:val="24"/>
          <w:szCs w:val="24"/>
        </w:rPr>
        <w:t xml:space="preserve">but this could not be done for </w:t>
      </w:r>
      <w:r>
        <w:rPr>
          <w:rFonts w:ascii="Arial" w:hAnsi="Arial" w:cs="Arial"/>
          <w:sz w:val="24"/>
          <w:szCs w:val="24"/>
        </w:rPr>
        <w:t>certain reasons</w:t>
      </w:r>
      <w:r w:rsidR="00060719" w:rsidRPr="00F47715">
        <w:rPr>
          <w:rFonts w:ascii="Arial" w:hAnsi="Arial" w:cs="Arial"/>
          <w:sz w:val="24"/>
          <w:szCs w:val="24"/>
        </w:rPr>
        <w:t xml:space="preserve">; </w:t>
      </w:r>
    </w:p>
    <w:p w14:paraId="66039853" w14:textId="006A7597" w:rsidR="00D55454" w:rsidRDefault="00427F9E" w:rsidP="00EF20FA">
      <w:pPr>
        <w:pStyle w:val="ListParagraph"/>
        <w:numPr>
          <w:ilvl w:val="0"/>
          <w:numId w:val="9"/>
        </w:numPr>
        <w:ind w:left="993" w:hanging="851"/>
        <w:jc w:val="both"/>
        <w:rPr>
          <w:rFonts w:ascii="Arial" w:hAnsi="Arial" w:cs="Arial"/>
          <w:sz w:val="24"/>
          <w:szCs w:val="24"/>
        </w:rPr>
      </w:pPr>
      <w:r>
        <w:rPr>
          <w:rFonts w:ascii="Arial" w:hAnsi="Arial" w:cs="Arial"/>
          <w:sz w:val="24"/>
          <w:szCs w:val="24"/>
        </w:rPr>
        <w:t>e</w:t>
      </w:r>
      <w:r w:rsidR="00D55454" w:rsidRPr="00952D52">
        <w:rPr>
          <w:rFonts w:ascii="Arial" w:hAnsi="Arial" w:cs="Arial"/>
          <w:sz w:val="24"/>
          <w:szCs w:val="24"/>
        </w:rPr>
        <w:t xml:space="preserve">ven if </w:t>
      </w:r>
      <w:r w:rsidR="00D55454">
        <w:rPr>
          <w:rFonts w:ascii="Arial" w:hAnsi="Arial" w:cs="Arial"/>
          <w:sz w:val="24"/>
          <w:szCs w:val="24"/>
        </w:rPr>
        <w:t xml:space="preserve">Respondent </w:t>
      </w:r>
      <w:r w:rsidR="00967D55">
        <w:rPr>
          <w:rFonts w:ascii="Arial" w:hAnsi="Arial" w:cs="Arial"/>
          <w:sz w:val="24"/>
          <w:szCs w:val="24"/>
        </w:rPr>
        <w:t xml:space="preserve">is relying on an averment that the </w:t>
      </w:r>
      <w:r w:rsidR="00527DB9">
        <w:rPr>
          <w:rFonts w:ascii="Arial" w:hAnsi="Arial" w:cs="Arial"/>
          <w:sz w:val="24"/>
          <w:szCs w:val="24"/>
        </w:rPr>
        <w:t>IT</w:t>
      </w:r>
      <w:r w:rsidR="0088139F">
        <w:rPr>
          <w:rFonts w:ascii="Arial" w:hAnsi="Arial" w:cs="Arial"/>
          <w:sz w:val="24"/>
          <w:szCs w:val="24"/>
        </w:rPr>
        <w:t>/Finance</w:t>
      </w:r>
      <w:r w:rsidR="00967D55">
        <w:rPr>
          <w:rFonts w:ascii="Arial" w:hAnsi="Arial" w:cs="Arial"/>
          <w:sz w:val="24"/>
          <w:szCs w:val="24"/>
        </w:rPr>
        <w:t xml:space="preserve"> system at Respondent had wrongly accounted the allowance as acting/responsibility allowance (averring “erreur”), </w:t>
      </w:r>
      <w:r w:rsidR="00D55454" w:rsidRPr="00952D52">
        <w:rPr>
          <w:rFonts w:ascii="Arial" w:hAnsi="Arial" w:cs="Arial"/>
          <w:sz w:val="24"/>
          <w:szCs w:val="24"/>
        </w:rPr>
        <w:t xml:space="preserve">the </w:t>
      </w:r>
      <w:r w:rsidR="00967D55">
        <w:rPr>
          <w:rFonts w:ascii="Arial" w:hAnsi="Arial" w:cs="Arial"/>
          <w:sz w:val="24"/>
          <w:szCs w:val="24"/>
        </w:rPr>
        <w:t xml:space="preserve">relevant </w:t>
      </w:r>
      <w:r w:rsidR="00D55454" w:rsidRPr="00952D52">
        <w:rPr>
          <w:rFonts w:ascii="Arial" w:hAnsi="Arial" w:cs="Arial"/>
          <w:sz w:val="24"/>
          <w:szCs w:val="24"/>
        </w:rPr>
        <w:t>disputants who were</w:t>
      </w:r>
      <w:r w:rsidR="007639CA">
        <w:rPr>
          <w:rFonts w:ascii="Arial" w:hAnsi="Arial" w:cs="Arial"/>
          <w:sz w:val="24"/>
          <w:szCs w:val="24"/>
        </w:rPr>
        <w:t xml:space="preserve">, accordingly, </w:t>
      </w:r>
      <w:r w:rsidR="00D55454" w:rsidRPr="00952D52">
        <w:rPr>
          <w:rFonts w:ascii="Arial" w:hAnsi="Arial" w:cs="Arial"/>
          <w:sz w:val="24"/>
          <w:szCs w:val="24"/>
        </w:rPr>
        <w:t xml:space="preserve"> required to contribute on the allowances paid to them for their pension</w:t>
      </w:r>
      <w:r w:rsidR="00D55454">
        <w:rPr>
          <w:rFonts w:ascii="Arial" w:hAnsi="Arial" w:cs="Arial"/>
          <w:sz w:val="24"/>
          <w:szCs w:val="24"/>
        </w:rPr>
        <w:t xml:space="preserve"> cannot be made to </w:t>
      </w:r>
      <w:r w:rsidR="00967D55">
        <w:rPr>
          <w:rFonts w:ascii="Arial" w:hAnsi="Arial" w:cs="Arial"/>
          <w:sz w:val="24"/>
          <w:szCs w:val="24"/>
        </w:rPr>
        <w:t>suffer for the alleged mistake of the Respondent which lasted for years in some cases</w:t>
      </w:r>
      <w:r w:rsidR="00D55454">
        <w:rPr>
          <w:rFonts w:ascii="Arial" w:hAnsi="Arial" w:cs="Arial"/>
          <w:sz w:val="24"/>
          <w:szCs w:val="24"/>
        </w:rPr>
        <w:t>;</w:t>
      </w:r>
    </w:p>
    <w:p w14:paraId="6DD7C061" w14:textId="3D0408BC" w:rsidR="00BC338D" w:rsidRDefault="00967D55" w:rsidP="00EF20FA">
      <w:pPr>
        <w:pStyle w:val="ListParagraph"/>
        <w:numPr>
          <w:ilvl w:val="0"/>
          <w:numId w:val="9"/>
        </w:numPr>
        <w:ind w:left="993" w:hanging="851"/>
        <w:jc w:val="both"/>
        <w:rPr>
          <w:rFonts w:ascii="Arial" w:hAnsi="Arial" w:cs="Arial"/>
          <w:sz w:val="24"/>
          <w:szCs w:val="24"/>
        </w:rPr>
      </w:pPr>
      <w:r>
        <w:rPr>
          <w:rFonts w:ascii="Arial" w:hAnsi="Arial" w:cs="Arial"/>
          <w:sz w:val="24"/>
          <w:szCs w:val="24"/>
        </w:rPr>
        <w:t>t</w:t>
      </w:r>
      <w:r w:rsidR="00BC338D">
        <w:rPr>
          <w:rFonts w:ascii="Arial" w:hAnsi="Arial" w:cs="Arial"/>
          <w:sz w:val="24"/>
          <w:szCs w:val="24"/>
        </w:rPr>
        <w:t xml:space="preserve">he length of time for which the additional responsibilities </w:t>
      </w:r>
      <w:r>
        <w:rPr>
          <w:rFonts w:ascii="Arial" w:hAnsi="Arial" w:cs="Arial"/>
          <w:sz w:val="24"/>
          <w:szCs w:val="24"/>
        </w:rPr>
        <w:t xml:space="preserve">as Officer in Charge </w:t>
      </w:r>
      <w:r w:rsidR="00BC338D">
        <w:rPr>
          <w:rFonts w:ascii="Arial" w:hAnsi="Arial" w:cs="Arial"/>
          <w:sz w:val="24"/>
          <w:szCs w:val="24"/>
        </w:rPr>
        <w:t xml:space="preserve">have been </w:t>
      </w:r>
      <w:r>
        <w:rPr>
          <w:rFonts w:ascii="Arial" w:hAnsi="Arial" w:cs="Arial"/>
          <w:sz w:val="24"/>
          <w:szCs w:val="24"/>
        </w:rPr>
        <w:t xml:space="preserve">shouldered </w:t>
      </w:r>
      <w:r w:rsidR="0000103F">
        <w:rPr>
          <w:rFonts w:ascii="Arial" w:hAnsi="Arial" w:cs="Arial"/>
          <w:sz w:val="24"/>
          <w:szCs w:val="24"/>
        </w:rPr>
        <w:t xml:space="preserve">continuously </w:t>
      </w:r>
      <w:r w:rsidR="00FA71F7">
        <w:rPr>
          <w:rFonts w:ascii="Arial" w:hAnsi="Arial" w:cs="Arial"/>
          <w:sz w:val="24"/>
          <w:szCs w:val="24"/>
        </w:rPr>
        <w:t xml:space="preserve">by the disputants coupled with the facts of the present case reinforce </w:t>
      </w:r>
      <w:r w:rsidR="006F775F">
        <w:rPr>
          <w:rFonts w:ascii="Arial" w:hAnsi="Arial" w:cs="Arial"/>
          <w:sz w:val="24"/>
          <w:szCs w:val="24"/>
        </w:rPr>
        <w:t xml:space="preserve">the </w:t>
      </w:r>
      <w:r w:rsidR="00FA71F7">
        <w:rPr>
          <w:rFonts w:ascii="Arial" w:hAnsi="Arial" w:cs="Arial"/>
          <w:sz w:val="24"/>
          <w:szCs w:val="24"/>
        </w:rPr>
        <w:t xml:space="preserve">need for </w:t>
      </w:r>
      <w:r w:rsidR="006F775F">
        <w:rPr>
          <w:rFonts w:ascii="Arial" w:hAnsi="Arial" w:cs="Arial"/>
          <w:sz w:val="24"/>
          <w:szCs w:val="24"/>
        </w:rPr>
        <w:t xml:space="preserve">relevant authorities </w:t>
      </w:r>
      <w:r w:rsidR="00FA71F7">
        <w:rPr>
          <w:rFonts w:ascii="Arial" w:hAnsi="Arial" w:cs="Arial"/>
          <w:sz w:val="24"/>
          <w:szCs w:val="24"/>
        </w:rPr>
        <w:t xml:space="preserve">to </w:t>
      </w:r>
      <w:r w:rsidR="006F775F">
        <w:rPr>
          <w:rFonts w:ascii="Arial" w:hAnsi="Arial" w:cs="Arial"/>
          <w:sz w:val="24"/>
          <w:szCs w:val="24"/>
        </w:rPr>
        <w:t>consider</w:t>
      </w:r>
      <w:r w:rsidR="00BC338D">
        <w:rPr>
          <w:rFonts w:ascii="Arial" w:hAnsi="Arial" w:cs="Arial"/>
          <w:sz w:val="24"/>
          <w:szCs w:val="24"/>
        </w:rPr>
        <w:t xml:space="preserve"> </w:t>
      </w:r>
      <w:r w:rsidR="000E5869">
        <w:rPr>
          <w:rFonts w:ascii="Arial" w:hAnsi="Arial" w:cs="Arial"/>
          <w:sz w:val="24"/>
          <w:szCs w:val="24"/>
        </w:rPr>
        <w:t xml:space="preserve">seriously means and ways </w:t>
      </w:r>
      <w:r w:rsidR="007639CA">
        <w:rPr>
          <w:rFonts w:ascii="Arial" w:hAnsi="Arial" w:cs="Arial"/>
          <w:sz w:val="24"/>
          <w:szCs w:val="24"/>
        </w:rPr>
        <w:t>on</w:t>
      </w:r>
      <w:r w:rsidR="00CF6141">
        <w:rPr>
          <w:rFonts w:ascii="Arial" w:hAnsi="Arial" w:cs="Arial"/>
          <w:sz w:val="24"/>
          <w:szCs w:val="24"/>
        </w:rPr>
        <w:t xml:space="preserve"> an </w:t>
      </w:r>
      <w:r w:rsidR="006F775F" w:rsidRPr="00EB11D4">
        <w:rPr>
          <w:rFonts w:ascii="Arial" w:hAnsi="Arial" w:cs="Arial"/>
          <w:i/>
          <w:sz w:val="24"/>
          <w:szCs w:val="24"/>
        </w:rPr>
        <w:t xml:space="preserve">exceptional </w:t>
      </w:r>
      <w:r w:rsidR="00CF6141" w:rsidRPr="00EB11D4">
        <w:rPr>
          <w:rFonts w:ascii="Arial" w:hAnsi="Arial" w:cs="Arial"/>
          <w:i/>
          <w:sz w:val="24"/>
          <w:szCs w:val="24"/>
        </w:rPr>
        <w:t>basis</w:t>
      </w:r>
      <w:r w:rsidR="00CF6141">
        <w:rPr>
          <w:rFonts w:ascii="Arial" w:hAnsi="Arial" w:cs="Arial"/>
          <w:sz w:val="24"/>
          <w:szCs w:val="24"/>
        </w:rPr>
        <w:t xml:space="preserve"> </w:t>
      </w:r>
      <w:r w:rsidR="000219D9">
        <w:rPr>
          <w:rFonts w:ascii="Arial" w:hAnsi="Arial" w:cs="Arial"/>
          <w:sz w:val="24"/>
          <w:szCs w:val="24"/>
        </w:rPr>
        <w:t xml:space="preserve">to </w:t>
      </w:r>
      <w:r w:rsidR="007639CA">
        <w:rPr>
          <w:rFonts w:ascii="Arial" w:hAnsi="Arial" w:cs="Arial"/>
          <w:sz w:val="24"/>
          <w:szCs w:val="24"/>
        </w:rPr>
        <w:t>how best remediate this unfortunate situation which has been created</w:t>
      </w:r>
      <w:r w:rsidR="00BC338D">
        <w:rPr>
          <w:rFonts w:ascii="Arial" w:hAnsi="Arial" w:cs="Arial"/>
          <w:sz w:val="24"/>
          <w:szCs w:val="24"/>
        </w:rPr>
        <w:t xml:space="preserve">;  </w:t>
      </w:r>
    </w:p>
    <w:p w14:paraId="440FB3A4" w14:textId="19141A20" w:rsidR="008B3B74" w:rsidRDefault="000E5869" w:rsidP="00EF20FA">
      <w:pPr>
        <w:pStyle w:val="ListParagraph"/>
        <w:numPr>
          <w:ilvl w:val="0"/>
          <w:numId w:val="9"/>
        </w:numPr>
        <w:ind w:left="993" w:hanging="851"/>
        <w:jc w:val="both"/>
        <w:rPr>
          <w:rFonts w:ascii="Arial" w:hAnsi="Arial" w:cs="Arial"/>
          <w:sz w:val="24"/>
          <w:szCs w:val="24"/>
        </w:rPr>
      </w:pPr>
      <w:r>
        <w:rPr>
          <w:rFonts w:ascii="Arial" w:hAnsi="Arial" w:cs="Arial"/>
          <w:sz w:val="24"/>
          <w:szCs w:val="24"/>
        </w:rPr>
        <w:t>t</w:t>
      </w:r>
      <w:r w:rsidR="0023567C">
        <w:rPr>
          <w:rFonts w:ascii="Arial" w:hAnsi="Arial" w:cs="Arial"/>
          <w:sz w:val="24"/>
          <w:szCs w:val="24"/>
        </w:rPr>
        <w:t xml:space="preserve">he Respondent and other parties </w:t>
      </w:r>
      <w:r w:rsidR="00501A26">
        <w:rPr>
          <w:rFonts w:ascii="Arial" w:hAnsi="Arial" w:cs="Arial"/>
          <w:sz w:val="24"/>
          <w:szCs w:val="24"/>
        </w:rPr>
        <w:t>and a</w:t>
      </w:r>
      <w:r w:rsidR="007639CA">
        <w:rPr>
          <w:rFonts w:ascii="Arial" w:hAnsi="Arial" w:cs="Arial"/>
          <w:sz w:val="24"/>
          <w:szCs w:val="24"/>
        </w:rPr>
        <w:t xml:space="preserve">ny other relevant body whose </w:t>
      </w:r>
      <w:r w:rsidR="00501A26">
        <w:rPr>
          <w:rFonts w:ascii="Arial" w:hAnsi="Arial" w:cs="Arial"/>
          <w:sz w:val="24"/>
          <w:szCs w:val="24"/>
        </w:rPr>
        <w:t xml:space="preserve">intervention </w:t>
      </w:r>
      <w:r w:rsidR="007639CA">
        <w:rPr>
          <w:rFonts w:ascii="Arial" w:hAnsi="Arial" w:cs="Arial"/>
          <w:sz w:val="24"/>
          <w:szCs w:val="24"/>
        </w:rPr>
        <w:t xml:space="preserve">may be required </w:t>
      </w:r>
      <w:r w:rsidR="0023567C">
        <w:rPr>
          <w:rFonts w:ascii="Arial" w:hAnsi="Arial" w:cs="Arial"/>
          <w:sz w:val="24"/>
          <w:szCs w:val="24"/>
        </w:rPr>
        <w:t xml:space="preserve">have </w:t>
      </w:r>
      <w:r w:rsidR="00501A26">
        <w:rPr>
          <w:rFonts w:ascii="Arial" w:hAnsi="Arial" w:cs="Arial"/>
          <w:sz w:val="24"/>
          <w:szCs w:val="24"/>
        </w:rPr>
        <w:t xml:space="preserve">with this </w:t>
      </w:r>
      <w:r w:rsidR="00075103">
        <w:rPr>
          <w:rFonts w:ascii="Arial" w:hAnsi="Arial" w:cs="Arial"/>
          <w:sz w:val="24"/>
          <w:szCs w:val="24"/>
        </w:rPr>
        <w:t xml:space="preserve">rather </w:t>
      </w:r>
      <w:r w:rsidR="00501A26">
        <w:rPr>
          <w:rFonts w:ascii="Arial" w:hAnsi="Arial" w:cs="Arial"/>
          <w:sz w:val="24"/>
          <w:szCs w:val="24"/>
        </w:rPr>
        <w:t xml:space="preserve">unfortunate case, a good opportunity to </w:t>
      </w:r>
      <w:r w:rsidR="0023567C">
        <w:rPr>
          <w:rFonts w:ascii="Arial" w:hAnsi="Arial" w:cs="Arial"/>
          <w:sz w:val="24"/>
          <w:szCs w:val="24"/>
        </w:rPr>
        <w:t xml:space="preserve">demonstrate their willingness </w:t>
      </w:r>
      <w:r>
        <w:rPr>
          <w:rFonts w:ascii="Arial" w:hAnsi="Arial" w:cs="Arial"/>
          <w:sz w:val="24"/>
          <w:szCs w:val="24"/>
        </w:rPr>
        <w:t>to uphold the principles and best practices of good employment relations;</w:t>
      </w:r>
      <w:r w:rsidR="008B3B74">
        <w:rPr>
          <w:rFonts w:ascii="Arial" w:hAnsi="Arial" w:cs="Arial"/>
          <w:sz w:val="24"/>
          <w:szCs w:val="24"/>
        </w:rPr>
        <w:t xml:space="preserve"> </w:t>
      </w:r>
    </w:p>
    <w:p w14:paraId="26E35C37" w14:textId="09F6E12B" w:rsidR="00E24F58" w:rsidRDefault="00125B66" w:rsidP="00EF20FA">
      <w:pPr>
        <w:pStyle w:val="ListParagraph"/>
        <w:numPr>
          <w:ilvl w:val="0"/>
          <w:numId w:val="9"/>
        </w:numPr>
        <w:ind w:left="993" w:hanging="851"/>
        <w:jc w:val="both"/>
        <w:rPr>
          <w:rFonts w:ascii="Arial" w:hAnsi="Arial" w:cs="Arial"/>
          <w:sz w:val="24"/>
          <w:szCs w:val="24"/>
        </w:rPr>
      </w:pPr>
      <w:r>
        <w:rPr>
          <w:rFonts w:ascii="Arial" w:hAnsi="Arial" w:cs="Arial"/>
          <w:sz w:val="24"/>
          <w:szCs w:val="24"/>
        </w:rPr>
        <w:t>t</w:t>
      </w:r>
      <w:r w:rsidR="008B3B74">
        <w:rPr>
          <w:rFonts w:ascii="Arial" w:hAnsi="Arial" w:cs="Arial"/>
          <w:sz w:val="24"/>
          <w:szCs w:val="24"/>
        </w:rPr>
        <w:t xml:space="preserve">he Tribunal is confident that </w:t>
      </w:r>
      <w:r>
        <w:rPr>
          <w:rFonts w:ascii="Arial" w:hAnsi="Arial" w:cs="Arial"/>
          <w:sz w:val="24"/>
          <w:szCs w:val="24"/>
        </w:rPr>
        <w:t xml:space="preserve">the parties </w:t>
      </w:r>
      <w:r w:rsidR="00501A26">
        <w:rPr>
          <w:rFonts w:ascii="Arial" w:hAnsi="Arial" w:cs="Arial"/>
          <w:sz w:val="24"/>
          <w:szCs w:val="24"/>
        </w:rPr>
        <w:t xml:space="preserve">and </w:t>
      </w:r>
      <w:r>
        <w:rPr>
          <w:rFonts w:ascii="Arial" w:hAnsi="Arial" w:cs="Arial"/>
          <w:sz w:val="24"/>
          <w:szCs w:val="24"/>
        </w:rPr>
        <w:t xml:space="preserve">any other relevant body </w:t>
      </w:r>
      <w:r w:rsidR="00501A26">
        <w:rPr>
          <w:rFonts w:ascii="Arial" w:hAnsi="Arial" w:cs="Arial"/>
          <w:sz w:val="24"/>
          <w:szCs w:val="24"/>
        </w:rPr>
        <w:t xml:space="preserve">in relation to the present matter </w:t>
      </w:r>
      <w:r>
        <w:rPr>
          <w:rFonts w:ascii="Arial" w:hAnsi="Arial" w:cs="Arial"/>
          <w:sz w:val="24"/>
          <w:szCs w:val="24"/>
        </w:rPr>
        <w:t>will be sensi</w:t>
      </w:r>
      <w:r w:rsidR="00A44DBD">
        <w:rPr>
          <w:rFonts w:ascii="Arial" w:hAnsi="Arial" w:cs="Arial"/>
          <w:sz w:val="24"/>
          <w:szCs w:val="24"/>
        </w:rPr>
        <w:t>tive</w:t>
      </w:r>
      <w:r>
        <w:rPr>
          <w:rFonts w:ascii="Arial" w:hAnsi="Arial" w:cs="Arial"/>
          <w:sz w:val="24"/>
          <w:szCs w:val="24"/>
        </w:rPr>
        <w:t xml:space="preserve"> to the </w:t>
      </w:r>
      <w:r w:rsidRPr="00CC002C">
        <w:rPr>
          <w:rFonts w:ascii="Arial" w:hAnsi="Arial" w:cs="Arial"/>
          <w:bCs/>
          <w:sz w:val="24"/>
          <w:szCs w:val="24"/>
        </w:rPr>
        <w:t>appeal</w:t>
      </w:r>
      <w:r>
        <w:rPr>
          <w:rFonts w:ascii="Arial" w:hAnsi="Arial" w:cs="Arial"/>
          <w:sz w:val="24"/>
          <w:szCs w:val="24"/>
        </w:rPr>
        <w:t xml:space="preserve"> made by the Tribunal.  </w:t>
      </w:r>
      <w:r w:rsidR="008B3B74">
        <w:rPr>
          <w:rFonts w:ascii="Arial" w:hAnsi="Arial" w:cs="Arial"/>
          <w:sz w:val="24"/>
          <w:szCs w:val="24"/>
        </w:rPr>
        <w:t xml:space="preserve"> </w:t>
      </w:r>
      <w:r w:rsidR="0023567C">
        <w:rPr>
          <w:rFonts w:ascii="Arial" w:hAnsi="Arial" w:cs="Arial"/>
          <w:sz w:val="24"/>
          <w:szCs w:val="24"/>
        </w:rPr>
        <w:t xml:space="preserve"> </w:t>
      </w:r>
      <w:r w:rsidR="00CB5052">
        <w:rPr>
          <w:rFonts w:ascii="Arial" w:hAnsi="Arial" w:cs="Arial"/>
          <w:sz w:val="24"/>
          <w:szCs w:val="24"/>
        </w:rPr>
        <w:t xml:space="preserve">    </w:t>
      </w:r>
      <w:r w:rsidR="00E24F58">
        <w:rPr>
          <w:rFonts w:ascii="Arial" w:hAnsi="Arial" w:cs="Arial"/>
          <w:sz w:val="24"/>
          <w:szCs w:val="24"/>
        </w:rPr>
        <w:t xml:space="preserve">    </w:t>
      </w:r>
    </w:p>
    <w:p w14:paraId="6C89DA07" w14:textId="5F28E578" w:rsidR="00257D09" w:rsidRDefault="00BA022F" w:rsidP="00BA022F">
      <w:pPr>
        <w:jc w:val="both"/>
        <w:rPr>
          <w:rFonts w:ascii="Arial" w:hAnsi="Arial" w:cs="Arial"/>
          <w:sz w:val="24"/>
          <w:szCs w:val="24"/>
        </w:rPr>
      </w:pPr>
      <w:r>
        <w:rPr>
          <w:rFonts w:ascii="Arial" w:hAnsi="Arial" w:cs="Arial"/>
          <w:sz w:val="24"/>
          <w:szCs w:val="24"/>
        </w:rPr>
        <w:t xml:space="preserve">The Tribunal will end by quoting from the case of </w:t>
      </w:r>
      <w:r w:rsidR="00B40F0C" w:rsidRPr="00171476">
        <w:rPr>
          <w:rFonts w:ascii="Arial" w:hAnsi="Arial" w:cs="Arial"/>
          <w:b/>
          <w:sz w:val="24"/>
          <w:szCs w:val="24"/>
        </w:rPr>
        <w:t xml:space="preserve">Government Servants’ Association and </w:t>
      </w:r>
      <w:r w:rsidR="00A44DBD">
        <w:rPr>
          <w:rFonts w:ascii="Arial" w:hAnsi="Arial" w:cs="Arial"/>
          <w:b/>
          <w:sz w:val="24"/>
          <w:szCs w:val="24"/>
        </w:rPr>
        <w:t xml:space="preserve">The </w:t>
      </w:r>
      <w:r w:rsidR="00B40F0C" w:rsidRPr="00171476">
        <w:rPr>
          <w:rFonts w:ascii="Arial" w:hAnsi="Arial" w:cs="Arial"/>
          <w:b/>
          <w:sz w:val="24"/>
          <w:szCs w:val="24"/>
        </w:rPr>
        <w:t>Master &amp; Registrar &amp; Anor, RN 298</w:t>
      </w:r>
      <w:r w:rsidR="00D55454">
        <w:rPr>
          <w:rFonts w:ascii="Arial" w:hAnsi="Arial" w:cs="Arial"/>
          <w:sz w:val="24"/>
          <w:szCs w:val="24"/>
        </w:rPr>
        <w:t xml:space="preserve"> where the </w:t>
      </w:r>
      <w:r w:rsidR="00171476">
        <w:rPr>
          <w:rFonts w:ascii="Arial" w:hAnsi="Arial" w:cs="Arial"/>
          <w:sz w:val="24"/>
          <w:szCs w:val="24"/>
        </w:rPr>
        <w:t>then Permanent Arbitration Tribunal stated the following:</w:t>
      </w:r>
    </w:p>
    <w:p w14:paraId="6B80D2FF" w14:textId="6AEA98BF" w:rsidR="00171476" w:rsidRPr="00171476" w:rsidRDefault="00171476" w:rsidP="00BA022F">
      <w:pPr>
        <w:jc w:val="both"/>
        <w:rPr>
          <w:rFonts w:ascii="Arial" w:hAnsi="Arial" w:cs="Arial"/>
          <w:i/>
          <w:sz w:val="24"/>
          <w:szCs w:val="24"/>
        </w:rPr>
      </w:pPr>
      <w:r w:rsidRPr="00171476">
        <w:rPr>
          <w:rFonts w:ascii="Arial" w:hAnsi="Arial" w:cs="Arial"/>
          <w:i/>
          <w:sz w:val="24"/>
          <w:szCs w:val="24"/>
        </w:rPr>
        <w:t xml:space="preserve">“These proceedings have involved a number of institutions, including the Public Service Commission and we are grateful to all those concerned for their utmost cooperation.  The Tribunal is conscious that it should not be seen as seeking to usurp the exclusive rights of other authorities.  Our sole aim is and can only be industrial peace and the promotion of Justice.” </w:t>
      </w:r>
    </w:p>
    <w:p w14:paraId="1D327445" w14:textId="52B5925D" w:rsidR="00257D09" w:rsidRDefault="00171476" w:rsidP="003C5495">
      <w:pPr>
        <w:jc w:val="both"/>
        <w:rPr>
          <w:rFonts w:ascii="Arial" w:hAnsi="Arial" w:cs="Arial"/>
          <w:sz w:val="24"/>
          <w:szCs w:val="24"/>
        </w:rPr>
      </w:pPr>
      <w:r>
        <w:rPr>
          <w:rFonts w:ascii="Arial" w:hAnsi="Arial" w:cs="Arial"/>
          <w:sz w:val="24"/>
          <w:szCs w:val="24"/>
        </w:rPr>
        <w:t>For all the reasons given above, all the disputes are otherwise set aside.</w:t>
      </w:r>
    </w:p>
    <w:p w14:paraId="084B5C67" w14:textId="77777777" w:rsidR="00F75E0B" w:rsidRDefault="00F75E0B" w:rsidP="00FF6DB2">
      <w:pPr>
        <w:jc w:val="both"/>
        <w:rPr>
          <w:rFonts w:ascii="Arial" w:hAnsi="Arial" w:cs="Arial"/>
          <w:b/>
          <w:sz w:val="24"/>
          <w:szCs w:val="24"/>
        </w:rPr>
      </w:pPr>
    </w:p>
    <w:p w14:paraId="7AD91959" w14:textId="6126F03A" w:rsidR="00FF6DB2" w:rsidRPr="005B080A" w:rsidRDefault="0038473F" w:rsidP="00FF6DB2">
      <w:pPr>
        <w:jc w:val="both"/>
        <w:rPr>
          <w:rFonts w:ascii="Arial" w:hAnsi="Arial" w:cs="Arial"/>
          <w:b/>
          <w:sz w:val="24"/>
          <w:szCs w:val="24"/>
        </w:rPr>
      </w:pPr>
      <w:r>
        <w:rPr>
          <w:rFonts w:ascii="Arial" w:hAnsi="Arial" w:cs="Arial"/>
          <w:b/>
          <w:sz w:val="24"/>
          <w:szCs w:val="24"/>
        </w:rPr>
        <w:t xml:space="preserve">(SD) </w:t>
      </w:r>
      <w:r w:rsidR="00FF6DB2" w:rsidRPr="005B080A">
        <w:rPr>
          <w:rFonts w:ascii="Arial" w:hAnsi="Arial" w:cs="Arial"/>
          <w:b/>
          <w:sz w:val="24"/>
          <w:szCs w:val="24"/>
        </w:rPr>
        <w:t xml:space="preserve">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075103">
        <w:rPr>
          <w:rFonts w:ascii="Arial" w:hAnsi="Arial" w:cs="Arial"/>
          <w:b/>
          <w:sz w:val="24"/>
          <w:szCs w:val="24"/>
        </w:rPr>
        <w:t>Abdool Kader Lotun</w:t>
      </w:r>
    </w:p>
    <w:p w14:paraId="75AE5581" w14:textId="13C51A40" w:rsidR="00FF6DB2" w:rsidRPr="005B080A" w:rsidRDefault="00FF6DB2" w:rsidP="00FF6DB2">
      <w:pPr>
        <w:jc w:val="both"/>
        <w:rPr>
          <w:rFonts w:ascii="Arial" w:hAnsi="Arial" w:cs="Arial"/>
          <w:b/>
          <w:sz w:val="24"/>
          <w:szCs w:val="24"/>
        </w:rPr>
      </w:pPr>
      <w:r w:rsidRPr="005B080A">
        <w:rPr>
          <w:rFonts w:ascii="Arial" w:hAnsi="Arial" w:cs="Arial"/>
          <w:b/>
          <w:sz w:val="24"/>
          <w:szCs w:val="24"/>
        </w:rPr>
        <w:t>Vice-President</w:t>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075103" w:rsidRPr="005B080A">
        <w:rPr>
          <w:rFonts w:ascii="Arial" w:hAnsi="Arial" w:cs="Arial"/>
          <w:b/>
          <w:sz w:val="24"/>
          <w:szCs w:val="24"/>
        </w:rPr>
        <w:t>Member</w:t>
      </w:r>
    </w:p>
    <w:p w14:paraId="1ED5C804" w14:textId="77777777" w:rsidR="00B158D5" w:rsidRDefault="00B158D5" w:rsidP="00FF6DB2">
      <w:pPr>
        <w:jc w:val="both"/>
        <w:rPr>
          <w:rFonts w:ascii="Arial" w:hAnsi="Arial" w:cs="Arial"/>
          <w:b/>
          <w:sz w:val="24"/>
          <w:szCs w:val="24"/>
        </w:rPr>
      </w:pPr>
    </w:p>
    <w:p w14:paraId="5BD78FD4" w14:textId="77777777" w:rsidR="00075103" w:rsidRDefault="00075103" w:rsidP="00FF6DB2">
      <w:pPr>
        <w:jc w:val="both"/>
        <w:rPr>
          <w:rFonts w:ascii="Arial" w:hAnsi="Arial" w:cs="Arial"/>
          <w:b/>
          <w:sz w:val="24"/>
          <w:szCs w:val="24"/>
        </w:rPr>
      </w:pPr>
    </w:p>
    <w:p w14:paraId="1968B251" w14:textId="003D227E" w:rsidR="00FF6DB2" w:rsidRPr="005B080A" w:rsidRDefault="0038473F" w:rsidP="00FF6DB2">
      <w:pPr>
        <w:jc w:val="both"/>
        <w:rPr>
          <w:rFonts w:ascii="Arial" w:hAnsi="Arial" w:cs="Arial"/>
          <w:b/>
          <w:sz w:val="24"/>
          <w:szCs w:val="24"/>
        </w:rPr>
      </w:pPr>
      <w:r>
        <w:rPr>
          <w:rFonts w:ascii="Arial" w:hAnsi="Arial" w:cs="Arial"/>
          <w:b/>
          <w:sz w:val="24"/>
          <w:szCs w:val="24"/>
        </w:rPr>
        <w:t xml:space="preserve">(SD) </w:t>
      </w:r>
      <w:r w:rsidR="00FF6DB2">
        <w:rPr>
          <w:rFonts w:ascii="Arial" w:hAnsi="Arial" w:cs="Arial"/>
          <w:b/>
          <w:sz w:val="24"/>
          <w:szCs w:val="24"/>
        </w:rPr>
        <w:t xml:space="preserve">Karen K. Veerapen </w:t>
      </w:r>
      <w:r w:rsidR="00FF6DB2" w:rsidRPr="005B080A">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(SD)</w:t>
      </w:r>
      <w:r w:rsidR="00075103">
        <w:rPr>
          <w:rFonts w:ascii="Arial" w:hAnsi="Arial" w:cs="Arial"/>
          <w:b/>
          <w:sz w:val="24"/>
          <w:szCs w:val="24"/>
        </w:rPr>
        <w:t>Ghianeswar</w:t>
      </w:r>
      <w:r>
        <w:rPr>
          <w:rFonts w:ascii="Arial" w:hAnsi="Arial" w:cs="Arial"/>
          <w:b/>
          <w:sz w:val="24"/>
          <w:szCs w:val="24"/>
        </w:rPr>
        <w:t xml:space="preserve"> G</w:t>
      </w:r>
      <w:r w:rsidR="00075103">
        <w:rPr>
          <w:rFonts w:ascii="Arial" w:hAnsi="Arial" w:cs="Arial"/>
          <w:b/>
          <w:sz w:val="24"/>
          <w:szCs w:val="24"/>
        </w:rPr>
        <w:t>okhool</w:t>
      </w:r>
      <w:r w:rsidR="00FF6DB2" w:rsidRPr="005B080A">
        <w:rPr>
          <w:rFonts w:ascii="Arial" w:hAnsi="Arial" w:cs="Arial"/>
          <w:b/>
          <w:sz w:val="24"/>
          <w:szCs w:val="24"/>
        </w:rPr>
        <w:tab/>
        <w:t xml:space="preserve">  </w:t>
      </w:r>
    </w:p>
    <w:p w14:paraId="608D8219" w14:textId="59B447AE" w:rsidR="00FF6DB2" w:rsidRPr="005B080A" w:rsidRDefault="00FF6DB2" w:rsidP="00FF6DB2">
      <w:pPr>
        <w:jc w:val="both"/>
        <w:rPr>
          <w:rFonts w:ascii="Arial" w:hAnsi="Arial" w:cs="Arial"/>
          <w:b/>
          <w:sz w:val="24"/>
          <w:szCs w:val="24"/>
        </w:rPr>
      </w:pPr>
      <w:r w:rsidRPr="005B080A">
        <w:rPr>
          <w:rFonts w:ascii="Arial" w:hAnsi="Arial" w:cs="Arial"/>
          <w:b/>
          <w:sz w:val="24"/>
          <w:szCs w:val="24"/>
        </w:rPr>
        <w:t>Member</w:t>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38473F">
        <w:rPr>
          <w:rFonts w:ascii="Arial" w:hAnsi="Arial" w:cs="Arial"/>
          <w:b/>
          <w:sz w:val="24"/>
          <w:szCs w:val="24"/>
        </w:rPr>
        <w:tab/>
      </w:r>
      <w:r w:rsidR="00075103" w:rsidRPr="005B080A">
        <w:rPr>
          <w:rFonts w:ascii="Arial" w:hAnsi="Arial" w:cs="Arial"/>
          <w:b/>
          <w:sz w:val="24"/>
          <w:szCs w:val="24"/>
        </w:rPr>
        <w:t>Member</w:t>
      </w:r>
    </w:p>
    <w:p w14:paraId="077CAEA0" w14:textId="77777777" w:rsidR="0038473F" w:rsidRDefault="0038473F" w:rsidP="003C5495">
      <w:pPr>
        <w:jc w:val="both"/>
        <w:rPr>
          <w:rFonts w:ascii="Arial" w:hAnsi="Arial" w:cs="Arial"/>
          <w:b/>
          <w:sz w:val="24"/>
          <w:szCs w:val="24"/>
        </w:rPr>
      </w:pPr>
    </w:p>
    <w:p w14:paraId="48E5AE6C" w14:textId="5BC74A5D" w:rsidR="00501A26" w:rsidRDefault="00075103" w:rsidP="003C5495">
      <w:pPr>
        <w:jc w:val="both"/>
        <w:rPr>
          <w:rFonts w:ascii="Arial" w:hAnsi="Arial" w:cs="Arial"/>
          <w:sz w:val="24"/>
          <w:szCs w:val="24"/>
        </w:rPr>
      </w:pPr>
      <w:r>
        <w:rPr>
          <w:rFonts w:ascii="Arial" w:hAnsi="Arial" w:cs="Arial"/>
          <w:b/>
          <w:sz w:val="24"/>
          <w:szCs w:val="24"/>
        </w:rPr>
        <w:t>2</w:t>
      </w:r>
      <w:r w:rsidR="00023469">
        <w:rPr>
          <w:rFonts w:ascii="Arial" w:hAnsi="Arial" w:cs="Arial"/>
          <w:b/>
          <w:sz w:val="24"/>
          <w:szCs w:val="24"/>
        </w:rPr>
        <w:t xml:space="preserve">4 </w:t>
      </w:r>
      <w:r w:rsidR="00FF6DB2">
        <w:rPr>
          <w:rFonts w:ascii="Arial" w:hAnsi="Arial" w:cs="Arial"/>
          <w:b/>
          <w:sz w:val="24"/>
          <w:szCs w:val="24"/>
        </w:rPr>
        <w:t xml:space="preserve">August </w:t>
      </w:r>
      <w:r w:rsidR="00FF6DB2" w:rsidRPr="005B080A">
        <w:rPr>
          <w:rFonts w:ascii="Arial" w:hAnsi="Arial" w:cs="Arial"/>
          <w:b/>
          <w:sz w:val="24"/>
          <w:szCs w:val="24"/>
        </w:rPr>
        <w:t>20</w:t>
      </w:r>
      <w:r w:rsidR="00FF6DB2">
        <w:rPr>
          <w:rFonts w:ascii="Arial" w:hAnsi="Arial" w:cs="Arial"/>
          <w:b/>
          <w:sz w:val="24"/>
          <w:szCs w:val="24"/>
        </w:rPr>
        <w:t>20</w:t>
      </w:r>
    </w:p>
    <w:sectPr w:rsidR="00501A26"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71C3A" w14:textId="77777777" w:rsidR="00E64800" w:rsidRDefault="00E64800" w:rsidP="00936BD4">
      <w:pPr>
        <w:spacing w:after="0" w:line="240" w:lineRule="auto"/>
      </w:pPr>
      <w:r>
        <w:separator/>
      </w:r>
    </w:p>
  </w:endnote>
  <w:endnote w:type="continuationSeparator" w:id="0">
    <w:p w14:paraId="542809DA" w14:textId="77777777" w:rsidR="00E64800" w:rsidRDefault="00E64800"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76417"/>
      <w:docPartObj>
        <w:docPartGallery w:val="Page Numbers (Bottom of Page)"/>
        <w:docPartUnique/>
      </w:docPartObj>
    </w:sdtPr>
    <w:sdtEndPr/>
    <w:sdtContent>
      <w:p w14:paraId="6492A1CF" w14:textId="0C0B1944" w:rsidR="004F3E0C" w:rsidRDefault="00851896">
        <w:pPr>
          <w:pStyle w:val="Footer"/>
          <w:jc w:val="center"/>
        </w:pPr>
        <w:r>
          <w:fldChar w:fldCharType="begin"/>
        </w:r>
        <w:r>
          <w:instrText xml:space="preserve"> PAGE   \* MERGEFORMAT </w:instrText>
        </w:r>
        <w:r>
          <w:fldChar w:fldCharType="separate"/>
        </w:r>
        <w:r w:rsidR="00430D97">
          <w:rPr>
            <w:noProof/>
          </w:rPr>
          <w:t>1</w:t>
        </w:r>
        <w:r>
          <w:rPr>
            <w:noProof/>
          </w:rPr>
          <w:fldChar w:fldCharType="end"/>
        </w:r>
      </w:p>
    </w:sdtContent>
  </w:sdt>
  <w:p w14:paraId="68567F67" w14:textId="77777777" w:rsidR="004F3E0C" w:rsidRDefault="004F3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A964E" w14:textId="77777777" w:rsidR="00E64800" w:rsidRDefault="00E64800" w:rsidP="00936BD4">
      <w:pPr>
        <w:spacing w:after="0" w:line="240" w:lineRule="auto"/>
      </w:pPr>
      <w:r>
        <w:separator/>
      </w:r>
    </w:p>
  </w:footnote>
  <w:footnote w:type="continuationSeparator" w:id="0">
    <w:p w14:paraId="79749825" w14:textId="77777777" w:rsidR="00E64800" w:rsidRDefault="00E64800"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CC02C2"/>
    <w:multiLevelType w:val="multilevel"/>
    <w:tmpl w:val="E094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5493A"/>
    <w:multiLevelType w:val="hybridMultilevel"/>
    <w:tmpl w:val="662052D0"/>
    <w:lvl w:ilvl="0" w:tplc="AF386C4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AE6244"/>
    <w:multiLevelType w:val="hybridMultilevel"/>
    <w:tmpl w:val="0598144E"/>
    <w:lvl w:ilvl="0" w:tplc="90AA35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2"/>
  </w:num>
  <w:num w:numId="6">
    <w:abstractNumId w:val="3"/>
  </w:num>
  <w:num w:numId="7">
    <w:abstractNumId w:val="6"/>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EA"/>
    <w:rsid w:val="0000103F"/>
    <w:rsid w:val="00004163"/>
    <w:rsid w:val="00004F55"/>
    <w:rsid w:val="00005FBE"/>
    <w:rsid w:val="00012CAF"/>
    <w:rsid w:val="000158C3"/>
    <w:rsid w:val="00016CF5"/>
    <w:rsid w:val="000208E2"/>
    <w:rsid w:val="000219D9"/>
    <w:rsid w:val="00023469"/>
    <w:rsid w:val="000250D3"/>
    <w:rsid w:val="00026AA1"/>
    <w:rsid w:val="00026E65"/>
    <w:rsid w:val="000279C2"/>
    <w:rsid w:val="000318F3"/>
    <w:rsid w:val="00032922"/>
    <w:rsid w:val="00032D6D"/>
    <w:rsid w:val="0003300A"/>
    <w:rsid w:val="00037712"/>
    <w:rsid w:val="00037EE5"/>
    <w:rsid w:val="000408F8"/>
    <w:rsid w:val="00043B58"/>
    <w:rsid w:val="00044384"/>
    <w:rsid w:val="000446C4"/>
    <w:rsid w:val="00044CAF"/>
    <w:rsid w:val="00046D19"/>
    <w:rsid w:val="00052421"/>
    <w:rsid w:val="000530DC"/>
    <w:rsid w:val="00054088"/>
    <w:rsid w:val="00054439"/>
    <w:rsid w:val="00055D51"/>
    <w:rsid w:val="00060719"/>
    <w:rsid w:val="00060F6E"/>
    <w:rsid w:val="00066405"/>
    <w:rsid w:val="00067588"/>
    <w:rsid w:val="000730AD"/>
    <w:rsid w:val="000739D5"/>
    <w:rsid w:val="00075103"/>
    <w:rsid w:val="00075919"/>
    <w:rsid w:val="000771E5"/>
    <w:rsid w:val="0008120B"/>
    <w:rsid w:val="00081614"/>
    <w:rsid w:val="00082CB1"/>
    <w:rsid w:val="00082DBE"/>
    <w:rsid w:val="00085AD3"/>
    <w:rsid w:val="00085C61"/>
    <w:rsid w:val="00086046"/>
    <w:rsid w:val="00086724"/>
    <w:rsid w:val="00087A97"/>
    <w:rsid w:val="00090141"/>
    <w:rsid w:val="0009622A"/>
    <w:rsid w:val="0009740F"/>
    <w:rsid w:val="00097411"/>
    <w:rsid w:val="00097D74"/>
    <w:rsid w:val="000A5361"/>
    <w:rsid w:val="000B170B"/>
    <w:rsid w:val="000B1EAF"/>
    <w:rsid w:val="000B251C"/>
    <w:rsid w:val="000B448C"/>
    <w:rsid w:val="000C1234"/>
    <w:rsid w:val="000C1509"/>
    <w:rsid w:val="000C2D87"/>
    <w:rsid w:val="000C5B14"/>
    <w:rsid w:val="000C5E65"/>
    <w:rsid w:val="000C7835"/>
    <w:rsid w:val="000D4ECD"/>
    <w:rsid w:val="000D5C17"/>
    <w:rsid w:val="000D7A3E"/>
    <w:rsid w:val="000E0D59"/>
    <w:rsid w:val="000E1E58"/>
    <w:rsid w:val="000E2524"/>
    <w:rsid w:val="000E2E5E"/>
    <w:rsid w:val="000E362F"/>
    <w:rsid w:val="000E5869"/>
    <w:rsid w:val="000E5AA9"/>
    <w:rsid w:val="000E5B0A"/>
    <w:rsid w:val="000F15FD"/>
    <w:rsid w:val="000F1B8A"/>
    <w:rsid w:val="000F364E"/>
    <w:rsid w:val="000F59DC"/>
    <w:rsid w:val="000F7674"/>
    <w:rsid w:val="000F7C3F"/>
    <w:rsid w:val="000F7DE8"/>
    <w:rsid w:val="00101A2A"/>
    <w:rsid w:val="001041F1"/>
    <w:rsid w:val="001065CA"/>
    <w:rsid w:val="001100F8"/>
    <w:rsid w:val="001102CE"/>
    <w:rsid w:val="001125F3"/>
    <w:rsid w:val="001151FD"/>
    <w:rsid w:val="0011570D"/>
    <w:rsid w:val="0012026E"/>
    <w:rsid w:val="0012116D"/>
    <w:rsid w:val="0012309E"/>
    <w:rsid w:val="00123789"/>
    <w:rsid w:val="00124C76"/>
    <w:rsid w:val="00125B66"/>
    <w:rsid w:val="001267D7"/>
    <w:rsid w:val="001313E1"/>
    <w:rsid w:val="00132534"/>
    <w:rsid w:val="001349A3"/>
    <w:rsid w:val="00137FE1"/>
    <w:rsid w:val="00143253"/>
    <w:rsid w:val="00150EE3"/>
    <w:rsid w:val="00151418"/>
    <w:rsid w:val="00151F8F"/>
    <w:rsid w:val="001603FD"/>
    <w:rsid w:val="00160672"/>
    <w:rsid w:val="00162868"/>
    <w:rsid w:val="001654FE"/>
    <w:rsid w:val="00171476"/>
    <w:rsid w:val="00171492"/>
    <w:rsid w:val="00171654"/>
    <w:rsid w:val="001755AA"/>
    <w:rsid w:val="00177190"/>
    <w:rsid w:val="001802CC"/>
    <w:rsid w:val="001809E4"/>
    <w:rsid w:val="00182947"/>
    <w:rsid w:val="00183C0A"/>
    <w:rsid w:val="001915BF"/>
    <w:rsid w:val="00191AF2"/>
    <w:rsid w:val="00192933"/>
    <w:rsid w:val="00196BF2"/>
    <w:rsid w:val="00197F84"/>
    <w:rsid w:val="001A1FEC"/>
    <w:rsid w:val="001A3D86"/>
    <w:rsid w:val="001A3F6E"/>
    <w:rsid w:val="001A5236"/>
    <w:rsid w:val="001A55D2"/>
    <w:rsid w:val="001B0595"/>
    <w:rsid w:val="001B08EE"/>
    <w:rsid w:val="001B1EAE"/>
    <w:rsid w:val="001B5209"/>
    <w:rsid w:val="001B57ED"/>
    <w:rsid w:val="001B5E82"/>
    <w:rsid w:val="001B7F18"/>
    <w:rsid w:val="001C00CE"/>
    <w:rsid w:val="001C2C36"/>
    <w:rsid w:val="001C4EB1"/>
    <w:rsid w:val="001C66E2"/>
    <w:rsid w:val="001C6E03"/>
    <w:rsid w:val="001D145D"/>
    <w:rsid w:val="001D16FA"/>
    <w:rsid w:val="001D3289"/>
    <w:rsid w:val="001D3851"/>
    <w:rsid w:val="001D41DC"/>
    <w:rsid w:val="001D468C"/>
    <w:rsid w:val="001D72AF"/>
    <w:rsid w:val="001E1E1B"/>
    <w:rsid w:val="001E3532"/>
    <w:rsid w:val="001E4A11"/>
    <w:rsid w:val="001E7A25"/>
    <w:rsid w:val="001E7DA1"/>
    <w:rsid w:val="001F24A7"/>
    <w:rsid w:val="001F362A"/>
    <w:rsid w:val="001F7957"/>
    <w:rsid w:val="00201D3F"/>
    <w:rsid w:val="00202101"/>
    <w:rsid w:val="00213C9F"/>
    <w:rsid w:val="00215D65"/>
    <w:rsid w:val="002200D9"/>
    <w:rsid w:val="00222022"/>
    <w:rsid w:val="002250AF"/>
    <w:rsid w:val="002272BC"/>
    <w:rsid w:val="002273D5"/>
    <w:rsid w:val="00227942"/>
    <w:rsid w:val="00227C4E"/>
    <w:rsid w:val="002322A1"/>
    <w:rsid w:val="00232757"/>
    <w:rsid w:val="002340D8"/>
    <w:rsid w:val="0023567C"/>
    <w:rsid w:val="0023588E"/>
    <w:rsid w:val="00236AAE"/>
    <w:rsid w:val="00236C1E"/>
    <w:rsid w:val="00240CF7"/>
    <w:rsid w:val="002461E4"/>
    <w:rsid w:val="00246ACC"/>
    <w:rsid w:val="0024775C"/>
    <w:rsid w:val="002513EF"/>
    <w:rsid w:val="00251534"/>
    <w:rsid w:val="00251C54"/>
    <w:rsid w:val="00253650"/>
    <w:rsid w:val="00253AF6"/>
    <w:rsid w:val="00254918"/>
    <w:rsid w:val="00254B1E"/>
    <w:rsid w:val="00255968"/>
    <w:rsid w:val="00256261"/>
    <w:rsid w:val="00257D09"/>
    <w:rsid w:val="0026017D"/>
    <w:rsid w:val="00261435"/>
    <w:rsid w:val="00261660"/>
    <w:rsid w:val="00263A0A"/>
    <w:rsid w:val="00266547"/>
    <w:rsid w:val="002667C1"/>
    <w:rsid w:val="00267845"/>
    <w:rsid w:val="00272BEC"/>
    <w:rsid w:val="00273CD3"/>
    <w:rsid w:val="00273EB7"/>
    <w:rsid w:val="00275E58"/>
    <w:rsid w:val="00282C66"/>
    <w:rsid w:val="0028477A"/>
    <w:rsid w:val="00286874"/>
    <w:rsid w:val="00287076"/>
    <w:rsid w:val="002877F1"/>
    <w:rsid w:val="0029155F"/>
    <w:rsid w:val="002923FF"/>
    <w:rsid w:val="002937AD"/>
    <w:rsid w:val="002938A4"/>
    <w:rsid w:val="00293E90"/>
    <w:rsid w:val="00296224"/>
    <w:rsid w:val="002A1D57"/>
    <w:rsid w:val="002A3769"/>
    <w:rsid w:val="002A4339"/>
    <w:rsid w:val="002A64F1"/>
    <w:rsid w:val="002A7768"/>
    <w:rsid w:val="002B011A"/>
    <w:rsid w:val="002B079C"/>
    <w:rsid w:val="002B36DB"/>
    <w:rsid w:val="002B37BD"/>
    <w:rsid w:val="002B53BA"/>
    <w:rsid w:val="002B7094"/>
    <w:rsid w:val="002C49F8"/>
    <w:rsid w:val="002C5B3B"/>
    <w:rsid w:val="002C63E7"/>
    <w:rsid w:val="002C755F"/>
    <w:rsid w:val="002D0819"/>
    <w:rsid w:val="002D0CC3"/>
    <w:rsid w:val="002D68C7"/>
    <w:rsid w:val="002E1725"/>
    <w:rsid w:val="002E1E9C"/>
    <w:rsid w:val="002E6878"/>
    <w:rsid w:val="00305111"/>
    <w:rsid w:val="00307745"/>
    <w:rsid w:val="003119CE"/>
    <w:rsid w:val="00316E08"/>
    <w:rsid w:val="00320069"/>
    <w:rsid w:val="00321E90"/>
    <w:rsid w:val="0032456F"/>
    <w:rsid w:val="00326F5E"/>
    <w:rsid w:val="0033582F"/>
    <w:rsid w:val="00336851"/>
    <w:rsid w:val="003370EF"/>
    <w:rsid w:val="003379A5"/>
    <w:rsid w:val="0034156F"/>
    <w:rsid w:val="003462C2"/>
    <w:rsid w:val="0034756C"/>
    <w:rsid w:val="003479BA"/>
    <w:rsid w:val="00347D10"/>
    <w:rsid w:val="00350C25"/>
    <w:rsid w:val="0035154A"/>
    <w:rsid w:val="00354685"/>
    <w:rsid w:val="00355A30"/>
    <w:rsid w:val="003625F3"/>
    <w:rsid w:val="00363A01"/>
    <w:rsid w:val="00364677"/>
    <w:rsid w:val="00366292"/>
    <w:rsid w:val="00366FBB"/>
    <w:rsid w:val="00373335"/>
    <w:rsid w:val="003743FB"/>
    <w:rsid w:val="00374467"/>
    <w:rsid w:val="00377C47"/>
    <w:rsid w:val="00380BD9"/>
    <w:rsid w:val="003810FD"/>
    <w:rsid w:val="00382B70"/>
    <w:rsid w:val="003833DB"/>
    <w:rsid w:val="003834E5"/>
    <w:rsid w:val="0038473F"/>
    <w:rsid w:val="00384BCB"/>
    <w:rsid w:val="00384E94"/>
    <w:rsid w:val="00385658"/>
    <w:rsid w:val="00386089"/>
    <w:rsid w:val="00387E10"/>
    <w:rsid w:val="003904AE"/>
    <w:rsid w:val="00390C7F"/>
    <w:rsid w:val="00392B8B"/>
    <w:rsid w:val="00396D2F"/>
    <w:rsid w:val="003A00C2"/>
    <w:rsid w:val="003A1DC1"/>
    <w:rsid w:val="003A3721"/>
    <w:rsid w:val="003A5565"/>
    <w:rsid w:val="003A6B86"/>
    <w:rsid w:val="003A6F65"/>
    <w:rsid w:val="003A7B39"/>
    <w:rsid w:val="003C1C3A"/>
    <w:rsid w:val="003C454F"/>
    <w:rsid w:val="003C5495"/>
    <w:rsid w:val="003C6EF6"/>
    <w:rsid w:val="003D1F08"/>
    <w:rsid w:val="003E20B0"/>
    <w:rsid w:val="003E3EC5"/>
    <w:rsid w:val="003E5417"/>
    <w:rsid w:val="003E588B"/>
    <w:rsid w:val="003E5DC6"/>
    <w:rsid w:val="003E687F"/>
    <w:rsid w:val="003E71A1"/>
    <w:rsid w:val="003F039B"/>
    <w:rsid w:val="003F0D21"/>
    <w:rsid w:val="003F4CE3"/>
    <w:rsid w:val="003F640D"/>
    <w:rsid w:val="003F6884"/>
    <w:rsid w:val="003F6AB7"/>
    <w:rsid w:val="003F6ABF"/>
    <w:rsid w:val="003F79E0"/>
    <w:rsid w:val="00401C65"/>
    <w:rsid w:val="0040214A"/>
    <w:rsid w:val="0040658D"/>
    <w:rsid w:val="00406CCE"/>
    <w:rsid w:val="0041139E"/>
    <w:rsid w:val="0041207D"/>
    <w:rsid w:val="00415801"/>
    <w:rsid w:val="004161A8"/>
    <w:rsid w:val="00422A63"/>
    <w:rsid w:val="00423028"/>
    <w:rsid w:val="00424AFA"/>
    <w:rsid w:val="00424F2D"/>
    <w:rsid w:val="00426E70"/>
    <w:rsid w:val="0042740D"/>
    <w:rsid w:val="00427F9E"/>
    <w:rsid w:val="004303DC"/>
    <w:rsid w:val="00430D97"/>
    <w:rsid w:val="00431F50"/>
    <w:rsid w:val="0043331E"/>
    <w:rsid w:val="00434CFC"/>
    <w:rsid w:val="00434DDA"/>
    <w:rsid w:val="00435964"/>
    <w:rsid w:val="004364A0"/>
    <w:rsid w:val="00445571"/>
    <w:rsid w:val="00446462"/>
    <w:rsid w:val="0045074C"/>
    <w:rsid w:val="00451956"/>
    <w:rsid w:val="00453447"/>
    <w:rsid w:val="0045445B"/>
    <w:rsid w:val="004549A6"/>
    <w:rsid w:val="00456F57"/>
    <w:rsid w:val="00457AAF"/>
    <w:rsid w:val="00460A28"/>
    <w:rsid w:val="00462D4A"/>
    <w:rsid w:val="0047379A"/>
    <w:rsid w:val="004752DC"/>
    <w:rsid w:val="00477B40"/>
    <w:rsid w:val="004806BC"/>
    <w:rsid w:val="0048229C"/>
    <w:rsid w:val="004864D1"/>
    <w:rsid w:val="004957AF"/>
    <w:rsid w:val="00495D8A"/>
    <w:rsid w:val="0049697C"/>
    <w:rsid w:val="00496C58"/>
    <w:rsid w:val="004A1928"/>
    <w:rsid w:val="004A1D47"/>
    <w:rsid w:val="004A1D5D"/>
    <w:rsid w:val="004A2E61"/>
    <w:rsid w:val="004A5D3E"/>
    <w:rsid w:val="004A6A31"/>
    <w:rsid w:val="004B00FC"/>
    <w:rsid w:val="004B0B03"/>
    <w:rsid w:val="004B2E43"/>
    <w:rsid w:val="004B4C0D"/>
    <w:rsid w:val="004B5248"/>
    <w:rsid w:val="004B6036"/>
    <w:rsid w:val="004B6B3A"/>
    <w:rsid w:val="004B719F"/>
    <w:rsid w:val="004B732B"/>
    <w:rsid w:val="004C260D"/>
    <w:rsid w:val="004C4516"/>
    <w:rsid w:val="004C63DF"/>
    <w:rsid w:val="004C7E40"/>
    <w:rsid w:val="004D070D"/>
    <w:rsid w:val="004D125E"/>
    <w:rsid w:val="004D3EF9"/>
    <w:rsid w:val="004D489D"/>
    <w:rsid w:val="004E3AFC"/>
    <w:rsid w:val="004E5670"/>
    <w:rsid w:val="004E6740"/>
    <w:rsid w:val="004E7563"/>
    <w:rsid w:val="004F38DE"/>
    <w:rsid w:val="004F3CD9"/>
    <w:rsid w:val="004F3DD6"/>
    <w:rsid w:val="004F3E0C"/>
    <w:rsid w:val="004F3F53"/>
    <w:rsid w:val="004F5996"/>
    <w:rsid w:val="004F7AE7"/>
    <w:rsid w:val="0050051D"/>
    <w:rsid w:val="00501A26"/>
    <w:rsid w:val="00504CCA"/>
    <w:rsid w:val="00506C39"/>
    <w:rsid w:val="00506E42"/>
    <w:rsid w:val="00514EAA"/>
    <w:rsid w:val="0051683F"/>
    <w:rsid w:val="00520DF1"/>
    <w:rsid w:val="00520F06"/>
    <w:rsid w:val="005232DD"/>
    <w:rsid w:val="00524266"/>
    <w:rsid w:val="005245F3"/>
    <w:rsid w:val="0052576E"/>
    <w:rsid w:val="005277D0"/>
    <w:rsid w:val="00527DB9"/>
    <w:rsid w:val="00532DF4"/>
    <w:rsid w:val="0053490F"/>
    <w:rsid w:val="00534A39"/>
    <w:rsid w:val="00537ED8"/>
    <w:rsid w:val="00543092"/>
    <w:rsid w:val="005442AF"/>
    <w:rsid w:val="00544D41"/>
    <w:rsid w:val="00551460"/>
    <w:rsid w:val="00553E3E"/>
    <w:rsid w:val="00557A45"/>
    <w:rsid w:val="00561DCF"/>
    <w:rsid w:val="00562E7B"/>
    <w:rsid w:val="005669A3"/>
    <w:rsid w:val="00567B32"/>
    <w:rsid w:val="00567C93"/>
    <w:rsid w:val="00572AB5"/>
    <w:rsid w:val="00574FB7"/>
    <w:rsid w:val="00580BAA"/>
    <w:rsid w:val="00582AD1"/>
    <w:rsid w:val="00582BD9"/>
    <w:rsid w:val="00585296"/>
    <w:rsid w:val="00585938"/>
    <w:rsid w:val="00585AF1"/>
    <w:rsid w:val="00585D12"/>
    <w:rsid w:val="00592E0B"/>
    <w:rsid w:val="00593086"/>
    <w:rsid w:val="00595671"/>
    <w:rsid w:val="005A129B"/>
    <w:rsid w:val="005A4280"/>
    <w:rsid w:val="005A72D6"/>
    <w:rsid w:val="005B3043"/>
    <w:rsid w:val="005B51C7"/>
    <w:rsid w:val="005B6CA8"/>
    <w:rsid w:val="005C10D6"/>
    <w:rsid w:val="005C3DB7"/>
    <w:rsid w:val="005C4064"/>
    <w:rsid w:val="005C6A71"/>
    <w:rsid w:val="005D01C0"/>
    <w:rsid w:val="005D155D"/>
    <w:rsid w:val="005D1577"/>
    <w:rsid w:val="005D1B01"/>
    <w:rsid w:val="005D2F66"/>
    <w:rsid w:val="005D624D"/>
    <w:rsid w:val="005E2E8F"/>
    <w:rsid w:val="005E4D8E"/>
    <w:rsid w:val="005E520A"/>
    <w:rsid w:val="005F0972"/>
    <w:rsid w:val="005F0B8B"/>
    <w:rsid w:val="005F57C1"/>
    <w:rsid w:val="005F5924"/>
    <w:rsid w:val="005F6495"/>
    <w:rsid w:val="0060053B"/>
    <w:rsid w:val="006013FA"/>
    <w:rsid w:val="0060233D"/>
    <w:rsid w:val="00603040"/>
    <w:rsid w:val="00603549"/>
    <w:rsid w:val="0061066F"/>
    <w:rsid w:val="0061176B"/>
    <w:rsid w:val="006130E6"/>
    <w:rsid w:val="00613D59"/>
    <w:rsid w:val="00613FEC"/>
    <w:rsid w:val="00615E04"/>
    <w:rsid w:val="006167F7"/>
    <w:rsid w:val="00616E26"/>
    <w:rsid w:val="006210CD"/>
    <w:rsid w:val="006210DA"/>
    <w:rsid w:val="00621C55"/>
    <w:rsid w:val="00621FD2"/>
    <w:rsid w:val="006264E7"/>
    <w:rsid w:val="00627B48"/>
    <w:rsid w:val="00627B93"/>
    <w:rsid w:val="00630989"/>
    <w:rsid w:val="00632747"/>
    <w:rsid w:val="00633065"/>
    <w:rsid w:val="00633AF7"/>
    <w:rsid w:val="00641EF6"/>
    <w:rsid w:val="00642E8D"/>
    <w:rsid w:val="00643E18"/>
    <w:rsid w:val="0064785C"/>
    <w:rsid w:val="00647CD4"/>
    <w:rsid w:val="00652403"/>
    <w:rsid w:val="006546B3"/>
    <w:rsid w:val="00654D9A"/>
    <w:rsid w:val="00657AED"/>
    <w:rsid w:val="00657F75"/>
    <w:rsid w:val="00661C10"/>
    <w:rsid w:val="00662104"/>
    <w:rsid w:val="006665C9"/>
    <w:rsid w:val="00667475"/>
    <w:rsid w:val="0067259F"/>
    <w:rsid w:val="006726C0"/>
    <w:rsid w:val="006739C0"/>
    <w:rsid w:val="00673A78"/>
    <w:rsid w:val="00677678"/>
    <w:rsid w:val="00681A9F"/>
    <w:rsid w:val="00683252"/>
    <w:rsid w:val="00683D30"/>
    <w:rsid w:val="0068424A"/>
    <w:rsid w:val="0068696B"/>
    <w:rsid w:val="00686B0B"/>
    <w:rsid w:val="00686D1F"/>
    <w:rsid w:val="006873C4"/>
    <w:rsid w:val="00687677"/>
    <w:rsid w:val="00691070"/>
    <w:rsid w:val="00694346"/>
    <w:rsid w:val="006A154D"/>
    <w:rsid w:val="006A359A"/>
    <w:rsid w:val="006A4CD1"/>
    <w:rsid w:val="006A592E"/>
    <w:rsid w:val="006B0D19"/>
    <w:rsid w:val="006B0DE8"/>
    <w:rsid w:val="006B2728"/>
    <w:rsid w:val="006B3352"/>
    <w:rsid w:val="006B3565"/>
    <w:rsid w:val="006B642D"/>
    <w:rsid w:val="006B73A9"/>
    <w:rsid w:val="006C2052"/>
    <w:rsid w:val="006C65A9"/>
    <w:rsid w:val="006D16C8"/>
    <w:rsid w:val="006D32A7"/>
    <w:rsid w:val="006D678D"/>
    <w:rsid w:val="006E0562"/>
    <w:rsid w:val="006E40FB"/>
    <w:rsid w:val="006E64F6"/>
    <w:rsid w:val="006F26A9"/>
    <w:rsid w:val="006F2E78"/>
    <w:rsid w:val="006F3859"/>
    <w:rsid w:val="006F63B1"/>
    <w:rsid w:val="006F7497"/>
    <w:rsid w:val="006F775F"/>
    <w:rsid w:val="00700409"/>
    <w:rsid w:val="00700F2F"/>
    <w:rsid w:val="00701260"/>
    <w:rsid w:val="00703594"/>
    <w:rsid w:val="00703BC0"/>
    <w:rsid w:val="00704E6A"/>
    <w:rsid w:val="0070663A"/>
    <w:rsid w:val="00707420"/>
    <w:rsid w:val="007113FC"/>
    <w:rsid w:val="00713BC8"/>
    <w:rsid w:val="007243B0"/>
    <w:rsid w:val="00724BCE"/>
    <w:rsid w:val="00730F03"/>
    <w:rsid w:val="00732BC8"/>
    <w:rsid w:val="007334A6"/>
    <w:rsid w:val="00740AD8"/>
    <w:rsid w:val="00740B03"/>
    <w:rsid w:val="007423A7"/>
    <w:rsid w:val="007428EC"/>
    <w:rsid w:val="0074433D"/>
    <w:rsid w:val="00746A9D"/>
    <w:rsid w:val="00746E60"/>
    <w:rsid w:val="00751FF2"/>
    <w:rsid w:val="00752366"/>
    <w:rsid w:val="007552F4"/>
    <w:rsid w:val="00760C2F"/>
    <w:rsid w:val="00762126"/>
    <w:rsid w:val="007639CA"/>
    <w:rsid w:val="00766E2D"/>
    <w:rsid w:val="00774E81"/>
    <w:rsid w:val="007756E7"/>
    <w:rsid w:val="00783437"/>
    <w:rsid w:val="00784AE2"/>
    <w:rsid w:val="007866D0"/>
    <w:rsid w:val="007870A2"/>
    <w:rsid w:val="00787A33"/>
    <w:rsid w:val="00787FAD"/>
    <w:rsid w:val="00790D3A"/>
    <w:rsid w:val="00792041"/>
    <w:rsid w:val="00792BDF"/>
    <w:rsid w:val="00792BFE"/>
    <w:rsid w:val="007935BC"/>
    <w:rsid w:val="007947A8"/>
    <w:rsid w:val="0079632D"/>
    <w:rsid w:val="00797761"/>
    <w:rsid w:val="007A0A6D"/>
    <w:rsid w:val="007A4FFC"/>
    <w:rsid w:val="007A58F8"/>
    <w:rsid w:val="007A6518"/>
    <w:rsid w:val="007A67AA"/>
    <w:rsid w:val="007A73ED"/>
    <w:rsid w:val="007B7C58"/>
    <w:rsid w:val="007C4D82"/>
    <w:rsid w:val="007C5660"/>
    <w:rsid w:val="007C56EC"/>
    <w:rsid w:val="007C7930"/>
    <w:rsid w:val="007D3848"/>
    <w:rsid w:val="007D4BDA"/>
    <w:rsid w:val="007D50D0"/>
    <w:rsid w:val="007D55A4"/>
    <w:rsid w:val="007D59F5"/>
    <w:rsid w:val="007D6086"/>
    <w:rsid w:val="007E2DE7"/>
    <w:rsid w:val="007E2F41"/>
    <w:rsid w:val="007E3F51"/>
    <w:rsid w:val="007E577D"/>
    <w:rsid w:val="007E6674"/>
    <w:rsid w:val="007E7DE5"/>
    <w:rsid w:val="007F41D9"/>
    <w:rsid w:val="007F597C"/>
    <w:rsid w:val="007F62A7"/>
    <w:rsid w:val="008078E0"/>
    <w:rsid w:val="00811B53"/>
    <w:rsid w:val="008234B4"/>
    <w:rsid w:val="00825980"/>
    <w:rsid w:val="008271A7"/>
    <w:rsid w:val="0083122B"/>
    <w:rsid w:val="00831D70"/>
    <w:rsid w:val="00834948"/>
    <w:rsid w:val="00835B86"/>
    <w:rsid w:val="00840C1F"/>
    <w:rsid w:val="0084259C"/>
    <w:rsid w:val="00842C6B"/>
    <w:rsid w:val="00845899"/>
    <w:rsid w:val="00851896"/>
    <w:rsid w:val="0085195F"/>
    <w:rsid w:val="00851A33"/>
    <w:rsid w:val="008524D1"/>
    <w:rsid w:val="008548F1"/>
    <w:rsid w:val="008560B9"/>
    <w:rsid w:val="008570FF"/>
    <w:rsid w:val="00862C33"/>
    <w:rsid w:val="008647DD"/>
    <w:rsid w:val="00864EAF"/>
    <w:rsid w:val="0086649D"/>
    <w:rsid w:val="00867D96"/>
    <w:rsid w:val="008700AB"/>
    <w:rsid w:val="0087390A"/>
    <w:rsid w:val="0087472B"/>
    <w:rsid w:val="00874BEA"/>
    <w:rsid w:val="00874D48"/>
    <w:rsid w:val="00880E26"/>
    <w:rsid w:val="0088139F"/>
    <w:rsid w:val="008834C3"/>
    <w:rsid w:val="00883702"/>
    <w:rsid w:val="00883A3D"/>
    <w:rsid w:val="0088458F"/>
    <w:rsid w:val="00885E22"/>
    <w:rsid w:val="00887AEE"/>
    <w:rsid w:val="00887F80"/>
    <w:rsid w:val="00891D53"/>
    <w:rsid w:val="00892F45"/>
    <w:rsid w:val="00894421"/>
    <w:rsid w:val="00896D6A"/>
    <w:rsid w:val="00897014"/>
    <w:rsid w:val="00897CAC"/>
    <w:rsid w:val="008A07B2"/>
    <w:rsid w:val="008A1C35"/>
    <w:rsid w:val="008A1D62"/>
    <w:rsid w:val="008A26E6"/>
    <w:rsid w:val="008A756A"/>
    <w:rsid w:val="008A7DD9"/>
    <w:rsid w:val="008B13C9"/>
    <w:rsid w:val="008B1940"/>
    <w:rsid w:val="008B332B"/>
    <w:rsid w:val="008B3595"/>
    <w:rsid w:val="008B3B74"/>
    <w:rsid w:val="008B44B1"/>
    <w:rsid w:val="008C1203"/>
    <w:rsid w:val="008C31FF"/>
    <w:rsid w:val="008C5460"/>
    <w:rsid w:val="008C5C2F"/>
    <w:rsid w:val="008C7016"/>
    <w:rsid w:val="008C77B3"/>
    <w:rsid w:val="008C7A20"/>
    <w:rsid w:val="008D2AD8"/>
    <w:rsid w:val="008D2D58"/>
    <w:rsid w:val="008D31E2"/>
    <w:rsid w:val="008D3233"/>
    <w:rsid w:val="008D5935"/>
    <w:rsid w:val="008D79EA"/>
    <w:rsid w:val="008D7B50"/>
    <w:rsid w:val="008E03F2"/>
    <w:rsid w:val="008E180B"/>
    <w:rsid w:val="008E528C"/>
    <w:rsid w:val="008E5F3F"/>
    <w:rsid w:val="008E79A4"/>
    <w:rsid w:val="008F060F"/>
    <w:rsid w:val="008F3733"/>
    <w:rsid w:val="008F44AC"/>
    <w:rsid w:val="008F578A"/>
    <w:rsid w:val="008F5F96"/>
    <w:rsid w:val="008F6D97"/>
    <w:rsid w:val="00907096"/>
    <w:rsid w:val="00910CA5"/>
    <w:rsid w:val="0091456A"/>
    <w:rsid w:val="00916A7D"/>
    <w:rsid w:val="00917D1F"/>
    <w:rsid w:val="00921BC4"/>
    <w:rsid w:val="009230EA"/>
    <w:rsid w:val="0092577F"/>
    <w:rsid w:val="0093195B"/>
    <w:rsid w:val="009329B2"/>
    <w:rsid w:val="0093371B"/>
    <w:rsid w:val="00933B15"/>
    <w:rsid w:val="00934498"/>
    <w:rsid w:val="00935139"/>
    <w:rsid w:val="00936BD4"/>
    <w:rsid w:val="0094013C"/>
    <w:rsid w:val="00941235"/>
    <w:rsid w:val="00942435"/>
    <w:rsid w:val="009441D0"/>
    <w:rsid w:val="009447B7"/>
    <w:rsid w:val="00944B6F"/>
    <w:rsid w:val="00946F62"/>
    <w:rsid w:val="00952D52"/>
    <w:rsid w:val="00955096"/>
    <w:rsid w:val="00956E1C"/>
    <w:rsid w:val="0096359A"/>
    <w:rsid w:val="009653FF"/>
    <w:rsid w:val="00967D55"/>
    <w:rsid w:val="009731B4"/>
    <w:rsid w:val="00975D32"/>
    <w:rsid w:val="00976488"/>
    <w:rsid w:val="00977B1C"/>
    <w:rsid w:val="00977ED1"/>
    <w:rsid w:val="0098006B"/>
    <w:rsid w:val="0098127F"/>
    <w:rsid w:val="00982CC9"/>
    <w:rsid w:val="00983149"/>
    <w:rsid w:val="00984EBC"/>
    <w:rsid w:val="00985BF5"/>
    <w:rsid w:val="00987ED0"/>
    <w:rsid w:val="009905AF"/>
    <w:rsid w:val="00991B5F"/>
    <w:rsid w:val="00992622"/>
    <w:rsid w:val="00992E3D"/>
    <w:rsid w:val="00994B1F"/>
    <w:rsid w:val="00995E4A"/>
    <w:rsid w:val="009A1425"/>
    <w:rsid w:val="009A15DE"/>
    <w:rsid w:val="009A1C29"/>
    <w:rsid w:val="009A7BF0"/>
    <w:rsid w:val="009B053D"/>
    <w:rsid w:val="009B3A76"/>
    <w:rsid w:val="009B56F9"/>
    <w:rsid w:val="009C1057"/>
    <w:rsid w:val="009C2184"/>
    <w:rsid w:val="009C3210"/>
    <w:rsid w:val="009C6325"/>
    <w:rsid w:val="009C6DDE"/>
    <w:rsid w:val="009D0264"/>
    <w:rsid w:val="009D11C1"/>
    <w:rsid w:val="009D4163"/>
    <w:rsid w:val="009D43D7"/>
    <w:rsid w:val="009D4B8A"/>
    <w:rsid w:val="009D4CA3"/>
    <w:rsid w:val="009D5DB6"/>
    <w:rsid w:val="009D745B"/>
    <w:rsid w:val="009E010E"/>
    <w:rsid w:val="009E04BF"/>
    <w:rsid w:val="009E20FE"/>
    <w:rsid w:val="009E3A78"/>
    <w:rsid w:val="009E59A4"/>
    <w:rsid w:val="009E6B3C"/>
    <w:rsid w:val="009F4074"/>
    <w:rsid w:val="00A05EBB"/>
    <w:rsid w:val="00A06F03"/>
    <w:rsid w:val="00A11592"/>
    <w:rsid w:val="00A1247B"/>
    <w:rsid w:val="00A154D9"/>
    <w:rsid w:val="00A24D98"/>
    <w:rsid w:val="00A25599"/>
    <w:rsid w:val="00A279CF"/>
    <w:rsid w:val="00A3000B"/>
    <w:rsid w:val="00A315E3"/>
    <w:rsid w:val="00A33939"/>
    <w:rsid w:val="00A35725"/>
    <w:rsid w:val="00A37EEF"/>
    <w:rsid w:val="00A40744"/>
    <w:rsid w:val="00A41AB6"/>
    <w:rsid w:val="00A424E2"/>
    <w:rsid w:val="00A43B8B"/>
    <w:rsid w:val="00A44DBD"/>
    <w:rsid w:val="00A45DFA"/>
    <w:rsid w:val="00A51AE1"/>
    <w:rsid w:val="00A52C9F"/>
    <w:rsid w:val="00A55072"/>
    <w:rsid w:val="00A5585C"/>
    <w:rsid w:val="00A61EDD"/>
    <w:rsid w:val="00A624F9"/>
    <w:rsid w:val="00A6263A"/>
    <w:rsid w:val="00A634F4"/>
    <w:rsid w:val="00A65183"/>
    <w:rsid w:val="00A657BD"/>
    <w:rsid w:val="00A6607E"/>
    <w:rsid w:val="00A661B0"/>
    <w:rsid w:val="00A66A0F"/>
    <w:rsid w:val="00A70F11"/>
    <w:rsid w:val="00A7254D"/>
    <w:rsid w:val="00A73CD7"/>
    <w:rsid w:val="00A74538"/>
    <w:rsid w:val="00A77811"/>
    <w:rsid w:val="00A81EAD"/>
    <w:rsid w:val="00A82DEB"/>
    <w:rsid w:val="00A835AA"/>
    <w:rsid w:val="00A83B5F"/>
    <w:rsid w:val="00A848FA"/>
    <w:rsid w:val="00A855BE"/>
    <w:rsid w:val="00A93982"/>
    <w:rsid w:val="00A958A9"/>
    <w:rsid w:val="00AA00C8"/>
    <w:rsid w:val="00AA11CF"/>
    <w:rsid w:val="00AA1FE5"/>
    <w:rsid w:val="00AA4331"/>
    <w:rsid w:val="00AA6000"/>
    <w:rsid w:val="00AA6852"/>
    <w:rsid w:val="00AA7625"/>
    <w:rsid w:val="00AA7F57"/>
    <w:rsid w:val="00AB0F12"/>
    <w:rsid w:val="00AB1459"/>
    <w:rsid w:val="00AB3DEA"/>
    <w:rsid w:val="00AB7928"/>
    <w:rsid w:val="00AC0DB6"/>
    <w:rsid w:val="00AC2F7B"/>
    <w:rsid w:val="00AC3687"/>
    <w:rsid w:val="00AC5A11"/>
    <w:rsid w:val="00AC70B1"/>
    <w:rsid w:val="00AC7946"/>
    <w:rsid w:val="00AD2148"/>
    <w:rsid w:val="00AD2FEB"/>
    <w:rsid w:val="00AD5A7E"/>
    <w:rsid w:val="00AE44E2"/>
    <w:rsid w:val="00AF4CF3"/>
    <w:rsid w:val="00AF7F62"/>
    <w:rsid w:val="00B01277"/>
    <w:rsid w:val="00B01572"/>
    <w:rsid w:val="00B03226"/>
    <w:rsid w:val="00B04309"/>
    <w:rsid w:val="00B049DD"/>
    <w:rsid w:val="00B04AA2"/>
    <w:rsid w:val="00B04B5A"/>
    <w:rsid w:val="00B05673"/>
    <w:rsid w:val="00B11DF3"/>
    <w:rsid w:val="00B11FA7"/>
    <w:rsid w:val="00B13967"/>
    <w:rsid w:val="00B1474E"/>
    <w:rsid w:val="00B158D5"/>
    <w:rsid w:val="00B17F0F"/>
    <w:rsid w:val="00B23B8D"/>
    <w:rsid w:val="00B24C4C"/>
    <w:rsid w:val="00B25E09"/>
    <w:rsid w:val="00B27D19"/>
    <w:rsid w:val="00B36C61"/>
    <w:rsid w:val="00B376BF"/>
    <w:rsid w:val="00B40A82"/>
    <w:rsid w:val="00B40F0C"/>
    <w:rsid w:val="00B41796"/>
    <w:rsid w:val="00B419F1"/>
    <w:rsid w:val="00B463B6"/>
    <w:rsid w:val="00B47CC7"/>
    <w:rsid w:val="00B50479"/>
    <w:rsid w:val="00B526C4"/>
    <w:rsid w:val="00B5636E"/>
    <w:rsid w:val="00B575CA"/>
    <w:rsid w:val="00B60FB4"/>
    <w:rsid w:val="00B62CCA"/>
    <w:rsid w:val="00B62FBD"/>
    <w:rsid w:val="00B632F2"/>
    <w:rsid w:val="00B64331"/>
    <w:rsid w:val="00B65FB6"/>
    <w:rsid w:val="00B65FF1"/>
    <w:rsid w:val="00B6601C"/>
    <w:rsid w:val="00B6655C"/>
    <w:rsid w:val="00B6673F"/>
    <w:rsid w:val="00B67E78"/>
    <w:rsid w:val="00B72939"/>
    <w:rsid w:val="00B73D20"/>
    <w:rsid w:val="00B74E26"/>
    <w:rsid w:val="00B76446"/>
    <w:rsid w:val="00B76CD6"/>
    <w:rsid w:val="00B80315"/>
    <w:rsid w:val="00B81B63"/>
    <w:rsid w:val="00B8219B"/>
    <w:rsid w:val="00B8370C"/>
    <w:rsid w:val="00B84622"/>
    <w:rsid w:val="00B84970"/>
    <w:rsid w:val="00B85370"/>
    <w:rsid w:val="00B85C7D"/>
    <w:rsid w:val="00B919EC"/>
    <w:rsid w:val="00B92D40"/>
    <w:rsid w:val="00B933ED"/>
    <w:rsid w:val="00B93896"/>
    <w:rsid w:val="00B95087"/>
    <w:rsid w:val="00B956AB"/>
    <w:rsid w:val="00BA022F"/>
    <w:rsid w:val="00BA22B0"/>
    <w:rsid w:val="00BA22F5"/>
    <w:rsid w:val="00BA2E76"/>
    <w:rsid w:val="00BA3208"/>
    <w:rsid w:val="00BA5775"/>
    <w:rsid w:val="00BB5096"/>
    <w:rsid w:val="00BB575C"/>
    <w:rsid w:val="00BC116E"/>
    <w:rsid w:val="00BC2BE9"/>
    <w:rsid w:val="00BC315E"/>
    <w:rsid w:val="00BC338D"/>
    <w:rsid w:val="00BC3F92"/>
    <w:rsid w:val="00BC648F"/>
    <w:rsid w:val="00BC752C"/>
    <w:rsid w:val="00BD0093"/>
    <w:rsid w:val="00BD4111"/>
    <w:rsid w:val="00BD422C"/>
    <w:rsid w:val="00BD7DCB"/>
    <w:rsid w:val="00BE1C89"/>
    <w:rsid w:val="00BE21CA"/>
    <w:rsid w:val="00BE2D8D"/>
    <w:rsid w:val="00BE4515"/>
    <w:rsid w:val="00BE5BA0"/>
    <w:rsid w:val="00BE7A84"/>
    <w:rsid w:val="00BF0CBF"/>
    <w:rsid w:val="00BF0EEA"/>
    <w:rsid w:val="00BF2E1E"/>
    <w:rsid w:val="00BF3D67"/>
    <w:rsid w:val="00BF4DDB"/>
    <w:rsid w:val="00C0029A"/>
    <w:rsid w:val="00C0057F"/>
    <w:rsid w:val="00C03775"/>
    <w:rsid w:val="00C03F98"/>
    <w:rsid w:val="00C03FFB"/>
    <w:rsid w:val="00C04743"/>
    <w:rsid w:val="00C07163"/>
    <w:rsid w:val="00C11358"/>
    <w:rsid w:val="00C1614B"/>
    <w:rsid w:val="00C162BA"/>
    <w:rsid w:val="00C16A08"/>
    <w:rsid w:val="00C21494"/>
    <w:rsid w:val="00C22ECD"/>
    <w:rsid w:val="00C2553F"/>
    <w:rsid w:val="00C275F1"/>
    <w:rsid w:val="00C31717"/>
    <w:rsid w:val="00C332AC"/>
    <w:rsid w:val="00C35B46"/>
    <w:rsid w:val="00C35BAC"/>
    <w:rsid w:val="00C37062"/>
    <w:rsid w:val="00C377D7"/>
    <w:rsid w:val="00C37B4C"/>
    <w:rsid w:val="00C40974"/>
    <w:rsid w:val="00C40E60"/>
    <w:rsid w:val="00C43C68"/>
    <w:rsid w:val="00C43EC0"/>
    <w:rsid w:val="00C440F6"/>
    <w:rsid w:val="00C51AD1"/>
    <w:rsid w:val="00C51D7F"/>
    <w:rsid w:val="00C53708"/>
    <w:rsid w:val="00C55D18"/>
    <w:rsid w:val="00C57943"/>
    <w:rsid w:val="00C60B7E"/>
    <w:rsid w:val="00C62E64"/>
    <w:rsid w:val="00C6491B"/>
    <w:rsid w:val="00C66721"/>
    <w:rsid w:val="00C6746A"/>
    <w:rsid w:val="00C70886"/>
    <w:rsid w:val="00C71831"/>
    <w:rsid w:val="00C72D4D"/>
    <w:rsid w:val="00C73C52"/>
    <w:rsid w:val="00C74068"/>
    <w:rsid w:val="00C763D2"/>
    <w:rsid w:val="00C77496"/>
    <w:rsid w:val="00C80146"/>
    <w:rsid w:val="00C80CD7"/>
    <w:rsid w:val="00C8394F"/>
    <w:rsid w:val="00C8777C"/>
    <w:rsid w:val="00C901BF"/>
    <w:rsid w:val="00C9070F"/>
    <w:rsid w:val="00C912A1"/>
    <w:rsid w:val="00C913A9"/>
    <w:rsid w:val="00C926F4"/>
    <w:rsid w:val="00C92CA5"/>
    <w:rsid w:val="00C932AB"/>
    <w:rsid w:val="00C933D5"/>
    <w:rsid w:val="00C93858"/>
    <w:rsid w:val="00C93F99"/>
    <w:rsid w:val="00C97139"/>
    <w:rsid w:val="00CA11A9"/>
    <w:rsid w:val="00CA1E03"/>
    <w:rsid w:val="00CA4B07"/>
    <w:rsid w:val="00CA69CE"/>
    <w:rsid w:val="00CA7F7A"/>
    <w:rsid w:val="00CB2AD7"/>
    <w:rsid w:val="00CB397D"/>
    <w:rsid w:val="00CB5052"/>
    <w:rsid w:val="00CB667C"/>
    <w:rsid w:val="00CB7C0E"/>
    <w:rsid w:val="00CC002C"/>
    <w:rsid w:val="00CC05C7"/>
    <w:rsid w:val="00CC097B"/>
    <w:rsid w:val="00CC5ECE"/>
    <w:rsid w:val="00CC7CB8"/>
    <w:rsid w:val="00CC7DBC"/>
    <w:rsid w:val="00CD2C75"/>
    <w:rsid w:val="00CE317C"/>
    <w:rsid w:val="00CE6333"/>
    <w:rsid w:val="00CE657E"/>
    <w:rsid w:val="00CF0158"/>
    <w:rsid w:val="00CF0666"/>
    <w:rsid w:val="00CF1EAF"/>
    <w:rsid w:val="00CF2080"/>
    <w:rsid w:val="00CF50FA"/>
    <w:rsid w:val="00CF6141"/>
    <w:rsid w:val="00CF685B"/>
    <w:rsid w:val="00D0105F"/>
    <w:rsid w:val="00D023AD"/>
    <w:rsid w:val="00D03A06"/>
    <w:rsid w:val="00D05F2A"/>
    <w:rsid w:val="00D14FDE"/>
    <w:rsid w:val="00D15C0A"/>
    <w:rsid w:val="00D15EE4"/>
    <w:rsid w:val="00D17FDD"/>
    <w:rsid w:val="00D20737"/>
    <w:rsid w:val="00D303EB"/>
    <w:rsid w:val="00D30CA0"/>
    <w:rsid w:val="00D400AB"/>
    <w:rsid w:val="00D427BA"/>
    <w:rsid w:val="00D43B46"/>
    <w:rsid w:val="00D44972"/>
    <w:rsid w:val="00D45A87"/>
    <w:rsid w:val="00D46D21"/>
    <w:rsid w:val="00D55454"/>
    <w:rsid w:val="00D6229F"/>
    <w:rsid w:val="00D62689"/>
    <w:rsid w:val="00D62A11"/>
    <w:rsid w:val="00D62CB5"/>
    <w:rsid w:val="00D62E1A"/>
    <w:rsid w:val="00D6380E"/>
    <w:rsid w:val="00D65040"/>
    <w:rsid w:val="00D65F34"/>
    <w:rsid w:val="00D70980"/>
    <w:rsid w:val="00D7105D"/>
    <w:rsid w:val="00D74AC6"/>
    <w:rsid w:val="00D75D28"/>
    <w:rsid w:val="00D76261"/>
    <w:rsid w:val="00D806F4"/>
    <w:rsid w:val="00D813E0"/>
    <w:rsid w:val="00D8672A"/>
    <w:rsid w:val="00D94A41"/>
    <w:rsid w:val="00D97312"/>
    <w:rsid w:val="00DA0E5F"/>
    <w:rsid w:val="00DA4141"/>
    <w:rsid w:val="00DB27B6"/>
    <w:rsid w:val="00DB41A0"/>
    <w:rsid w:val="00DB4FCC"/>
    <w:rsid w:val="00DB7381"/>
    <w:rsid w:val="00DC2247"/>
    <w:rsid w:val="00DC32A6"/>
    <w:rsid w:val="00DC5750"/>
    <w:rsid w:val="00DD0EDA"/>
    <w:rsid w:val="00DD203E"/>
    <w:rsid w:val="00DD2698"/>
    <w:rsid w:val="00DD79C2"/>
    <w:rsid w:val="00DE2E94"/>
    <w:rsid w:val="00DE5282"/>
    <w:rsid w:val="00DF39C0"/>
    <w:rsid w:val="00DF3EC0"/>
    <w:rsid w:val="00DF4C47"/>
    <w:rsid w:val="00DF5AD8"/>
    <w:rsid w:val="00DF677B"/>
    <w:rsid w:val="00DF7B13"/>
    <w:rsid w:val="00E03FFD"/>
    <w:rsid w:val="00E048FB"/>
    <w:rsid w:val="00E04A03"/>
    <w:rsid w:val="00E04C12"/>
    <w:rsid w:val="00E0573B"/>
    <w:rsid w:val="00E11720"/>
    <w:rsid w:val="00E131BD"/>
    <w:rsid w:val="00E14A92"/>
    <w:rsid w:val="00E14EE8"/>
    <w:rsid w:val="00E16FD8"/>
    <w:rsid w:val="00E202CD"/>
    <w:rsid w:val="00E24F58"/>
    <w:rsid w:val="00E26F20"/>
    <w:rsid w:val="00E27047"/>
    <w:rsid w:val="00E30068"/>
    <w:rsid w:val="00E3100A"/>
    <w:rsid w:val="00E32713"/>
    <w:rsid w:val="00E43D3D"/>
    <w:rsid w:val="00E4553E"/>
    <w:rsid w:val="00E5067C"/>
    <w:rsid w:val="00E50E2E"/>
    <w:rsid w:val="00E50EEF"/>
    <w:rsid w:val="00E5281E"/>
    <w:rsid w:val="00E53D9F"/>
    <w:rsid w:val="00E55B5B"/>
    <w:rsid w:val="00E60F69"/>
    <w:rsid w:val="00E64800"/>
    <w:rsid w:val="00E64CF9"/>
    <w:rsid w:val="00E66185"/>
    <w:rsid w:val="00E67A5E"/>
    <w:rsid w:val="00E733A9"/>
    <w:rsid w:val="00E83B79"/>
    <w:rsid w:val="00E84D37"/>
    <w:rsid w:val="00E8576E"/>
    <w:rsid w:val="00E86FB8"/>
    <w:rsid w:val="00E927F3"/>
    <w:rsid w:val="00E93FE4"/>
    <w:rsid w:val="00EA1A8E"/>
    <w:rsid w:val="00EA3CC2"/>
    <w:rsid w:val="00EA4FC9"/>
    <w:rsid w:val="00EA7741"/>
    <w:rsid w:val="00EA7C92"/>
    <w:rsid w:val="00EB11D4"/>
    <w:rsid w:val="00EB1A64"/>
    <w:rsid w:val="00EC2178"/>
    <w:rsid w:val="00EC43A1"/>
    <w:rsid w:val="00EC6D2C"/>
    <w:rsid w:val="00EC7525"/>
    <w:rsid w:val="00ED253E"/>
    <w:rsid w:val="00ED27C8"/>
    <w:rsid w:val="00ED6A68"/>
    <w:rsid w:val="00ED754A"/>
    <w:rsid w:val="00EE1E72"/>
    <w:rsid w:val="00EE1FC8"/>
    <w:rsid w:val="00EE2036"/>
    <w:rsid w:val="00EE5BFB"/>
    <w:rsid w:val="00EF0197"/>
    <w:rsid w:val="00EF09EA"/>
    <w:rsid w:val="00EF20FA"/>
    <w:rsid w:val="00EF232A"/>
    <w:rsid w:val="00EF4415"/>
    <w:rsid w:val="00EF565B"/>
    <w:rsid w:val="00EF6747"/>
    <w:rsid w:val="00EF6AF4"/>
    <w:rsid w:val="00F0255D"/>
    <w:rsid w:val="00F03C63"/>
    <w:rsid w:val="00F058C1"/>
    <w:rsid w:val="00F07472"/>
    <w:rsid w:val="00F07FE2"/>
    <w:rsid w:val="00F11FA0"/>
    <w:rsid w:val="00F129B0"/>
    <w:rsid w:val="00F13477"/>
    <w:rsid w:val="00F13D99"/>
    <w:rsid w:val="00F17CD7"/>
    <w:rsid w:val="00F17E38"/>
    <w:rsid w:val="00F22BBD"/>
    <w:rsid w:val="00F23146"/>
    <w:rsid w:val="00F304AA"/>
    <w:rsid w:val="00F3233C"/>
    <w:rsid w:val="00F33410"/>
    <w:rsid w:val="00F337A9"/>
    <w:rsid w:val="00F3500E"/>
    <w:rsid w:val="00F35256"/>
    <w:rsid w:val="00F36F0C"/>
    <w:rsid w:val="00F3787E"/>
    <w:rsid w:val="00F40B91"/>
    <w:rsid w:val="00F41245"/>
    <w:rsid w:val="00F42893"/>
    <w:rsid w:val="00F440A5"/>
    <w:rsid w:val="00F47715"/>
    <w:rsid w:val="00F47D19"/>
    <w:rsid w:val="00F47F75"/>
    <w:rsid w:val="00F509CD"/>
    <w:rsid w:val="00F54152"/>
    <w:rsid w:val="00F548E1"/>
    <w:rsid w:val="00F55AF8"/>
    <w:rsid w:val="00F5648E"/>
    <w:rsid w:val="00F614A2"/>
    <w:rsid w:val="00F63922"/>
    <w:rsid w:val="00F63C1A"/>
    <w:rsid w:val="00F71957"/>
    <w:rsid w:val="00F7274B"/>
    <w:rsid w:val="00F72DAC"/>
    <w:rsid w:val="00F75E0B"/>
    <w:rsid w:val="00F75F08"/>
    <w:rsid w:val="00F81F5E"/>
    <w:rsid w:val="00F852C0"/>
    <w:rsid w:val="00F85670"/>
    <w:rsid w:val="00F85889"/>
    <w:rsid w:val="00F92853"/>
    <w:rsid w:val="00F939E2"/>
    <w:rsid w:val="00F944A9"/>
    <w:rsid w:val="00F960FE"/>
    <w:rsid w:val="00F96789"/>
    <w:rsid w:val="00F97EB0"/>
    <w:rsid w:val="00FA18CA"/>
    <w:rsid w:val="00FA2A38"/>
    <w:rsid w:val="00FA6B9C"/>
    <w:rsid w:val="00FA71F7"/>
    <w:rsid w:val="00FB0822"/>
    <w:rsid w:val="00FB0B89"/>
    <w:rsid w:val="00FB1C43"/>
    <w:rsid w:val="00FB2B62"/>
    <w:rsid w:val="00FB39E3"/>
    <w:rsid w:val="00FB42BD"/>
    <w:rsid w:val="00FB47A3"/>
    <w:rsid w:val="00FB49F6"/>
    <w:rsid w:val="00FC1EE1"/>
    <w:rsid w:val="00FC37D0"/>
    <w:rsid w:val="00FC5510"/>
    <w:rsid w:val="00FC5F2B"/>
    <w:rsid w:val="00FC736D"/>
    <w:rsid w:val="00FD0630"/>
    <w:rsid w:val="00FD0819"/>
    <w:rsid w:val="00FD4C0B"/>
    <w:rsid w:val="00FD4F66"/>
    <w:rsid w:val="00FE590B"/>
    <w:rsid w:val="00FE5E09"/>
    <w:rsid w:val="00FF64AB"/>
    <w:rsid w:val="00FF6DB2"/>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8F07"/>
  <w15:docId w15:val="{AD03F658-E7E2-4E25-93A6-989C7028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DEA"/>
  </w:style>
  <w:style w:type="paragraph" w:styleId="Heading3">
    <w:name w:val="heading 3"/>
    <w:basedOn w:val="Normal"/>
    <w:link w:val="Heading3Char"/>
    <w:uiPriority w:val="9"/>
    <w:qFormat/>
    <w:rsid w:val="0025596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NormalWeb">
    <w:name w:val="Normal (Web)"/>
    <w:basedOn w:val="Normal"/>
    <w:uiPriority w:val="99"/>
    <w:semiHidden/>
    <w:unhideWhenUsed/>
    <w:rsid w:val="008519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5195F"/>
    <w:rPr>
      <w:b/>
      <w:bCs/>
    </w:rPr>
  </w:style>
  <w:style w:type="character" w:customStyle="1" w:styleId="Heading3Char">
    <w:name w:val="Heading 3 Char"/>
    <w:basedOn w:val="DefaultParagraphFont"/>
    <w:link w:val="Heading3"/>
    <w:uiPriority w:val="9"/>
    <w:rsid w:val="00255968"/>
    <w:rPr>
      <w:rFonts w:ascii="Times New Roman" w:eastAsia="Times New Roman" w:hAnsi="Times New Roman" w:cs="Times New Roman"/>
      <w:b/>
      <w:bCs/>
      <w:sz w:val="27"/>
      <w:szCs w:val="27"/>
      <w:lang w:val="en-GB" w:eastAsia="en-GB"/>
    </w:rPr>
  </w:style>
  <w:style w:type="character" w:customStyle="1" w:styleId="mw-headline">
    <w:name w:val="mw-headline"/>
    <w:basedOn w:val="DefaultParagraphFont"/>
    <w:rsid w:val="00255968"/>
  </w:style>
  <w:style w:type="character" w:customStyle="1" w:styleId="mw-editsection">
    <w:name w:val="mw-editsection"/>
    <w:basedOn w:val="DefaultParagraphFont"/>
    <w:rsid w:val="00255968"/>
  </w:style>
  <w:style w:type="character" w:customStyle="1" w:styleId="mw-editsection-bracket">
    <w:name w:val="mw-editsection-bracket"/>
    <w:basedOn w:val="DefaultParagraphFont"/>
    <w:rsid w:val="00255968"/>
  </w:style>
  <w:style w:type="character" w:styleId="CommentReference">
    <w:name w:val="annotation reference"/>
    <w:basedOn w:val="DefaultParagraphFont"/>
    <w:uiPriority w:val="99"/>
    <w:semiHidden/>
    <w:unhideWhenUsed/>
    <w:rsid w:val="00462D4A"/>
    <w:rPr>
      <w:sz w:val="16"/>
      <w:szCs w:val="16"/>
    </w:rPr>
  </w:style>
  <w:style w:type="paragraph" w:styleId="CommentText">
    <w:name w:val="annotation text"/>
    <w:basedOn w:val="Normal"/>
    <w:link w:val="CommentTextChar"/>
    <w:uiPriority w:val="99"/>
    <w:semiHidden/>
    <w:unhideWhenUsed/>
    <w:rsid w:val="00462D4A"/>
    <w:pPr>
      <w:spacing w:line="240" w:lineRule="auto"/>
    </w:pPr>
    <w:rPr>
      <w:sz w:val="20"/>
      <w:szCs w:val="20"/>
    </w:rPr>
  </w:style>
  <w:style w:type="character" w:customStyle="1" w:styleId="CommentTextChar">
    <w:name w:val="Comment Text Char"/>
    <w:basedOn w:val="DefaultParagraphFont"/>
    <w:link w:val="CommentText"/>
    <w:uiPriority w:val="99"/>
    <w:semiHidden/>
    <w:rsid w:val="00462D4A"/>
    <w:rPr>
      <w:sz w:val="20"/>
      <w:szCs w:val="20"/>
    </w:rPr>
  </w:style>
  <w:style w:type="paragraph" w:styleId="CommentSubject">
    <w:name w:val="annotation subject"/>
    <w:basedOn w:val="CommentText"/>
    <w:next w:val="CommentText"/>
    <w:link w:val="CommentSubjectChar"/>
    <w:uiPriority w:val="99"/>
    <w:semiHidden/>
    <w:unhideWhenUsed/>
    <w:rsid w:val="00462D4A"/>
    <w:rPr>
      <w:b/>
      <w:bCs/>
    </w:rPr>
  </w:style>
  <w:style w:type="character" w:customStyle="1" w:styleId="CommentSubjectChar">
    <w:name w:val="Comment Subject Char"/>
    <w:basedOn w:val="CommentTextChar"/>
    <w:link w:val="CommentSubject"/>
    <w:uiPriority w:val="99"/>
    <w:semiHidden/>
    <w:rsid w:val="00462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51419">
      <w:bodyDiv w:val="1"/>
      <w:marLeft w:val="0"/>
      <w:marRight w:val="0"/>
      <w:marTop w:val="0"/>
      <w:marBottom w:val="0"/>
      <w:divBdr>
        <w:top w:val="none" w:sz="0" w:space="0" w:color="auto"/>
        <w:left w:val="none" w:sz="0" w:space="0" w:color="auto"/>
        <w:bottom w:val="none" w:sz="0" w:space="0" w:color="auto"/>
        <w:right w:val="none" w:sz="0" w:space="0" w:color="auto"/>
      </w:divBdr>
    </w:div>
    <w:div w:id="1349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9889B1-FB53-416D-A4C0-FFB870DD83CC}"/>
</file>

<file path=customXml/itemProps2.xml><?xml version="1.0" encoding="utf-8"?>
<ds:datastoreItem xmlns:ds="http://schemas.openxmlformats.org/officeDocument/2006/customXml" ds:itemID="{0CE12F90-4DD8-41C0-9754-3D5529D83599}"/>
</file>

<file path=customXml/itemProps3.xml><?xml version="1.0" encoding="utf-8"?>
<ds:datastoreItem xmlns:ds="http://schemas.openxmlformats.org/officeDocument/2006/customXml" ds:itemID="{E65DE08B-F0FE-490C-9B0E-3700866FA722}"/>
</file>

<file path=customXml/itemProps4.xml><?xml version="1.0" encoding="utf-8"?>
<ds:datastoreItem xmlns:ds="http://schemas.openxmlformats.org/officeDocument/2006/customXml" ds:itemID="{ED20A3C2-5E4E-4FCD-AAEC-1F200C4E77CB}"/>
</file>

<file path=docProps/app.xml><?xml version="1.0" encoding="utf-8"?>
<Properties xmlns="http://schemas.openxmlformats.org/officeDocument/2006/extended-properties" xmlns:vt="http://schemas.openxmlformats.org/officeDocument/2006/docPropsVTypes">
  <Template>Normal</Template>
  <TotalTime>0</TotalTime>
  <Pages>12</Pages>
  <Words>8305</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2020-08-21T11:31:00Z</cp:lastPrinted>
  <dcterms:created xsi:type="dcterms:W3CDTF">2020-09-07T07:28:00Z</dcterms:created>
  <dcterms:modified xsi:type="dcterms:W3CDTF">2020-09-07T07:28:00Z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